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40" w:after="283"/>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(Mark One)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ANNUAL REPORT PURSUANT TO SECTION 13 OR 15(d) OF THE SECURITIES EXCHANGE ACT OF 1934 FOR THE</w:t>
            </w:r>
            <w:r>
              <w:rPr>
                <w:color w:val="000000"/>
              </w:rPr>
              <w:t xml:space="preserve"> </w:t>
            </w:r>
            <w:r>
              <w:rPr>
                <w:rFonts w:ascii="Times New Roman;sans-serif" w:hAnsi="Times New Roman;sans-serif"/>
                <w:b/>
                <w:color w:val="000000"/>
                <w:sz w:val="16"/>
              </w:rPr>
              <w:t>FISCAL YEAR ENDED DECEMBER 31, 2023</w:t>
            </w:r>
          </w:p>
          <w:p>
            <w:pPr>
              <w:pStyle w:val="TableContents"/>
              <w:bidi w:val="0"/>
              <w:spacing w:before="80" w:after="283"/>
              <w:jc w:val="center"/>
              <w:rPr/>
            </w:pPr>
            <w:r>
              <w:rPr/>
            </w:r>
          </w:p>
        </w:tc>
      </w:tr>
    </w:tbl>
    <w:p>
      <w:pPr>
        <w:pStyle w:val="TextBody"/>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 FOR THE TRANSITION PERIOD FROM                      TO                     </w:t>
            </w:r>
          </w:p>
        </w:tc>
      </w:tr>
    </w:tbl>
    <w:p>
      <w:pPr>
        <w:pStyle w:val="TextBody"/>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001-40644</w:t>
      </w:r>
    </w:p>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Kaltura, Inc.</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color w:val="000000"/>
        </w:rPr>
      </w:pPr>
      <w:r>
        <w:rPr>
          <w:color w:val="000000"/>
        </w:rPr>
        <w:t> </w:t>
      </w:r>
    </w:p>
    <w:tbl>
      <w:tblPr>
        <w:tblW w:w="4409" w:type="dxa"/>
        <w:jc w:val="center"/>
        <w:tblInd w:w="0" w:type="dxa"/>
        <w:tblLayout w:type="fixed"/>
        <w:tblCellMar>
          <w:top w:w="28" w:type="dxa"/>
          <w:left w:w="28" w:type="dxa"/>
          <w:bottom w:w="28" w:type="dxa"/>
          <w:right w:w="28" w:type="dxa"/>
        </w:tblCellMar>
      </w:tblPr>
      <w:tblGrid>
        <w:gridCol w:w="1058"/>
        <w:gridCol w:w="929"/>
        <w:gridCol w:w="938"/>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20-8128326</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860 Broadway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3rd Floor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10003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ans-serif" w:hAnsi="Times New Roman;sans-serif"/>
          <w:b/>
          <w:color w:val="000000"/>
          <w:sz w:val="16"/>
        </w:rPr>
        <w:t>Registrant’s telephone number, including area code: (646)</w:t>
      </w:r>
      <w:r>
        <w:rPr>
          <w:color w:val="000000"/>
        </w:rPr>
        <w:t xml:space="preserve"> </w:t>
      </w:r>
      <w:r>
        <w:rPr>
          <w:rFonts w:ascii="Times New Roman;sans-serif" w:hAnsi="Times New Roman;sans-serif"/>
          <w:b/>
          <w:color w:val="000000"/>
          <w:sz w:val="16"/>
        </w:rPr>
        <w:t>290-5445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bidi w:val="0"/>
        <w:spacing w:lineRule="auto" w:line="240" w:before="0" w:after="0"/>
        <w:jc w:val="center"/>
        <w:rPr>
          <w:color w:val="000000"/>
        </w:rPr>
      </w:pPr>
      <w:r>
        <w:rPr>
          <w:color w:val="000000"/>
        </w:rPr>
        <w:t> </w:t>
      </w:r>
    </w:p>
    <w:tbl>
      <w:tblPr>
        <w:tblW w:w="8532" w:type="dxa"/>
        <w:jc w:val="center"/>
        <w:tblInd w:w="0" w:type="dxa"/>
        <w:tblLayout w:type="fixed"/>
        <w:tblCellMar>
          <w:top w:w="28" w:type="dxa"/>
          <w:left w:w="28" w:type="dxa"/>
          <w:bottom w:w="28" w:type="dxa"/>
          <w:right w:w="28" w:type="dxa"/>
        </w:tblCellMar>
      </w:tblPr>
      <w:tblGrid>
        <w:gridCol w:w="1263"/>
        <w:gridCol w:w="1112"/>
        <w:gridCol w:w="1119"/>
        <w:gridCol w:w="519"/>
        <w:gridCol w:w="519"/>
        <w:gridCol w:w="521"/>
        <w:gridCol w:w="1019"/>
        <w:gridCol w:w="1019"/>
        <w:gridCol w:w="1441"/>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Common stock, $0.0001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KLTR</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w:t>
      </w:r>
    </w:p>
    <w:p>
      <w:pPr>
        <w:pStyle w:val="TextBody"/>
        <w:bidi w:val="0"/>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None</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(Title of class)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if the Registrant is a well-known seasoned issuer, as defined in Rule 405 of the Securities Act. Yes ☐ No ☒</w:t>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if the Registrant is not required to file reports pursuant to Section 13 or Section 15(d) of the Act. Yes ☐ No ☒</w:t>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40" w:before="0" w:after="0"/>
        <w:jc w:val="left"/>
        <w:rPr>
          <w:color w:val="000000"/>
        </w:rPr>
      </w:pPr>
      <w:r>
        <w:rPr>
          <w:color w:val="000000"/>
        </w:rPr>
        <w:t> </w:t>
      </w:r>
    </w:p>
    <w:tbl>
      <w:tblPr>
        <w:tblW w:w="4058"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109"/>
        <w:gridCol w:w="109"/>
        <w:gridCol w:w="109"/>
        <w:gridCol w:w="554"/>
        <w:gridCol w:w="554"/>
        <w:gridCol w:w="558"/>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shell company (as defined in Rule 12b-2 of the Exchange Act).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At June 30, 2023, the last business day of the registrant’s most recently completed second fiscal quarter, the aggregate market value of the voting and non-voting common equity held by non-affiliates of the registrant was approximately $245.5 million. Solely for purposes of this disclosure, shares of common stock held by executive officers, directors and certain stockholders of the registrant as of such date have been excluded because such holders may be deemed to be affiliates.</w:t>
      </w:r>
    </w:p>
    <w:p>
      <w:pPr>
        <w:pStyle w:val="TextBody"/>
        <w:bidi w:val="0"/>
        <w:spacing w:before="0" w:after="0"/>
        <w:jc w:val="left"/>
        <w:rPr/>
      </w:pPr>
      <w:r>
        <w:rPr/>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The number of shares of the registrant’s common stock, par value $0.0001, outstanding as of February 14, 2024 was 143,258,127. </w:t>
      </w:r>
    </w:p>
    <w:p>
      <w:pPr>
        <w:pStyle w:val="TextBody"/>
        <w:bidi w:val="0"/>
        <w:spacing w:before="80" w:after="283"/>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40" w:before="8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Portions of the registrant’s definitive Proxy Statement relating to its 2024 Annual Meeting of Stockholders, to be filed with the SEC within 120 days after the end of the fiscal year ended December 31, 2023, are incorporated herein by reference in Part 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10205" w:type="dxa"/>
        <w:jc w:val="center"/>
        <w:tblInd w:w="0" w:type="dxa"/>
        <w:tblLayout w:type="fixed"/>
        <w:tblCellMar>
          <w:top w:w="28" w:type="dxa"/>
          <w:left w:w="28" w:type="dxa"/>
          <w:bottom w:w="28" w:type="dxa"/>
          <w:right w:w="28" w:type="dxa"/>
        </w:tblCellMar>
      </w:tblPr>
      <w:tblGrid>
        <w:gridCol w:w="308"/>
        <w:gridCol w:w="270"/>
        <w:gridCol w:w="278"/>
        <w:gridCol w:w="2961"/>
        <w:gridCol w:w="2952"/>
        <w:gridCol w:w="2969"/>
        <w:gridCol w:w="136"/>
        <w:gridCol w:w="136"/>
        <w:gridCol w:w="195"/>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9">
              <w:r>
                <w:rPr>
                  <w:rStyle w:val="InternetLink"/>
                  <w:rFonts w:ascii="Times New Roman;sans-serif" w:hAnsi="Times New Roman;sans-serif"/>
                  <w:b w:val="false"/>
                  <w:color w:val="000000"/>
                  <w:sz w:val="20"/>
                  <w:u w:val="single"/>
                </w:rPr>
                <w:t>PART I</w:t>
              </w:r>
            </w:hyperlink>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22">
              <w:r>
                <w:rPr>
                  <w:rStyle w:val="InternetLink"/>
                  <w:rFonts w:ascii="Times New Roman;sans-serif" w:hAnsi="Times New Roman;sans-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22">
              <w:r>
                <w:rPr>
                  <w:rStyle w:val="InternetLink"/>
                  <w:rFonts w:ascii="Times New Roman;sans-serif" w:hAnsi="Times New Roman;sans-serif"/>
                  <w:b w:val="false"/>
                  <w:color w:val="000000"/>
                  <w:sz w:val="20"/>
                  <w:u w:val="single"/>
                </w:rPr>
                <w:t>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82">
              <w:r>
                <w:rPr>
                  <w:rStyle w:val="InternetLink"/>
                  <w:rFonts w:ascii="Times New Roman;sans-serif" w:hAnsi="Times New Roman;sans-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82">
              <w:r>
                <w:rPr>
                  <w:rStyle w:val="InternetLink"/>
                  <w:rFonts w:ascii="Times New Roman;sans-serif" w:hAnsi="Times New Roman;sans-serif"/>
                  <w:b w:val="false"/>
                  <w:color w:val="000000"/>
                  <w:sz w:val="20"/>
                  <w:u w:val="single"/>
                </w:rPr>
                <w:t>15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09">
              <w:r>
                <w:rPr>
                  <w:rStyle w:val="InternetLink"/>
                  <w:rFonts w:ascii="Times New Roman;sans-serif" w:hAnsi="Times New Roman;sans-serif"/>
                  <w:b w:val="false"/>
                  <w:color w:val="0000FF"/>
                  <w:sz w:val="20"/>
                  <w:u w:val="single"/>
                </w:rPr>
                <w:t>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09">
              <w:r>
                <w:rPr>
                  <w:rStyle w:val="InternetLink"/>
                  <w:rFonts w:ascii="Times New Roman;sans-serif" w:hAnsi="Times New Roman;sans-serif"/>
                  <w:b w:val="false"/>
                  <w:color w:val="000000"/>
                  <w:sz w:val="20"/>
                  <w:u w:val="single"/>
                </w:rPr>
                <w:t>61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2739">
              <w:r>
                <w:rPr>
                  <w:rStyle w:val="InternetLink"/>
                  <w:rFonts w:ascii="Times New Roman;sans-serif" w:hAnsi="Times New Roman;sans-serif"/>
                  <w:b w:val="false"/>
                  <w:color w:val="000080"/>
                  <w:sz w:val="20"/>
                  <w:u w:val="single"/>
                </w:rPr>
                <w:t>C</w:t>
              </w:r>
            </w:hyperlink>
            <w:hyperlink w:anchor="ia8c129095af541e48f545729b1ad120d_2739">
              <w:r>
                <w:rPr>
                  <w:rStyle w:val="InternetLink"/>
                  <w:rFonts w:ascii="Times New Roman;sans-serif" w:hAnsi="Times New Roman;sans-serif"/>
                  <w:b w:val="false"/>
                  <w:color w:val="000080"/>
                  <w:sz w:val="20"/>
                  <w:u w:val="single"/>
                </w:rPr>
                <w:t>ybersecurity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2739">
              <w:r>
                <w:rPr>
                  <w:rStyle w:val="InternetLink"/>
                  <w:rFonts w:ascii="Times New Roman;sans-serif" w:hAnsi="Times New Roman;sans-serif"/>
                  <w:b w:val="false"/>
                  <w:color w:val="000000"/>
                  <w:sz w:val="20"/>
                  <w:u w:val="single"/>
                </w:rPr>
                <w:t>61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12">
              <w:r>
                <w:rPr>
                  <w:rStyle w:val="InternetLink"/>
                  <w:rFonts w:ascii="Times New Roman;sans-serif" w:hAnsi="Times New Roman;sans-serif"/>
                  <w:b w:val="false"/>
                  <w:color w:val="0000FF"/>
                  <w:sz w:val="20"/>
                  <w:u w:val="single"/>
                </w:rPr>
                <w:t>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12">
              <w:r>
                <w:rPr>
                  <w:rStyle w:val="InternetLink"/>
                  <w:rFonts w:ascii="Times New Roman;sans-serif" w:hAnsi="Times New Roman;sans-serif"/>
                  <w:b w:val="false"/>
                  <w:color w:val="000000"/>
                  <w:sz w:val="20"/>
                  <w:u w:val="single"/>
                </w:rPr>
                <w:t>62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15">
              <w:r>
                <w:rPr>
                  <w:rStyle w:val="InternetLink"/>
                  <w:rFonts w:ascii="Times New Roman;sans-serif" w:hAnsi="Times New Roman;sans-serif"/>
                  <w:b w:val="false"/>
                  <w:color w:val="0000FF"/>
                  <w:sz w:val="20"/>
                  <w:u w:val="single"/>
                </w:rPr>
                <w:t>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15">
              <w:r>
                <w:rPr>
                  <w:rStyle w:val="InternetLink"/>
                  <w:rFonts w:ascii="Times New Roman;sans-serif" w:hAnsi="Times New Roman;sans-serif"/>
                  <w:b w:val="false"/>
                  <w:color w:val="000000"/>
                  <w:sz w:val="20"/>
                  <w:u w:val="single"/>
                </w:rPr>
                <w:t>62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18">
              <w:r>
                <w:rPr>
                  <w:rStyle w:val="InternetLink"/>
                  <w:rFonts w:ascii="Times New Roman;sans-serif" w:hAnsi="Times New Roman;sans-serif"/>
                  <w:b w:val="false"/>
                  <w:color w:val="0000FF"/>
                  <w:sz w:val="20"/>
                  <w:u w:val="single"/>
                </w:rPr>
                <w:t>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18">
              <w:r>
                <w:rPr>
                  <w:rStyle w:val="InternetLink"/>
                  <w:rFonts w:ascii="Times New Roman;sans-serif" w:hAnsi="Times New Roman;sans-serif"/>
                  <w:b w:val="false"/>
                  <w:color w:val="000000"/>
                  <w:sz w:val="20"/>
                  <w:u w:val="single"/>
                </w:rPr>
                <w:t>62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21">
              <w:r>
                <w:rPr>
                  <w:rStyle w:val="InternetLink"/>
                  <w:rFonts w:ascii="Times New Roman;sans-serif" w:hAnsi="Times New Roman;sans-serif"/>
                  <w:b w:val="false"/>
                  <w:color w:val="000000"/>
                  <w:sz w:val="20"/>
                  <w:u w:val="single"/>
                </w:rPr>
                <w:t>PART II</w:t>
              </w:r>
            </w:hyperlink>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2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24">
              <w:r>
                <w:rPr>
                  <w:rStyle w:val="InternetLink"/>
                  <w:rFonts w:ascii="Times New Roman;sans-serif" w:hAnsi="Times New Roman;sans-serif"/>
                  <w:b w:val="false"/>
                  <w:color w:val="000000"/>
                  <w:sz w:val="20"/>
                  <w:u w:val="single"/>
                </w:rPr>
                <w:t>63</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27">
              <w:r>
                <w:rPr>
                  <w:rStyle w:val="InternetLink"/>
                  <w:rFonts w:ascii="Times New Roman;sans-serif" w:hAnsi="Times New Roman;sans-serif"/>
                  <w:b w:val="false"/>
                  <w:color w:val="0000FF"/>
                  <w:sz w:val="20"/>
                  <w:u w:val="single"/>
                </w:rPr>
                <w:t>[Reserved]</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27">
              <w:r>
                <w:rPr>
                  <w:rStyle w:val="InternetLink"/>
                  <w:rFonts w:ascii="Times New Roman;sans-serif" w:hAnsi="Times New Roman;sans-serif"/>
                  <w:b w:val="false"/>
                  <w:color w:val="000000"/>
                  <w:sz w:val="20"/>
                  <w:u w:val="single"/>
                </w:rPr>
                <w:t>64</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13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130">
              <w:r>
                <w:rPr>
                  <w:rStyle w:val="InternetLink"/>
                  <w:rFonts w:ascii="Times New Roman;sans-serif" w:hAnsi="Times New Roman;sans-serif"/>
                  <w:b w:val="false"/>
                  <w:color w:val="000000"/>
                  <w:sz w:val="20"/>
                  <w:u w:val="single"/>
                </w:rPr>
                <w:t>64</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229">
              <w:r>
                <w:rPr>
                  <w:rStyle w:val="InternetLink"/>
                  <w:rFonts w:ascii="Times New Roman;sans-serif" w:hAnsi="Times New Roman;sans-serif"/>
                  <w:b w:val="false"/>
                  <w:color w:val="0000FF"/>
                  <w:sz w:val="20"/>
                  <w:u w:val="single"/>
                </w:rPr>
                <w:t>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229">
              <w:r>
                <w:rPr>
                  <w:rStyle w:val="InternetLink"/>
                  <w:rFonts w:ascii="Times New Roman;sans-serif" w:hAnsi="Times New Roman;sans-serif"/>
                  <w:b w:val="false"/>
                  <w:color w:val="000000"/>
                  <w:sz w:val="20"/>
                  <w:u w:val="single"/>
                </w:rPr>
                <w:t>82</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235">
              <w:r>
                <w:rPr>
                  <w:rStyle w:val="InternetLink"/>
                  <w:rFonts w:ascii="Times New Roman;sans-serif" w:hAnsi="Times New Roman;sans-serif"/>
                  <w:b w:val="false"/>
                  <w:color w:val="0000FF"/>
                  <w:sz w:val="20"/>
                  <w:u w:val="single"/>
                </w:rPr>
                <w:t>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232">
              <w:r>
                <w:rPr>
                  <w:rStyle w:val="InternetLink"/>
                  <w:rFonts w:ascii="Times New Roman;sans-serif" w:hAnsi="Times New Roman;sans-serif"/>
                  <w:b w:val="false"/>
                  <w:color w:val="000000"/>
                  <w:sz w:val="20"/>
                  <w:u w:val="single"/>
                </w:rPr>
                <w:t>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3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33">
              <w:r>
                <w:rPr>
                  <w:rStyle w:val="InternetLink"/>
                  <w:rFonts w:ascii="Times New Roman;sans-serif" w:hAnsi="Times New Roman;sans-serif"/>
                  <w:b w:val="false"/>
                  <w:color w:val="000000"/>
                  <w:sz w:val="20"/>
                  <w:u w:val="single"/>
                </w:rPr>
                <w:t>125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36">
              <w:r>
                <w:rPr>
                  <w:rStyle w:val="InternetLink"/>
                  <w:rFonts w:ascii="Times New Roman;sans-serif" w:hAnsi="Times New Roman;sans-serif"/>
                  <w:b w:val="false"/>
                  <w:color w:val="0000FF"/>
                  <w:sz w:val="20"/>
                  <w:u w:val="single"/>
                </w:rPr>
                <w:t>Controls and Procedures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36">
              <w:r>
                <w:rPr>
                  <w:rStyle w:val="InternetLink"/>
                  <w:rFonts w:ascii="Times New Roman;sans-serif" w:hAnsi="Times New Roman;sans-serif"/>
                  <w:b w:val="false"/>
                  <w:color w:val="000000"/>
                  <w:sz w:val="20"/>
                  <w:u w:val="single"/>
                </w:rPr>
                <w:t>125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39">
              <w:r>
                <w:rPr>
                  <w:rStyle w:val="InternetLink"/>
                  <w:rFonts w:ascii="Times New Roman;sans-serif" w:hAnsi="Times New Roman;sans-serif"/>
                  <w:b w:val="false"/>
                  <w:color w:val="0000FF"/>
                  <w:sz w:val="20"/>
                  <w:u w:val="single"/>
                </w:rPr>
                <w:t>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39">
              <w:r>
                <w:rPr>
                  <w:rStyle w:val="InternetLink"/>
                  <w:rFonts w:ascii="Times New Roman;sans-serif" w:hAnsi="Times New Roman;sans-serif"/>
                  <w:b w:val="false"/>
                  <w:color w:val="000000"/>
                  <w:sz w:val="20"/>
                  <w:u w:val="single"/>
                </w:rPr>
                <w:t>125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42">
              <w:r>
                <w:rPr>
                  <w:rStyle w:val="InternetLink"/>
                  <w:rFonts w:ascii="Times New Roman;sans-serif" w:hAnsi="Times New Roman;sans-serif"/>
                  <w:b w:val="false"/>
                  <w:color w:val="0000FF"/>
                  <w:sz w:val="20"/>
                  <w:u w:val="single"/>
                </w:rPr>
                <w:t>Disclosure Regarding Foreign Jurisdictions that Prevent Inspections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39">
              <w:r>
                <w:rPr>
                  <w:rStyle w:val="InternetLink"/>
                  <w:rFonts w:ascii="Times New Roman;sans-serif" w:hAnsi="Times New Roman;sans-serif"/>
                  <w:b w:val="false"/>
                  <w:color w:val="000000"/>
                  <w:sz w:val="20"/>
                  <w:u w:val="single"/>
                </w:rPr>
                <w:t>125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45">
              <w:r>
                <w:rPr>
                  <w:rStyle w:val="InternetLink"/>
                  <w:rFonts w:ascii="Times New Roman;sans-serif" w:hAnsi="Times New Roman;sans-serif"/>
                  <w:b w:val="false"/>
                  <w:color w:val="000000"/>
                  <w:sz w:val="20"/>
                  <w:u w:val="single"/>
                </w:rPr>
                <w:t>PART III</w:t>
              </w:r>
            </w:hyperlink>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48">
              <w:r>
                <w:rPr>
                  <w:rStyle w:val="InternetLink"/>
                  <w:rFonts w:ascii="Times New Roman;sans-serif" w:hAnsi="Times New Roman;sans-serif"/>
                  <w:b w:val="false"/>
                  <w:color w:val="0000FF"/>
                  <w:sz w:val="20"/>
                  <w:u w:val="single"/>
                </w:rPr>
                <w:t>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48">
              <w:r>
                <w:rPr>
                  <w:rStyle w:val="InternetLink"/>
                  <w:rFonts w:ascii="Times New Roman;sans-serif" w:hAnsi="Times New Roman;sans-serif"/>
                  <w:b w:val="false"/>
                  <w:color w:val="000000"/>
                  <w:sz w:val="20"/>
                  <w:u w:val="single"/>
                </w:rPr>
                <w:t>127</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51">
              <w:r>
                <w:rPr>
                  <w:rStyle w:val="InternetLink"/>
                  <w:rFonts w:ascii="Times New Roman;sans-serif" w:hAnsi="Times New Roman;sans-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51">
              <w:r>
                <w:rPr>
                  <w:rStyle w:val="InternetLink"/>
                  <w:rFonts w:ascii="Times New Roman;sans-serif" w:hAnsi="Times New Roman;sans-serif"/>
                  <w:b w:val="false"/>
                  <w:color w:val="000000"/>
                  <w:sz w:val="20"/>
                  <w:u w:val="single"/>
                </w:rPr>
                <w:t>129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5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54">
              <w:r>
                <w:rPr>
                  <w:rStyle w:val="InternetLink"/>
                  <w:rFonts w:ascii="Times New Roman;sans-serif" w:hAnsi="Times New Roman;sans-serif"/>
                  <w:b w:val="false"/>
                  <w:color w:val="000000"/>
                  <w:sz w:val="20"/>
                  <w:u w:val="single"/>
                </w:rPr>
                <w:t>129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5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57">
              <w:r>
                <w:rPr>
                  <w:rStyle w:val="InternetLink"/>
                  <w:rFonts w:ascii="Times New Roman;sans-serif" w:hAnsi="Times New Roman;sans-serif"/>
                  <w:b w:val="false"/>
                  <w:color w:val="000000"/>
                  <w:sz w:val="20"/>
                  <w:u w:val="single"/>
                </w:rPr>
                <w:t>129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60">
              <w:r>
                <w:rPr>
                  <w:rStyle w:val="InternetLink"/>
                  <w:rFonts w:ascii="Times New Roman;sans-serif" w:hAnsi="Times New Roman;sans-serif"/>
                  <w:b w:val="false"/>
                  <w:color w:val="0000FF"/>
                  <w:sz w:val="20"/>
                  <w:u w:val="single"/>
                </w:rPr>
                <w:t>Principal Accountant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60">
              <w:r>
                <w:rPr>
                  <w:rStyle w:val="InternetLink"/>
                  <w:rFonts w:ascii="Times New Roman;sans-serif" w:hAnsi="Times New Roman;sans-serif"/>
                  <w:b w:val="false"/>
                  <w:color w:val="000000"/>
                  <w:sz w:val="20"/>
                  <w:u w:val="single"/>
                </w:rPr>
                <w:t>129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63">
              <w:r>
                <w:rPr>
                  <w:rStyle w:val="InternetLink"/>
                  <w:rFonts w:ascii="Times New Roman;sans-serif" w:hAnsi="Times New Roman;sans-serif"/>
                  <w:b w:val="false"/>
                  <w:color w:val="000000"/>
                  <w:sz w:val="20"/>
                  <w:u w:val="single"/>
                </w:rPr>
                <w:t>PART IV</w:t>
              </w:r>
            </w:hyperlink>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66">
              <w:r>
                <w:rPr>
                  <w:rStyle w:val="InternetLink"/>
                  <w:rFonts w:ascii="Times New Roman;sans-serif" w:hAnsi="Times New Roman;sans-serif"/>
                  <w:b w:val="false"/>
                  <w:color w:val="0000FF"/>
                  <w:sz w:val="20"/>
                  <w:u w:val="single"/>
                </w:rPr>
                <w:t>Exhibits,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66">
              <w:r>
                <w:rPr>
                  <w:rStyle w:val="InternetLink"/>
                  <w:rFonts w:ascii="Times New Roman;sans-serif" w:hAnsi="Times New Roman;sans-serif"/>
                  <w:b w:val="false"/>
                  <w:color w:val="000000"/>
                  <w:sz w:val="20"/>
                  <w:u w:val="single"/>
                </w:rPr>
                <w:t>131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c129095af541e48f545729b1ad120d_469">
              <w:r>
                <w:rPr>
                  <w:rStyle w:val="InternetLink"/>
                  <w:rFonts w:ascii="Times New Roman;sans-serif" w:hAnsi="Times New Roman;sans-serif"/>
                  <w:b w:val="false"/>
                  <w:color w:val="0000FF"/>
                  <w:sz w:val="20"/>
                  <w:u w:val="single"/>
                </w:rPr>
                <w:t>Form 10-K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c129095af541e48f545729b1ad120d_469">
              <w:r>
                <w:rPr>
                  <w:rStyle w:val="InternetLink"/>
                  <w:rFonts w:ascii="Times New Roman;sans-serif" w:hAnsi="Times New Roman;sans-serif"/>
                  <w:b w:val="false"/>
                  <w:color w:val="000000"/>
                  <w:sz w:val="20"/>
                  <w:u w:val="single"/>
                </w:rPr>
                <w:t>134</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center"/>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or terminology. Forward-looking statements contained in this Annual Report on Form 10-K include, but are not limited to, statements regarding our future results of operations and financial position, industry and business trends, projections of demand, growth prospects, product development, competitive pressure, cost savings, stock-based compensation, revenue recognition, business strategy, plans and market growth, the economic climate and its impact on us, and other financial and market matters.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Annual Report on Form 10-K are only predictions. We have based these forward-looking statements largely on our current assumptions,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2023.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on Form 10-K, unless otherwise stated or the context requires otherwise, references to “Kaltura,” the “Company,” “we,” “us,” and “our,” refer to Kaltura, Inc. and its subsidiaries on a consolidated basis.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INDUSTRY AND MARKET DATA</w:t>
      </w:r>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information contained in this Annual Report on Form 10-K concerning our industry and the markets in which we operate is based on information from independent industry and research organizations, other third-party sources, and management estimates. Certain of these publications, studies and reports were published before the COVID-19 pandemic and before the resulting effects on the global economy in general and video solutions market in particular, and the current worsening economic climate, and therefore do not reflect any impact of the COVID-19 pandemic or the effects of the worsening economic climate on any specific market or globally. Management estimates are derived from publicly available information released by independent industry analysts and third-party sources, as well as data from our internal research, and are based on assumptions made by us upon reviewing such data and our familiarity or knowledge of such industry and markets, which we believe to be reasonable. Although we believe the data from these third-party sources is reliable, we have not independently verified any third-party information and such data may include forward looking statements, projections, predictions, estimations and assessments within the meaning referenced above by these third-party sources. In addition, projections, assumptions, and estimates of the future performance of the industry in which we operate and our future performance are necessarily subject to uncertainty and risk due to a variety of factors, including those described in Part I, Item 1A. “Risk Factors” and the section titled “Forward-Looking Statements.” These and other factors could cause results to differ materially from those expressed in the estimates made by the independent parties and by us. </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In particular, certain information identified in this Annual Report on Form 10-K is contained in the following independent industry publications or reports by Forrester Research, Inc. (“Forrester”) and Gartner, Inc. (“Gartner”)</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lineRule="auto" w:line="268" w:before="0" w:after="180"/>
        <w:ind w:left="0" w:right="0" w:hanging="360"/>
        <w:jc w:val="both"/>
        <w:rPr/>
      </w:pPr>
      <w:r>
        <w:rPr>
          <w:color w:val="000000"/>
        </w:rPr>
        <w:t>•</w:t>
      </w:r>
      <w:r>
        <w:rPr>
          <w:rFonts w:ascii="Times New Roman;sans-serif" w:hAnsi="Times New Roman;sans-serif"/>
          <w:b w:val="false"/>
          <w:color w:val="000000"/>
          <w:sz w:val="20"/>
        </w:rPr>
        <w:t xml:space="preserve">Gartner, Market Guide for Enterprise Video Content Management, September 2020.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Gartner, Magic Quadrant™ for Enterprise Video Content Management, September 2013, October 2014, November 2015, November 2016 and November 2018.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Gartner, Critical Capabilities for Enterprise Video Content Management, March 2019.</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Gartner, Magic Quadrant for Meeting Solutions, October 2020.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Gartner, Magic Quadrant for Meeting Solutions, October 2021.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Gartner, Critical Capabilities for Meeting Solutions, October 2021.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Gartner, Market Guide for Event Technology Platforms, May 2022.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Gartner, Market Guide for Meeting Solutions, October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Gartner, Market Guide for Event Technology Platforms, June 2023.</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Gartner, Market Guide for Meeting Solutions, November 2023.</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Gartner, Market Finder and Use Case Guide for Meetings and Virtual Events, August 2023.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Gartner Peer Insights: Enterprise Video Content Management, https://www.gartner.com/reviews/market/enterprise-video-content-management/vendor/kaltura/product/kaltura-video-platform; Meeting Solutions, https://www.gartner.com/reviews/market/meeting-solutions/vendor/kaltura/product/kaltura-video-communications-and-collaboration-suite, Event Management Technology, https://www.gartner.com/reviews/market/event-technology-platforms/vendor/kaltura?ref=solrcvp&amp;refval=394436571.</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Forrester, The Forrester Wave™: B2B Marketing Events Management Solutions, Q1 2021.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Forrester, The B2B Event Management Technology Landscape, Q4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Forrester Wave™: B2B Event Management Technology, Q1 2023.</w:t>
      </w:r>
    </w:p>
    <w:p>
      <w:pPr>
        <w:pStyle w:val="TextBody"/>
        <w:bidi w:val="0"/>
        <w:spacing w:before="0" w:after="0"/>
        <w:jc w:val="left"/>
        <w:rPr/>
      </w:pPr>
      <w:r>
        <w:rPr/>
      </w:r>
    </w:p>
    <w:p>
      <w:pPr>
        <w:pStyle w:val="TextBody"/>
        <w:bidi w:val="0"/>
        <w:spacing w:lineRule="auto" w:line="288" w:before="0" w:after="18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(1)    Gartner's Magic Quadrant and Critical Capabilities references are provided for historical purposes only and do not reflect current market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5915"/>
                <wp:effectExtent l="0" t="0" r="0" b="0"/>
                <wp:wrapNone/>
                <wp:docPr id="5" name="Frame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GARTNER and MAGIC QUADRANT are registered trademarks and service marks of Gartner, Inc. and/or its affiliates in the U.S. and internationally and are used herein with permission. All rights reserved.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Gartner® and Peer Insights™ are trademarks of Gartner, Inc. and/or its affiliates. All rights reserved.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Gartner Peer Insights content consists of the opinions of individual end users based on their own experiences, and should not be construed as statements of fact, nor do they represent the views of Gartner or its affiliates. Gartner does not endorse any vendor, product or service depicted in this content nor makes any warranties, expressed or implied, with respect to this content, about its accuracy or completeness, including any warranties of merchantability or fitness for a particular purpose.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Form 10-K) and the opinions expressed in the Gartner Content are subject to change without notice.</w:t>
      </w:r>
    </w:p>
    <w:p>
      <w:pPr>
        <w:pStyle w:val="TextBody"/>
        <w:bidi w:val="0"/>
        <w:spacing w:before="0" w:after="180"/>
        <w:ind w:left="0" w:right="0" w:firstLine="490"/>
        <w:jc w:val="both"/>
        <w:rPr/>
      </w:pPr>
      <w:r>
        <w:rPr/>
      </w:r>
    </w:p>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5915"/>
                <wp:effectExtent l="0" t="0" r="0" b="0"/>
                <wp:wrapNone/>
                <wp:docPr id="6"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SUMMARY RISK FACTORS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 Item 1A. “Risk Factors” in this Annual Report on Form 10-K. You should carefully consider these risks and uncertainties when investing in, or taking other decisions with respect to, our common stock. The principal risks and uncertainties affecting our business include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not be able to successfully assess or mitigate the current volatile economic climate and its direct and indirect impact on our business and operations, including our customers and vendors, or to correctly predict the duration and depth of the current instability of the global economy and take the right or sufficient measures to address it;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economic, and military conditions in Israel, such as the current conflicts with Hamas and Hezbollah, could materially and adversely affect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dependency on existing customer demand and exposure to changes in demand by our customers, loss of one or more of our significant customers, or any other reduction in the amount of revenue we derive from any such customer, including as a result from reasons not under our control, makes it difficult to evaluate our current business and future prospects and may increase the risk that our business, financial condition, results of operations and growth prospects, which could be adversely affected;</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We have a history of losses and may not be able to achieve or maintain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future success depends on the growth and expansion of the markets for our offerings, which are constantly evolving and may develop more slowly or differently than we expect, and on our ability to adapt and respond effectively to evolving market conditions;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face risks associated with our use of certain artificial intelligence ("AI") and machine learning models, including generative artificial intelligence ("generative AI" or "GenAI") and compliance with the evolving regulatory framework around AI development and use;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(and vice-versa), our business, financial condition and results of operations may be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Part of our Application Programming Interfaces (APIs) and other components in our offerings are licensed to the public under an open-source license, which could negatively affect our ability to monetize our offerings and protect our intellectual property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markets in which we compete are nascent and highly fragmented, and we may not be able to compete successfully against current and future competitors, some of whom have greater financial, technical, and other resources than we do, or can provide a bundled offering and solutions that might be more attractive to our customers enabling them to better compete with us, which could harm our business, financial condition and results of operations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increase sales of our subscriptions to new customers, expand the offerings to which our existing customers subscribe or the value of their subscriptions, or have them renew their subscriptions in terms that are economically beneficial to us, our future revenue and results of operations would be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Political, economic, and military conditions in Ukraine, Russia and other countries following the Russian invasion to Ukraine, geopolitical instability and hostilities in the Middle East and Gulf region and their possible impact on global trade and financial markets, or such and other conditions in other regions in which we operate, or changes in the business environment in those regions, could materially and adversely affect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recognize a significant portion of revenue from subscriptions over the term of the relevant subscription period, and as a result, downturns or upturns in sales are not immediately reflected in full in our results of operations;</w:t>
      </w:r>
    </w:p>
    <w:p>
      <w:pPr>
        <w:pStyle w:val="TextBody"/>
        <w:bidi w:val="0"/>
        <w:spacing w:lineRule="auto" w:line="288" w:before="0" w:after="180"/>
        <w:ind w:left="0" w:right="0" w:firstLine="490"/>
        <w:jc w:val="both"/>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5915"/>
                <wp:effectExtent l="0" t="0" r="0" b="0"/>
                <wp:wrapNone/>
                <wp:docPr id="7"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Increased breaches of network or information technology security along with an increase in cyber-attack activities, increases the risk that we shall be subject to cybersecurity threats that could have an adverse effect on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Data privacy and data protection laws are rapidly evolving and present increasing compliance challenges. Additionally, 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typically provide service-level commitments and offer customer support under our customer agreements. If we fail to meet these contractual commitments, we could be obligated to provide credits for future service, face contract termination with refunds of prepaid amounts, be charged penalties, or could experience a decrease in customer renewals in future periods, any of which would lower our revenue and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third parties, including third parties outside the United States, for some of our software development, quality assurance, operations, and customer support;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depend on our management team and other key employees, and the loss of one or more of these employees or an inability to attract and retain highly skilled employees could adversely affect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failure to effectively develop and expand our marketing and sales capabilities or to maintain or expand our international business could harm our ability to increase our customer base and achieve broader market acceptance of our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expect our revenue mix to vary over time, which could negatively impact our gross margin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international operations and expansion expose us to risk;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portion of our revenue is generated by sales to government entities, which are subject to a number of challenges and risks;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consummate acquisitions at acceptable rate or prices or achieve our expected goals, and to enter into other strategic transactions and relationships that support our long-term strategy, our growth rate and the trading price of our common stock could be negatively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real or perceived bug, defect, security vulnerability, error, or other performance failure involving our platform, products or solutions could cause us to lose revenue, damage our reputation, and expose us to liability;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protect our proprietary technology, or to obtain, maintain, protect and enforce sufficiently broad intellectual property rights therein, could substantially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failure to raise additional capital or generate the significant capital necessary to expand our operations and invest in new offerings could reduce our ability to compete and could adversely affect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5915"/>
                <wp:effectExtent l="0" t="0" r="0" b="0"/>
                <wp:wrapNone/>
                <wp:docPr id="8" name="Frame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power any video experience, for any organization.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Video is everywhere. It has become a driving force for online interactions and engagement, and has revolutionized how we communicate, work, learn, and entertain. For businesses, video sits at the heart of digital transformation, with organizations increasingly embracing video solutions to better engage with customers and employees. The COVID-19 pandemic accelerated the use and adoption of video, while creating a long-lasting remote operation culture across all sectors. Moreover, generative AI enables real-time, automatic production of highly personalized and contextually-relevant content, including video and rich media, that we believe would materially boost the creation, consumption, and business impact of video experiences. With the expected growth in rich content in organizations, the potential need for content management solutions and advanced digital experiences is expected to grow.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Kaltura's Video Experience Cloud includes products that power digital experiences such as virtual and hybrid events, webinars, online learning, and content portals for large enterprises and small and medium enterprises (SMEs), across all industries, including technology, financial services, healthcare and pharma, IT &amp; professional services, retail and manufacturing. In 2023, we broadened our suite of offerings for marketers, successfully attracting new clients and stakeholders across Marketing Technology (MarTech), Field Marketing, and Chief Marketing Officer (CMO) groups.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also includes industry-specific solutions, currently for the Education and Media and Telecom industries. For developers, it includes an extensive array of Application Programming Interfaces (APIs) and developer tools that enable them to build other media workflows, integrations, and industry solutions.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Kaltura has long been recognized by top industry analysts as a leader in the Enterprise Video Content Management market, which includes experiences that are based on video-on-demand and live broadcast/streaming. In 2020 we expanded our offerings to power experiences that harness two-way real-time-communication (RTC) with the launch of our new products for virtual and hybrid events, webinars and online learning. Since then, the capabilities of our event and webinar platform that incorporates our virtual meeting rooms have also been recognized by those same analysts. These newer products now incorporate our full stack of on-demand, live and RTC technology, designed to provide our customers with the utmost level of flexibility and variety when crafting their digital experiences.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Video Experience Cloud is used by leading brands, reaching millions of users, at home, at school and at work. Organizations from a wide range of industries, including financial services, technology, professional services, healthcare, pharma, education, public sector and media and telecommunications, trust Kaltura to power their digital experiences for marketing, events, communication, collaboration, sales, customer care, training and learning, and entertainment experiences.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the COVID-19 pandemic, Kaltura demonstrated a track record of double digit revenue growth while having positive adjusted EBITDA. In 2020 and most of 2021 there was increased demand for video services due to the COVID pandemic across enterprises and in the education sector, which led to further acceleration of our year-on-year revenue growth. Beginning in the fourth quarter of 2021, revenue growth has decreased, which we attribute to the post-COVID return to offices and university campuses, and subsequently to the economic slowdown and financial markets instability that resulted from the increase in inflation and interest rates, and geopolitical unrest.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our Board of Directors approved a strategic restructuring program (the “2022 Restructuring Plan”) to streamline our operations in order to support our investment in critical growth areas. The 2022 Restructuring Plan included, among other things, a workforce reduction of approximately 10% of our employees. The 2022 Restructuring Plan was substantially completed in 2022. On January 3, 2023, our Board of Directors approved a re-organization plan (the “2023 Reorganization Plan” and together with the 2022 Restructuring Plan, the “Reorganization Plans”) that included, among other things, downsizing an additional 11% of our workforce and adapting our organizational structure, roles, and responsibilities accordingly, to realign our operations, with a goal of increasing efficiency and productivity, in reaction to the macro-economic climate, position the Company for lower demand, spend, and available budgets across our market segments, align our business strategy in light of these market conditions and support our growth initiatives and our return path to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5915"/>
                <wp:effectExtent l="0" t="0" r="0" b="0"/>
                <wp:wrapNone/>
                <wp:docPr id="9" name="Frame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2023 Reorganization Plan was substantially completed in 2023. See Note 18, Restructuring Activities, for further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foresee great potential and growth opportunities for rich media digital experiences, and we believe Kaltura is well positioned with our robust offering and strong customer base in this growing market. We intend to continue to innovate and invest in our products and technology to maintain and improve our market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Key Industry Trends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nature of video consumption has transformed in recent years. We have observed the following trends playing a role in this evolution: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Shift to Remote Work and Education:</w:t>
      </w:r>
      <w:r>
        <w:rPr>
          <w:color w:val="000000"/>
        </w:rPr>
        <w:t xml:space="preserve"> </w:t>
      </w:r>
      <w:r>
        <w:rPr>
          <w:rFonts w:ascii="Times New Roman;sans-serif" w:hAnsi="Times New Roman;sans-serif"/>
          <w:b w:val="false"/>
          <w:color w:val="000000"/>
          <w:sz w:val="20"/>
        </w:rPr>
        <w:t>The world is settling into a "new normal" that includes remote and hybrid work and learning practices that rely heavily on video, and that require complex, integrated video workflows and analytics, to create comprehensive digital experiences at scale. The need for high-quality remote and hybrid digital experiences has become increasingly important with the recent trend towards reduced business travel to address companies' budgetary constraints and commitments to climate change and reduction in carbon footprint.</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Events are No Longer just In-Person</w:t>
      </w:r>
      <w:r>
        <w:rPr>
          <w:rFonts w:ascii="Times New Roman;sans-serif" w:hAnsi="Times New Roman;sans-serif"/>
          <w:b w:val="false"/>
          <w:color w:val="000000"/>
          <w:sz w:val="20"/>
        </w:rPr>
        <w:t xml:space="preserve">: Marketers and event organizers embrace virtual and hybrid experiences as part of their engagement strategy. The core of these experiences is video, with growing interest in in-depth engagement analytics.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Growing Importance of Employer Branding</w:t>
      </w:r>
      <w:r>
        <w:rPr>
          <w:rFonts w:ascii="Times New Roman;sans-serif" w:hAnsi="Times New Roman;sans-serif"/>
          <w:b w:val="false"/>
          <w:color w:val="000000"/>
          <w:sz w:val="20"/>
        </w:rPr>
        <w:t>: Companies are increasingly promoting their brand both externally, for customer and prospect marketing, and internally, for employee recruitment and retention. Communications by marketing to external audiences and internal company human resource and executive communications are getting closer in term of their needs, as companies are increasingly looking for the same level of experience for both audiences.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Focus on First Party Data</w:t>
      </w:r>
      <w:r>
        <w:rPr>
          <w:rFonts w:ascii="Times New Roman;sans-serif" w:hAnsi="Times New Roman;sans-serif"/>
          <w:b w:val="false"/>
          <w:color w:val="000000"/>
          <w:sz w:val="20"/>
        </w:rPr>
        <w:t xml:space="preserve">: Marketers increasingly are relying on user consent and first party data to target their audiences, given, among other things, recent changes to privacy and data regulations that disincentive usage of third-party data. This shifts the focus to creators of digital experiences, which are key drivers of first party data, to raise the quantity and quality of the experience, as well as the breadth and depth of the data that is derived from interactions.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Rise of Over-The-Top (OTT) Video</w:t>
      </w:r>
      <w:r>
        <w:rPr>
          <w:rFonts w:ascii="Times New Roman;sans-serif" w:hAnsi="Times New Roman;sans-serif"/>
          <w:b w:val="false"/>
          <w:color w:val="000000"/>
          <w:sz w:val="20"/>
        </w:rPr>
        <w:t>: Television is increasingly delivered as an internet-based service. OTT video technology has enabled content providers to bypass the traditional distribution value chain and reach consumers directly. It also enables any organization, and even person, to easily produce and distribute video content.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Move from growth to profitability:</w:t>
      </w:r>
      <w:r>
        <w:rPr>
          <w:color w:val="000000"/>
        </w:rPr>
        <w:t xml:space="preserve"> </w:t>
      </w:r>
      <w:r>
        <w:rPr>
          <w:rFonts w:ascii="Times New Roman;sans-serif" w:hAnsi="Times New Roman;sans-serif"/>
          <w:b w:val="false"/>
          <w:color w:val="000000"/>
          <w:sz w:val="20"/>
        </w:rPr>
        <w:t>In the current unstable economic climate, we have seen a noticeable shift towards businesses streamlining operations and maximizing value by consolidating vendors. This trend is largely motivated by the need for organizations to reduce complexity, manage costs more effectively, and enhance operational efficiency. Companies are increasingly looking for versatile solutions that can cover multiple digital transformation needs - such as virtual events, corporate communications, and live streaming - within a single platform. This approach not only simplifies vendor management but also provides a more integrated and cohesive strategy for leveraging technology. By prioritizing partnerships with vendors capable of delivering comprehensive solutions, businesses can achieve greater agility, improved cost efficiencies, and a stronger competitive edge in the digital marketplace.</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Generative Artificial Intelligence on the Rise:</w:t>
      </w:r>
      <w:r>
        <w:rPr>
          <w:color w:val="000000"/>
        </w:rPr>
        <w:t xml:space="preserve"> </w:t>
      </w:r>
      <w:r>
        <w:rPr>
          <w:rFonts w:ascii="Times New Roman;sans-serif" w:hAnsi="Times New Roman;sans-serif"/>
          <w:b w:val="false"/>
          <w:color w:val="000000"/>
          <w:sz w:val="20"/>
        </w:rPr>
        <w:t xml:space="preserve">The technology revolution around generative AI has introduced a slew of ways to automate workflows, increase productivity and save costs across every department and industry. Moreover, generative AI enables real-time, automatic production of highly personalized and contextually-relevant content, including video and rich media, that we believe would materially boost the creation, consumption, and business impact of video experiences. With the expected growth in rich content in organizations, the potential need for content management solutions and advanced digital experiences is expected to grow. Generative AI is especially popular in the world of marketing technology, and we are seeing growing interest in built-in AI capabilities for marketers to leverage in a wide range of use cases across the creation and execution of video-based digital experiences.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5915"/>
                <wp:effectExtent l="0" t="0" r="0" b="0"/>
                <wp:wrapNone/>
                <wp:docPr id="10" name="Frame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Challenges That Organizations Who Want to Use Video Currently Face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Video has become a primary means for organizations of all industries to enrich sales and marketing activities, host events, communicate and collaborate, support customers and offer learning and training. However, taking full advantage of the transformational potential of video in an organization is not a trivial endeavor, and end users, content managers and business leaders must overcome significant pitfalls and challenges: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Not integrating video into existing processes, tools and systems.</w:t>
      </w:r>
      <w:r>
        <w:rPr>
          <w:color w:val="000000"/>
        </w:rPr>
        <w:t xml:space="preserve"> </w:t>
      </w:r>
      <w:r>
        <w:rPr>
          <w:rFonts w:ascii="Times New Roman;sans-serif" w:hAnsi="Times New Roman;sans-serif"/>
          <w:b w:val="false"/>
          <w:color w:val="000000"/>
          <w:sz w:val="20"/>
        </w:rPr>
        <w:t>Video is a data type, just like text, not a stand-alone application. It should therefore be tightly integrated and utilized within existing workflows and applications, rather than just be used separately as complementary standalone experiences. Most video solutions are, however, stand-alone experiences that are not tightly integrated into existing workflows, and we believe most organizations are still far from exploring the full transformational potential of video as an in integral part of their business activities.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Dealing with a large number of single purpose and often redundant video applications.</w:t>
      </w:r>
      <w:r>
        <w:rPr>
          <w:color w:val="000000"/>
        </w:rPr>
        <w:t xml:space="preserve"> </w:t>
      </w:r>
      <w:r>
        <w:rPr>
          <w:rFonts w:ascii="Times New Roman;sans-serif" w:hAnsi="Times New Roman;sans-serif"/>
          <w:b w:val="false"/>
          <w:color w:val="000000"/>
          <w:sz w:val="20"/>
        </w:rPr>
        <w:t>Many organizations are working with multiple vendors who offer point solutions for seemingly separable use cases. This also often includes utilizing different providers for on-demand, live, and real-time video, instead of meshing these experiences together. These organizations may suffer from limited functionality, a lack of cohesiveness and inconsistent user experience, disjointed workflows, content silos, and fragmented analytics that lack a holistic view of user behavior. All of this reduces usability and user engagement, adds unnecessary complexities and costs, and lowers return-on-investment.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Still offering mostly non-personalized lean-back viewing experiences.</w:t>
      </w:r>
      <w:r>
        <w:rPr>
          <w:color w:val="000000"/>
        </w:rPr>
        <w:t xml:space="preserve"> </w:t>
      </w:r>
      <w:r>
        <w:rPr>
          <w:rFonts w:ascii="Times New Roman;sans-serif" w:hAnsi="Times New Roman;sans-serif"/>
          <w:b w:val="false"/>
          <w:color w:val="000000"/>
          <w:sz w:val="20"/>
        </w:rPr>
        <w:t xml:space="preserve">Currently, most common systems still offer unified passive viewing experiences that are not optimized or personalized for users' needs, and do not encourage them to interact with the content or contribute their own. This greatly limits engagement and reduces return-on-investment.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Being vulnerable to mission-critical risks and liabilities</w:t>
      </w:r>
      <w:r>
        <w:rPr>
          <w:rFonts w:ascii="Times New Roman;sans-serif" w:hAnsi="Times New Roman;sans-serif"/>
          <w:b w:val="false"/>
          <w:color w:val="000000"/>
          <w:sz w:val="20"/>
        </w:rPr>
        <w:t xml:space="preserve">. Video is a demanding data type, and solutions that were not designed from the ground up to support the specific needs of video capture, creation, preparation, repurposing, and distribution, nor to run in scalable public clouds, have difficulties offering the availability and service level that many companies require. Security and data protections are also lacking in many video applications, as providers have not invested in the technical implementations and compliance mechanisms needed by enterprises that use video at scale for mission-critical use cases.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How Kaltura Addresses Organizations' Video Challenges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Customers trust Kaltura to power their video experiences for the following main reasons: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Advanced Video Content Management:</w:t>
      </w:r>
      <w:r>
        <w:rPr>
          <w:color w:val="000000"/>
        </w:rPr>
        <w:t xml:space="preserve"> </w:t>
      </w:r>
      <w:r>
        <w:rPr>
          <w:rFonts w:ascii="Times New Roman;sans-serif" w:hAnsi="Times New Roman;sans-serif"/>
          <w:b w:val="false"/>
          <w:color w:val="000000"/>
          <w:sz w:val="20"/>
        </w:rPr>
        <w:t>We offer a powerful and feature rich content processing, management and distribution system. Hundreds of open APIs allow developers unparalleled flexibility to build fully custom use cases and deeply, yet easily, integrate video functionality into their existing workflows and applications. Over one hundred ecosystem partners are already integrated with Kaltura.</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A Single Platform for All Video Experiences:</w:t>
      </w:r>
      <w:r>
        <w:rPr>
          <w:color w:val="000000"/>
        </w:rPr>
        <w:t xml:space="preserve"> </w:t>
      </w:r>
      <w:r>
        <w:rPr>
          <w:rFonts w:ascii="Times New Roman;sans-serif" w:hAnsi="Times New Roman;sans-serif"/>
          <w:b w:val="false"/>
          <w:color w:val="000000"/>
          <w:sz w:val="20"/>
        </w:rPr>
        <w:t>Our Platform seamlessly combines real-time, live and on-demand video and manages all content from one place, across experiences, use-cases and platforms, from webinars and events to online learning and content management. This avoids content silos and unnecessary complexities and costs, and enables vendor consolidation across CIO, CMO and training departments, economies-of-scale, and an increased return-on-investment. Unified in-depth analytics across products and use-cases provides a holistic view of video usage and user journeys and helps boost engagement.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Heightened Engagement, Interactivity, and Personalization:</w:t>
      </w:r>
      <w:r>
        <w:rPr>
          <w:color w:val="000000"/>
        </w:rPr>
        <w:t xml:space="preserve"> </w:t>
      </w:r>
      <w:r>
        <w:rPr>
          <w:rFonts w:ascii="Times New Roman;sans-serif" w:hAnsi="Times New Roman;sans-serif"/>
          <w:b w:val="false"/>
          <w:color w:val="000000"/>
          <w:sz w:val="20"/>
        </w:rPr>
        <w:t>We offer applications, sites and management consoles that are fully branded, engaging, interactive, personalized, and easy to use. These create a holistic digital experience, leveraging content and video capabilities alongside audience interactions. Kaltura provides powerful capabilities for both end-user and experience managers, including recent additions, such as the AI assistant for Events and Webinars, that leverage session data to suggest real-time actions that event managers and moderators can take.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5915"/>
                <wp:effectExtent l="0" t="0" r="0" b="0"/>
                <wp:wrapNone/>
                <wp:docPr id="11" name="Frame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Built for Enterprise:</w:t>
      </w:r>
      <w:r>
        <w:rPr>
          <w:color w:val="000000"/>
        </w:rPr>
        <w:t xml:space="preserve"> </w:t>
      </w:r>
      <w:r>
        <w:rPr>
          <w:rFonts w:ascii="Times New Roman;sans-serif" w:hAnsi="Times New Roman;sans-serif"/>
          <w:b w:val="false"/>
          <w:color w:val="000000"/>
          <w:sz w:val="20"/>
        </w:rPr>
        <w:t>Our platform is built from the ground-up as a mission-critical platform for large enterprises, offering high availability, scalability, accessibility, security and data protection.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Market Recognition of Kaltura</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In 2023, we were recognized as a Representative Vendor in the 2023 Gartner Market Guide for Event Technology Platforms, the 2023 Gartner Market Guide for Meeting Solutions, and the Market Finder and Use Case Guide for Meetings and Virtual Events. In 2022, we were recognized as a Visionary in the 2022 Gartner® Magic Quadrant™ for Meeting Solutions, and we ranked 4th in the ‘External Presentation’ (4.44/5) Use Case, and 5th in the ‘Learning and Training’ (4.32/5), and ‘Webinar’ (4.16/5) Use Cases in the Gartner 2021 Critical Capabilities for Meeting Solutions Report.</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 were also recognized as a Representative Vendor in the 2020 Gartner Market Guide for Enterprise Video Content Management.</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Gartner discontinued publication of this Magic Quadrant for Enterprise Video Content Management report in 2018 and of the correlating Critical Capabilities report in 2019.</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We have also received customer recognition. As of January 30, 2024, we received a rating of 4.8/5 from 4 reviews for Event Technology Platforms, and 4.5/5 from 62 reviews for Meeting Solutions and 4.6/5 from 27 reviews for Enterprise Video Content Management by customers on Gartner® Peer Insights</w:t>
      </w:r>
      <w:r>
        <w:rPr>
          <w:rFonts w:ascii="Times New Roman;sans-serif" w:hAnsi="Times New Roman;sans-serif"/>
          <w:b w:val="false"/>
          <w:color w:val="000000"/>
          <w:sz w:val="13"/>
        </w:rPr>
        <w:t>TM</w:t>
      </w:r>
      <w:r>
        <w:rPr>
          <w:rFonts w:ascii="Times New Roman;sans-serif" w:hAnsi="Times New Roman;sans-serif"/>
          <w:b w:val="false"/>
          <w:color w:val="000000"/>
          <w:sz w:val="20"/>
        </w:rPr>
        <w:t>.</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In March 2023, we were recognized as a Contender in The Forrester Wave™: B2B Event Management Technology, Q1 2023</w:t>
      </w:r>
      <w:r>
        <w:rPr>
          <w:rFonts w:ascii="Calibri;sans-serif" w:hAnsi="Calibri;sans-serif"/>
          <w:b w:val="false"/>
          <w:color w:val="000000"/>
          <w:sz w:val="22"/>
        </w:rPr>
        <w:t xml:space="preserve">. </w:t>
      </w:r>
      <w:r>
        <w:rPr>
          <w:rFonts w:ascii="Times New Roman;sans-serif" w:hAnsi="Times New Roman;sans-serif"/>
          <w:b w:val="false"/>
          <w:color w:val="000000"/>
          <w:sz w:val="20"/>
        </w:rPr>
        <w:t>In November 2022, we were recognized as a Notable Vendor in The Forrester B2B Event Management Technology Landscape, Q4 2022. In March 2021, we were also cited as a Strong Performer in The Forrester Wave™: B2B Marketing Events Management Solutions, Q1 2021.</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Gartner content described herein (the "Gartner Content") represent(s) research opinion or viewpoints published, as part of a syndicated subscription service, by Gartner, Inc. ("Gartner"), and are not representations of fact. Gartner Content speaks as of its original publication date (and not as of the date of this Form 10-K) and the opinions expressed in the Gartner Content are subject to change without notice.</w:t>
      </w:r>
    </w:p>
    <w:p>
      <w:pPr>
        <w:pStyle w:val="TextBody"/>
        <w:bidi w:val="0"/>
        <w:spacing w:lineRule="auto" w:line="288" w:before="0" w:after="18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(1)    Gartner's Magic Quadrant and Critical Capabilities references are provided for historical purposes only and do not reflect current market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Customers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served approximately 1,000 customers, including several of the world’s leading brands across multiple industries, including financial services, high technology, healthcare, education, public sector, media and telecommunications. We serve 28 of the U.S. Fortune 100, and more than 50% of the top U.S. research universities (R1 Research Institutions). Additionally, our solutions power 27 major global TV initiatives. Most of our top customers leverage several Kaltura products for a range of use cases across their organization.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global, spanning 54 countries, and during the year ended December 31, 2023, our technology reached end users in over approximately 200 countries. For the year ended December 31, 2023, approximately 56% of our revenue was generated from customers in the Americas, 38% from customers in EMEA and 6% from customers in APAC. We have sold our products to customers of all sizes, selling to large global enterprises as well as more recently to SMEs.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customer base included 301 customers with annualized recurring revenue ("ARR") greater than $100,000 and 26 customers with ARR greater than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5915"/>
                <wp:effectExtent l="0" t="0" r="0" b="0"/>
                <wp:wrapNone/>
                <wp:docPr id="12" name="Frame1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Growth Strategies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drive growth by executing on the following key strategies: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Grow Our Existing Customers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Most of our customers use multiple Kaltura products, and many do so across multiple use-cases and buyers. We plan to sell more to our existing customers by providing them more products and capabilities (existing and new) and addressing additional use cases. For example, in 2023 we continued expanding our customers' use-cases from internal in-house use for their employees (e.g. employee training and communication), to also external (e.g. customer and prospect marketing, and partner training). We expect to see continued increase in usage of our products, by way of more video creation and consumption and more end-users. For the years ended December 31, 2023 and 2022, our Net Dollar Retention Rate (as defined below in Part II, Item 7. "Management's Discussion and Analysis of Financial Condition and Results of Operations") was 100%.</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Secure New Customers Within our Current Markets:</w:t>
      </w:r>
      <w:r>
        <w:rPr>
          <w:color w:val="000000"/>
        </w:rPr>
        <w:t xml:space="preserve"> </w:t>
      </w:r>
      <w:r>
        <w:rPr>
          <w:rFonts w:ascii="Times New Roman;sans-serif" w:hAnsi="Times New Roman;sans-serif"/>
          <w:b w:val="false"/>
          <w:color w:val="000000"/>
          <w:sz w:val="20"/>
        </w:rPr>
        <w:t>Kaltura is already trusted by top large enterprises, leading education institutions, and prominent Media &amp; Telecom companies</w:t>
      </w:r>
      <w:r>
        <w:rPr>
          <w:rFonts w:ascii="Times New Roman;sans-serif" w:hAnsi="Times New Roman;sans-serif"/>
          <w:b/>
          <w:i/>
          <w:color w:val="000000"/>
          <w:sz w:val="20"/>
        </w:rPr>
        <w:t xml:space="preserve">. </w:t>
      </w:r>
      <w:r>
        <w:rPr>
          <w:rFonts w:ascii="Times New Roman;sans-serif" w:hAnsi="Times New Roman;sans-serif"/>
          <w:b w:val="false"/>
          <w:color w:val="000000"/>
          <w:sz w:val="20"/>
        </w:rPr>
        <w:t>We have a significant opportunity to expand our presence in these markets, especially with Global 2000 companies. We have a well-tuned sales and marketing operation, which we expect will drive both geographic and vertical expansion.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Expand our Product Offering for our Existing Markets</w:t>
      </w:r>
      <w:r>
        <w:rPr>
          <w:rFonts w:ascii="Times New Roman;sans-serif" w:hAnsi="Times New Roman;sans-serif"/>
          <w:b/>
          <w:i/>
          <w:color w:val="000000"/>
          <w:sz w:val="20"/>
        </w:rPr>
        <w:t xml:space="preserve">: </w:t>
      </w:r>
      <w:r>
        <w:rPr>
          <w:rFonts w:ascii="Times New Roman;sans-serif" w:hAnsi="Times New Roman;sans-serif"/>
          <w:b w:val="false"/>
          <w:color w:val="000000"/>
          <w:sz w:val="20"/>
        </w:rPr>
        <w:t>Our flexible and extendable platform facilitates a continuous expansion of our product portfolio to include more advanced capabilities and use cases, and additional industry-solutions. For example, since 2020, we have introduced Webinars, Online Learning, and Hybrid and Virtual Events products, and a set of new Cloud TV applications for viewers using TVs, PCs, tablets, and mobile devices.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Expand into New Markets: </w:t>
      </w:r>
      <w:r>
        <w:rPr>
          <w:rFonts w:ascii="Times New Roman;sans-serif" w:hAnsi="Times New Roman;sans-serif"/>
          <w:b w:val="false"/>
          <w:color w:val="000000"/>
          <w:sz w:val="20"/>
        </w:rPr>
        <w:t>We are expanding down market from large enterprises to also power SMEs through making our products more self-operated, and advancing our inside-sales marketing, sales, and operations practices. We also plan to expand in the future into new markets by introducing new industry solutions, for example for the financial services and healthcare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Accelerate through Partnerships and M&amp;A</w:t>
      </w:r>
      <w:r>
        <w:rPr>
          <w:rFonts w:ascii="Times New Roman;sans-serif" w:hAnsi="Times New Roman;sans-serif"/>
          <w:b/>
          <w:i/>
          <w:color w:val="000000"/>
          <w:sz w:val="20"/>
        </w:rPr>
        <w:t xml:space="preserve">: </w:t>
      </w:r>
      <w:r>
        <w:rPr>
          <w:rFonts w:ascii="Times New Roman;sans-serif" w:hAnsi="Times New Roman;sans-serif"/>
          <w:b w:val="false"/>
          <w:color w:val="000000"/>
          <w:sz w:val="20"/>
        </w:rPr>
        <w:t xml:space="preserve">We plan to increase the breadth of partnerships with our technology partners, further allowing us to provide the most comprehensive video solutions to our customers. Additionally, we intend to continue to explore potential M&amp;A transactions that could enhance our capabilities, increase our market share in markets we already operate in, or open up new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Products</w:t>
      </w:r>
    </w:p>
    <w:p>
      <w:pPr>
        <w:pStyle w:val="TextBody"/>
        <w:bidi w:val="0"/>
        <w:spacing w:before="0" w:after="0"/>
        <w:jc w:val="center"/>
        <w:rPr/>
      </w:pPr>
      <w:r>
        <w:rPr/>
        <w:drawing>
          <wp:inline distT="0" distB="0" distL="0" distR="0">
            <wp:extent cx="6400800" cy="2562225"/>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6400800" cy="25622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5915"/>
                <wp:effectExtent l="0" t="0" r="0" b="0"/>
                <wp:wrapNone/>
                <wp:docPr id="14" name="Frame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Kaltura's Video Experience Cloud includes products that power virtual and hybrid events, webinars, online learning, and video portals for companies across all industries, including technology, financial services, healthcare and pharma, IT and professional services, retail and manufacturing. It also includes industry-specific video solutions, currently for the Education and Media and Telecom industries. For developers, it includes an extensive array of APIs and developer tools that enable them to build other video workflows, products, and industry solutions.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Products for Any Enterprise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Advanced video products that utilize on-demand, live, and real-time video to boost training, marketing, virtual and hybrid events, communication, collaboration, sales, and customer care.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Video Portal: </w:t>
      </w:r>
      <w:r>
        <w:rPr>
          <w:rFonts w:ascii="Times New Roman;sans-serif" w:hAnsi="Times New Roman;sans-serif"/>
          <w:b w:val="false"/>
          <w:color w:val="000000"/>
          <w:sz w:val="20"/>
        </w:rPr>
        <w:t>Enterprise video portal that enables the creation and management of content across the organization, its partners and customers. Video Portals provide a rich media experience that drives engagement and interaction.</w:t>
      </w:r>
      <w:r>
        <w:rPr>
          <w:color w:val="000000"/>
        </w:rPr>
        <w:t xml:space="preserve">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Virtual and Hybrid Events: </w:t>
      </w:r>
      <w:r>
        <w:rPr>
          <w:rFonts w:ascii="Times New Roman;sans-serif" w:hAnsi="Times New Roman;sans-serif"/>
          <w:b w:val="false"/>
          <w:color w:val="000000"/>
          <w:sz w:val="20"/>
        </w:rPr>
        <w:t>Comprehensive event platform to create, manage and track every event of any size, internal or external, from smaller group gatherings, through larger town halls, to very large flagship conferences.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Webinars:</w:t>
      </w:r>
      <w:r>
        <w:rPr>
          <w:color w:val="000000"/>
        </w:rPr>
        <w:t xml:space="preserve"> </w:t>
      </w:r>
      <w:r>
        <w:rPr>
          <w:rFonts w:ascii="Times New Roman;sans-serif" w:hAnsi="Times New Roman;sans-serif"/>
          <w:b w:val="false"/>
          <w:color w:val="000000"/>
          <w:sz w:val="20"/>
        </w:rPr>
        <w:t>Creation, management, and analytics for webinars, with automatically created branded mini-sites, driving interaction and engagement from registration to video-on-demand (VOD)</w:t>
      </w:r>
      <w:r>
        <w:rPr>
          <w:rFonts w:ascii="Times New Roman;sans-serif" w:hAnsi="Times New Roman;sans-serif"/>
          <w:b w:val="false"/>
          <w:i/>
          <w:color w:val="000000"/>
          <w:sz w:val="20"/>
        </w:rPr>
        <w:t xml:space="preserve">.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Online Learning: </w:t>
      </w:r>
      <w:r>
        <w:rPr>
          <w:rFonts w:ascii="Times New Roman;sans-serif" w:hAnsi="Times New Roman;sans-serif"/>
          <w:b w:val="false"/>
          <w:color w:val="000000"/>
          <w:sz w:val="20"/>
        </w:rPr>
        <w:t>Self-paced on-demand learning with playlists, quizzes, and video paths and real-time group online learning with virtual classrooms that leverage analytics and interactive tools built for learning.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Education Solutions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Advanced video solutions that boost in-class and remote teaching and learning, and boost student engagement, interactivity, and performance.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Learning-Management-System (LMS) Video:</w:t>
      </w:r>
      <w:r>
        <w:rPr>
          <w:color w:val="000000"/>
        </w:rPr>
        <w:t xml:space="preserve"> </w:t>
      </w:r>
      <w:r>
        <w:rPr>
          <w:rFonts w:ascii="Times New Roman;sans-serif" w:hAnsi="Times New Roman;sans-serif"/>
          <w:b w:val="false"/>
          <w:color w:val="000000"/>
          <w:sz w:val="20"/>
        </w:rPr>
        <w:t>Video galleries, video creation and virtual classrooms, seamlessly integrated into the LMS.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Lecture Capture:</w:t>
      </w:r>
      <w:r>
        <w:rPr>
          <w:color w:val="000000"/>
        </w:rPr>
        <w:t xml:space="preserve"> </w:t>
      </w:r>
      <w:r>
        <w:rPr>
          <w:rFonts w:ascii="Times New Roman;sans-serif" w:hAnsi="Times New Roman;sans-serif"/>
          <w:b w:val="false"/>
          <w:color w:val="000000"/>
          <w:sz w:val="20"/>
        </w:rPr>
        <w:t>Scheduling, recording, and monitoring of any size lecture hall including live broadcast.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Media &amp; Telecom Solutions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Platforms for TV service providers and media companies to manage and distribute premium television content across devices, and boost reach, engagement, and monetization.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Cloud TV:</w:t>
      </w:r>
      <w:r>
        <w:rPr>
          <w:color w:val="000000"/>
        </w:rPr>
        <w:t xml:space="preserve"> </w:t>
      </w:r>
      <w:r>
        <w:rPr>
          <w:rFonts w:ascii="Times New Roman;sans-serif" w:hAnsi="Times New Roman;sans-serif"/>
          <w:b w:val="false"/>
          <w:color w:val="000000"/>
          <w:sz w:val="20"/>
        </w:rPr>
        <w:t>Modular and scalable solution for building multinational streaming services that aggregate VOD, live, and linear content on any device.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Streaming Platform:</w:t>
      </w:r>
      <w:r>
        <w:rPr>
          <w:color w:val="000000"/>
        </w:rPr>
        <w:t xml:space="preserve"> </w:t>
      </w:r>
      <w:r>
        <w:rPr>
          <w:rFonts w:ascii="Times New Roman;sans-serif" w:hAnsi="Times New Roman;sans-serif"/>
          <w:b w:val="false"/>
          <w:color w:val="000000"/>
          <w:sz w:val="20"/>
        </w:rPr>
        <w:t>Turn-key solution enabling launching, operating, and managing direct-to-consumer streaming service with low entry and operational costs.</w:t>
      </w:r>
    </w:p>
    <w:p>
      <w:pPr>
        <w:pStyle w:val="TextBody"/>
        <w:bidi w:val="0"/>
        <w:spacing w:lineRule="auto" w:line="288" w:before="0" w:after="180"/>
        <w:jc w:val="both"/>
        <w:rPr/>
      </w:pPr>
      <w:r>
        <w:rPr>
          <w:rFonts w:ascii="Times New Roman;sans-serif" w:hAnsi="Times New Roman;sans-serif"/>
          <w:b/>
          <w:color w:val="000000"/>
          <w:sz w:val="20"/>
        </w:rPr>
        <w:t>API &amp; Developer Tools</w:t>
      </w:r>
      <w:r>
        <w:rPr>
          <w:rFonts w:ascii="Times New Roman;sans-serif" w:hAnsi="Times New Roman;sans-serif"/>
          <w:b w:val="false"/>
          <w:color w:val="000000"/>
          <w:sz w:val="20"/>
        </w:rPr>
        <w:t xml:space="preserve">: </w:t>
        <w:br/>
        <w:br/>
        <w:t>Tools for developers to create their own video workflows, products, and industry solutions. These tools also power Kaltura's products and industry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Media Services</w:t>
      </w:r>
      <w:r>
        <w:rPr>
          <w:rFonts w:ascii="Times New Roman;sans-serif" w:hAnsi="Times New Roman;sans-serif"/>
          <w:b w:val="false"/>
          <w:color w:val="000000"/>
          <w:sz w:val="20"/>
        </w:rPr>
        <w:t xml:space="preserve">: Hundreds of media services APIs for live, on-demand and real time video, offering ingestion, transcoding, enrichment, management, distribution, engagement, monetization, and deep viewer analytics amongst many other capabilities.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Experience Components:</w:t>
      </w:r>
      <w:r>
        <w:rPr>
          <w:color w:val="000000"/>
        </w:rPr>
        <w:t xml:space="preserve"> </w:t>
      </w:r>
      <w:r>
        <w:rPr>
          <w:rFonts w:ascii="Times New Roman;sans-serif" w:hAnsi="Times New Roman;sans-serif"/>
          <w:b w:val="false"/>
          <w:color w:val="000000"/>
          <w:sz w:val="20"/>
        </w:rPr>
        <w:t>Complete experiences ready to be embedded in any application. This includes our video player, video editor, video capture tool, and chat and networking widgets.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5915"/>
                <wp:effectExtent l="0" t="0" r="0" b="0"/>
                <wp:wrapNone/>
                <wp:docPr id="15" name="Frame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Technology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has been driven by constant innovation, anticipating trends ahead of other participants in the market. We believe we are one of the first organizations to recognize the importance and mission-critical nature of video experiences. Our ability to be a leader in our target markets and rapidly introduce new applications depends on the constant expansion of our APIs, and the development of new products and industry solutions that rely on them.</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technology enables very large scale interactive video applications at a high level of reliability, performance, accessibility, scale and security. Our cloud platform was specifically designed to address the entire lifecycle of media, how users interact with media online and the business models that support content monetization. With new AI technologies available we plan to further expand our offering to include capabilities such as content enrichment and content repurposing.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Kaltura's platform natively supports live broadcast, real-time communications, and VOD playback. The platform also addresses other media types such as audio files (e.g., podcasts) and images including PDFs. The platform provides a complete digital experience within the site, built on the content management capabilities, that connects these different experiences and creates workflows and cohesive, engaging experiences for end users. The platform's flexibility and robustness enables creation of highly customized experiences at scale. With AI assistant, we are able support users with automated advanced workflows that leverage real-time platform analytics.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and platform are infrastructure agnostic, allowing us to also offer managed, hybrid, private and air-gapped deployment options. While the great majority of our customers are hosted on our public Software-as-a-Service ("SaaS") offering, some customers are hosted on separate and dedicated private cloud environments that are also managed by 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our operations, we receive, collect, store, process, transfer, share and otherwise use or host personal information and other sensitive information about individuals and other data relating to users of our offerings, our employees and contractors, and other persons. As a result, we are subject to various data privacy and data protection laws, which are rapidly evolving and present increasing compliance challenges. For more information regarding the applicable legal framework and risks related to data privacy, see Part I, Item 1A. “Risk Factors—Risks Related to Information Technology, Intellectual Property and Data Privacy and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Partner Ecosystem</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an ecosystem consisting of over 120 partners that have integrated with our solutions, and extend our products and platform capabilities with creation, AI, transcripts, and delivery capabilities.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 We also maintain relationships with cloud partners, most notably Amazon Web Services (“AWS”) and Oracle.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Competition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Products, Industry Solutions and API &amp; Developer Tools position us well to compete with other video solution providers. Our key competitors vary based on market and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Video Portals</w:t>
      </w:r>
      <w:r>
        <w:rPr>
          <w:color w:val="000000"/>
        </w:rPr>
        <w:t xml:space="preserve"> </w:t>
      </w:r>
      <w:r>
        <w:rPr>
          <w:rFonts w:ascii="Times New Roman;sans-serif" w:hAnsi="Times New Roman;sans-serif"/>
          <w:b w:val="false"/>
          <w:color w:val="000000"/>
          <w:sz w:val="20"/>
        </w:rPr>
        <w:t xml:space="preserve">are Microsoft and Vimeo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Virtual &amp; Hybrid Events and Webinars</w:t>
      </w:r>
      <w:r>
        <w:rPr>
          <w:color w:val="000000"/>
        </w:rPr>
        <w:t xml:space="preserve"> </w:t>
      </w:r>
      <w:r>
        <w:rPr>
          <w:rFonts w:ascii="Times New Roman;sans-serif" w:hAnsi="Times New Roman;sans-serif"/>
          <w:b w:val="false"/>
          <w:color w:val="000000"/>
          <w:sz w:val="20"/>
        </w:rPr>
        <w:t xml:space="preserve">are Zoom, On24, Cvent and Notified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Online Learning and Education</w:t>
      </w:r>
      <w:r>
        <w:rPr>
          <w:color w:val="000000"/>
        </w:rPr>
        <w:t xml:space="preserve"> </w:t>
      </w:r>
      <w:r>
        <w:rPr>
          <w:rFonts w:ascii="Times New Roman;sans-serif" w:hAnsi="Times New Roman;sans-serif"/>
          <w:b w:val="false"/>
          <w:color w:val="000000"/>
          <w:sz w:val="20"/>
        </w:rPr>
        <w:t>are Zoom and Microsoft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 xml:space="preserve">Media and Telecom Solutions </w:t>
      </w:r>
      <w:r>
        <w:rPr>
          <w:rFonts w:ascii="Times New Roman;sans-serif" w:hAnsi="Times New Roman;sans-serif"/>
          <w:b w:val="false"/>
          <w:color w:val="000000"/>
          <w:sz w:val="20"/>
        </w:rPr>
        <w:t>are Mediakind and Synamedia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 xml:space="preserve">API &amp; Developer Tools </w:t>
      </w:r>
      <w:r>
        <w:rPr>
          <w:rFonts w:ascii="Times New Roman;sans-serif" w:hAnsi="Times New Roman;sans-serif"/>
          <w:b w:val="false"/>
          <w:color w:val="000000"/>
          <w:sz w:val="20"/>
        </w:rPr>
        <w:t>are the media services offered by AWS and Microsoft</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5915"/>
                <wp:effectExtent l="0" t="0" r="0" b="0"/>
                <wp:wrapNone/>
                <wp:docPr id="16" name="Frame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principal competitive factors in our markets include, but are not limited to: </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color w:val="000000"/>
          <w:sz w:val="20"/>
        </w:rPr>
        <w:t>breadth and scale of products, industry solutions, and APIs and developer tools;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provide a cross-organization video platform with multiple interoperable video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support converging experiences across live, real time, and on-demand video;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flexibility to build and support custom workflows using video technology;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ease of customization and integration with other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quality of service and customer satisfaction;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flexibility of deployment options;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innovate quickly;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ability to provide engaging, interactive, and personalized experiences;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data capabilities, including advanced analytics and AI;</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enterprise-grade reliability, security, and scalability;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 of implementation and ongoing use;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brand recognition;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corporate culture.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Recent trends towards consolidation within the industry may result in our competitors achieving greater capabilities in some or all of these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Sales &amp; Marketing</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sell products for virtual and hybrid events, webinars, online learning, and content portals for large enterprises and small and medium enterprises (SMEs), across all industries, including technology, financial services, healthcare and pharma, IT and professional services, retail and manufacturing, and more. These products are typically bought by CTOs, CIOs, and heads of Learning and Development when used for internal events, communication and collaboration, training and learning. CMOs are typically the buyers for marketing programs, such as webinars and external events.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also sell specialized video industry solutions. Currently we have offerings for the Education and Media &amp; Telecom markets. In Media and Telecom the buyers are typically the CTO or CEO. In Education the buyers are typically the CTOs or CIOs of educational institutions or of education-technology companies.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APIs and Developer Tools to all of these markets, either along with products and industry solutions, or separately from them. Buyers are typically the CTOs.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sales organization is primarily comprised of direct sales and account teams that focus mainly on acquisition, retention, and growth of large customers, including Fortune Global 2000 organizations.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apply different sales approaches to the different segments we target:</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Sales &amp; Accounts:</w:t>
      </w:r>
      <w:r>
        <w:rPr>
          <w:color w:val="000000"/>
        </w:rPr>
        <w:t xml:space="preserve"> </w:t>
      </w:r>
      <w:r>
        <w:rPr>
          <w:rFonts w:ascii="Times New Roman;sans-serif" w:hAnsi="Times New Roman;sans-serif"/>
          <w:b w:val="false"/>
          <w:color w:val="000000"/>
          <w:sz w:val="20"/>
        </w:rPr>
        <w:t>We use high-touch "Outside-Sales" methodologies to target Global 2000 companies with our Enterprise products, TV operators and media companies with our Media and Telecom industry solutions and universities, K-12 institutions and Ed-Tech companies with our Education industry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Commercial Sales</w:t>
      </w:r>
      <w:r>
        <w:rPr>
          <w:rFonts w:ascii="Times New Roman;sans-serif" w:hAnsi="Times New Roman;sans-serif"/>
          <w:b w:val="false"/>
          <w:color w:val="000000"/>
          <w:sz w:val="20"/>
        </w:rPr>
        <w:t>: We use high velocity "Inside-Sales" methodologies to sell our low touch enterprise products to mid-market accounts.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Self-Serve / Digital Acquisition</w:t>
      </w:r>
      <w:r>
        <w:rPr>
          <w:rFonts w:ascii="Times New Roman;sans-serif" w:hAnsi="Times New Roman;sans-serif"/>
          <w:b w:val="false"/>
          <w:color w:val="000000"/>
          <w:sz w:val="20"/>
        </w:rPr>
        <w:t>: We use digital acquisition sales methodologies to target small businesses with our no-touch offers.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5915"/>
                <wp:effectExtent l="0" t="0" r="0" b="0"/>
                <wp:wrapNone/>
                <wp:docPr id="17" name="Frame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Business Development</w:t>
      </w:r>
      <w:r>
        <w:rPr>
          <w:rFonts w:ascii="Times New Roman;sans-serif" w:hAnsi="Times New Roman;sans-serif"/>
          <w:b w:val="false"/>
          <w:color w:val="000000"/>
          <w:sz w:val="20"/>
        </w:rPr>
        <w:t xml:space="preserve">: We establish strategic partnerships with the world's top tech firms, integrators and value-add resellers, to cater to their advanced needs and to establish co-sell, re-sell and OEM relationships.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efforts are focused on creating preference for our brand, and driving leads to Kaltura through thought leadership, participation in industry events, analyst and press coverage, customer referrals, community work, customer user groups, and Kaltura produced customer and industry events like “Kaltura Connect” and “Kaltura Virtually Live”. We also leverage digital campaigns and make free trials available for many of our products to drive engagement and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Intellectual Property and Data Privacy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is an important aspect of our business and we seek protection for our intellectual property rights as appropriate. To establish and protect our proprietary rights, we rely on a combination of patent, copyright, trade secret and trademark laws, know-how and continuing innovation, and contractual restrictions such as confidentiality agreements, licenses, and intellectual property assignment agreements.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nine issued U.S. patents and eleven non-U.S. patents and patent applications. The issued U.S. patents are expected to expire between 2028 and 2035.</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pursue the registration of our domain names, trademarks and service marks in the United States and in certain locations outside the United States. To protect our brand, we file trademark registrations in the United States and in some other jurisdictions. As of December 31, 2023, we owned five registered trademarks in the United States and three registered trademarks in foreign jurisdictions, including the European Union and Brazil, that we consider material to the marketing of our products, including the “Kaltura” name and logo.</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seek to enter into confidentiality agreements and proprietary rights agreements with our employees and consultants and to control access to, and distribution of, our proprietary information. However, we cannot guarantee that all applicable parties have executed such agreements. Such agreements can also be breached, and we may not have adequate remedies for such breach.</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laws, procedures, and restrictions provide only limited protection, and any of our intellectual property rights may be challenged, invalidated, circumvented, infringed, misappropriated or otherwise violated. Furthermore, the laws of certain countries do not protect intellectual property and proprietary rights to the same extent as the laws of the United States, and we therefore may be unable to protect our proprietary technology in certain jurisdictions. Moreover, our platform and many of our products and services incorporate software components licensed to the general public under open-source software licenses. We obtain some components from software developed and released by contributors to independent open-source components of our platform. Open-source licenses grant licensees broad permissions to use, copy, modify and redistribute certain components of our platform. As a result, open-source development and licensing practices can limit the value of our proprietary software assets.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to protect our proprietary rights, unauthorized parties may attempt to copy or obtain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Some competitors and other third parties may pursue offensive patent registration and litigation practices to try to block or monetize our and our customers' use of our technologies. For more information regarding the risks relating to intellectual property, see Part I, Item 1A. “Risk Factors—Risks Related to Information Technology, Intellectual Property and Data Privacy and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Human Capital Resources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580 employees operating across 27 countries and 5 continents.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aim to provide our employees with a competitive salary and benefits that will enable them to achieve a good quality of life and plan for the future, and keep them inspired and motivated to drive innovation and out-of-the-box thinking. In addition to competitive base salaries and cash compensation, we maintain equity incentive plans to attract, retain and reward personnel through share-based compensation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5915"/>
                <wp:effectExtent l="0" t="0" r="0" b="0"/>
                <wp:wrapNone/>
                <wp:docPr id="18" name="Frame1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ensuring a culture of diversity and equality. Our culture embraces our employees’ differences in age, race, gender and gender identity, sexual orientation and nationality. We are highly committed to our founding values of Openness, Flexibility, and Collaboration.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certain of our employees in Brazil, our employees are not represented by a labor union in respect to their employment or covered by a collective bargaining agreement.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work stoppages and largely consider our relationship with our employees to be good and mutually beneficial.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Seasonality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agreements for certain of our solutions do not limit usage or increase pricing for usage in excess of a specified amount, these additional costs may not result in a corresponding increase in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Additional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Kaltura, Inc. was incorporated as a Delaware corporation in October 2006. We completed our initial public offering of our common stock in July 2021.</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is www.kaltura.com. At our Investor Relations website, investors.kaltura.com,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found on our website is not part of this or any other report we file with, or furnish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5915"/>
                <wp:effectExtent l="0" t="0" r="0" b="0"/>
                <wp:wrapNone/>
                <wp:docPr id="19" name="Frame1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1A. Risk Factors. </w:t>
      </w:r>
    </w:p>
    <w:p>
      <w:pPr>
        <w:pStyle w:val="TextBody"/>
        <w:bidi w:val="0"/>
        <w:spacing w:lineRule="auto" w:line="288" w:before="6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a high degree of risk. You should carefully consider the risks and uncertainties described below, together with all of the other information in this Annual Report on Form 10-K. The occurrence of any of the events described below could harm our business, operating results, financial condition, liquidity, or prospects. In any such event, the market price of our common stock could decline, and you may lose all or part of your investment. Additional risks and uncertainties not presently known to us, or that we currently deem immaterial, may also impair our business. See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Risks Related to Our Business and Industry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successfully assess or mitigate the current volatile economic climate and its direct and indirect impact on our business and operations, including our customers and vendors, or to correctly predict the duration and depth of the current instability of the global economy and take the right or sufficient measures to address it, and as a result our business, financial condition, results of operations and prospects would be adversely affected.</w:t>
      </w:r>
    </w:p>
    <w:p>
      <w:pPr>
        <w:pStyle w:val="TextBody"/>
        <w:bidi w:val="0"/>
        <w:spacing w:lineRule="auto" w:line="276"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nature of our activities and our global presence and operations expose us to global and local macro and micro effects, including the effects of global economic trends such as the current global economic volatility, rising inflation, rising interest rates, price increases, decrease in our customers' spend or available budget that causes decline in demand, up-sales or subscription renewals, and other adverse effects that might have direct or indirect effects on our business and results of operations that are hard to predict, monitor or assess. Such developments have caused and may continue to cause uncertainties and high volatility with respect to our estimated or expected results of operations, may develop differently from our estimations and expectations, and could have an adverse effect on our business, results of operations and financial condition.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current economic climate has resulted in, among other things, longer sale cycles and increased price driven competition, including through initiation of bid processes, which adversely affects our ability to retain our existing customers and our ability to generate renewals and up-sales. If we are unable to retain our existing customer base or to obtain new customers at reasonable prices, our revenue could be eroded or might even decline, and as a result our business, financial condition, results of operations and prospects will be adversely affected.</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dependency on existing customers' demand and exposure to change in demand by our customers, including due to reasons not under our control, makes it difficult to evaluate our current business and future prospects and may increase the risk that we will not be successful.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for the years ended December 31, 2023 and 2022 was $175.2 million and $168.8 million, respectively, representing an annual growth rate of 4%. You should not rely on the revenue growth of any prior period as an indication of our future performance. As we operate in new and rapidly changing markets, widespread adoption and use of our platform, products and solutions is critical to our future growth and success. We believe our revenue growth will depend on a number of factors, including, among other things, our ability to: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attract new customers and maintain our relationships with, and increase revenue from, our existing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provide excellent customer and end user experiences;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maintain the security and reliability of our platform, products and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introduce and grow adoption of our offerings in new markets outside the United States;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hire, integrate, train and retain skilled personnel;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adequately expand our sales force and distribution channels;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continually enhance and improve our platform, products and solutions, including the features, integrations and capabilities we offer, and develop or otherwise introduce new products and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obtain, maintain, protect and enforce intellectual property protection for our platform and technologies;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into new technologies, industries and use cases;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and maintain our partner ecosystem;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comply with existing and new applicable laws and regulations, including those related to data privacy and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5915"/>
                <wp:effectExtent l="0" t="0" r="0" b="0"/>
                <wp:wrapNone/>
                <wp:docPr id="20" name="Frame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price our offerings effectively and determine appropriate contract terms;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determine the most appropriate investments for our limited resources;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successfully compete against established companies and new market entrants;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awareness of our brand on a global basis;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timely and efficiently adapt to changes in customer demand, trends, global and local macro and micro economic conditions, new technologies or offerings by our competitors or other market disruptions.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accomplish any of these objectives, our revenue could be impaired or decline in future periods. Many factors may contribute to declines in our growth rate, including greater market penetration, increased competition, slowing demand for our offerings, a failure by us to capitalize on growth opportunities, the maturation of our business, failure to deliver under our commitments or to satisfy customer expectations, global economic downturns and failure to adapt to such downturns, among others. While market demand for our offerings was growing at a robust rate prior to the COVID-19 pandemic, we have since experienced a slowdown as the effects of the COVID-19 pandemic have weakened and as a result of the current volatile economic climate. As a result, it is difficult to evaluate our current business and future prospects and may increase the risk that we will not be successful. If our business, operations and financial results decline as a result of any of the factors described above, investors’ perceptions of our business and the market price of our common stock could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that may prevent us from achieving the objectives outlined above. If we fail to achieve the necessary level of efficiency in our organization, or if we are not able to accurately forecast future growth and other changes that might impact our business, our business would be adversely affected. Moreover, if the assumptions that we use to plan our business are incorrect or change in reaction to changes in our market, or if we are unable to maintain consistent revenue or revenue growth, the market price of our common stock could be volatile, and it may be difficult to achieve and maintain profitability.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loss of one or more of our significant customers, or any other reduction in the amount of revenue we derive from any such customer, would adversely affect our business, financial condition, results of operations and growth prospects.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is dependent on our ability to establish and maintain successful relationships with a diverse set of customers. We currently derive a significant portion of our revenue from a limited number of customers. Our top ten customers in the aggregate accounted for approximately 28.9%, 27.8% and 31.0% of our revenue for the years ended December 31, 2023, 2022 and 2021, respectively. For the year ended December 31, 2023, Vodafone accounted for approximately 10.2% of our revenue. In the years ended December 31, 2022 and 2021, no individual customer accounted for more than 10% out of our total revenue. While the identity of the customers may vary from period to period, it is likely that we will continue to derive a significant portion of our revenue from a limited number of customers in the future and, in some cases, the portion of our revenue attributable to individual customers may increase. The loss of one or more significant customers or a reduction in the amount of revenue we derive from any such customer could significantly and adversely affect our business, financial condition, and results of operations. Customers may choose not to renew their subscriptions or may otherwise reduce the breadth of the offerings to which they subscribe for any number of reasons. See “—If our existing customers do not renew their subscriptions, or if they renew on terms that are less economically beneficial to us, it could have an adverse effect on our business, financial condition and results of operations.” We are also subject to the risk that any such customer will experience financial difficulties that prevent them from making payments to us on a timely basis or at all.</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history of losses and may not be able to achieve or maintain profitability. </w:t>
      </w:r>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losses in each year since our incorporation in 2006, including net losses of $46.4 million, $68.5 million, and $59.4 million in the years ended December 31, 2023, 2022 and 2021, respectively. As a result, we had an accumulated deficit of $437.5 million as of December 31, 2023. We intend to continue to expend substantial financial and other resources on, among other things: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extending our product leadership by investing in the development of GenAI based new capabilities, in our API and Developer Tools offerings, in our Products for any Enterprise, and in our specialized solutions for the industry verticals we currently address (Education and Media and Telecom), and continuing to develop new products and expand into additional vertical industries;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5915"/>
                <wp:effectExtent l="0" t="0" r="0" b="0"/>
                <wp:wrapNone/>
                <wp:docPr id="21" name="Frame2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increasing sales within our existing customer base through increased usage of our platform and the cross-selling of additional products and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augmenting our current offerings by increasing the breadth of our technology partnerships and exploring potential transactions that may enhance our capabilities or increase the scope of our technology footprint;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continuing to grow our international operations;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general administration, including legal, accounting, and other expenses related to our operation as a public company.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These efforts may prove more expensive than we currently anticipate, and we may not succeed in increasing our revenue sufficiently, or at all, or managing our business and operations more efficiently to offset these expenses. In addition, to the extent we are successful in increasing our customer base, we may also incur increased losses because the costs associated with acquiring customers are generally incurred up front, while the subscription revenue is generally recognized ratably over the subscription term. This will be particularly true as we acquire new customers for our Media and Telecom specialized industry solutions, which entail significant non-recurring up-front costs as compared to our other offerings.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our revenue does not increase or if the Reorganization Plans and our management of our resources do not sufficiently offset the expected increases in our operating expenses and the effects of the current economic volatility, we will not achieve profitability in future periods and our net losses may increase. Revenue growth may slow or revenue may decline for a number of possible reasons, many of which are beyond our control, including slowing demand for our platform, products or solutions, decline in renewals and higher churn rate, increasing competition, or any of the other factors discussed in this Risk Factors section. Any failure to increase our revenue as we grow our business or to manage our expenditures more effectively could prevent us from achieving profitability at all or on a consistent basis, which would cause our business, financial condition, and results of operations to suffer and the market price of our common stock to decline.</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in which we operate are relatively new and rapidly evolving. Accordingly, it is difficult to predict customer adoption, renewals and demand, the entry of new competitive products, the success of existing competitive products, and the future growth rate, expansion, longevity, and size of the markets for our platform, products, and solutions. The expansion of these new and evolving markets depends on a number of factors, including the cost, performance, and perceived value associated with the technologies that we and others in our industry develop. If we or other companies in our industry experience security incidents, loss of customer data, or disruptions in delivery or service, the market for these applications as a whole, including the demand for our offerings, may be negatively affected. If video products and solutions such as ours do not continue to achieve market acceptance, or there is a reduction in demand caused by decreased customer acceptance, technological challenges, weakening economic conditions, privacy, data protection and data security concerns, governmental regulation, competing technologies and products, or decreases in information technology spending or otherwise, the market for our offerings might not continue to develop or might develop more slowly than we expect, which could adversely affect our business, financial condition, results of operations and growth prospects. Similarly, we do not know whether recent trends, such as the increased utilization of cloud-based live and real-time video experiences as an alternative to in-person experiences, which accelerated during the COVID-19 pandemic, will continue in the future.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are likely to fluctuate from quarter to quarter and year to year, which could adversely affect the trading price of our common stock.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including our revenue, cost of revenue, gross margin, operating expenses, cash flow, and deferred revenue, have fluctuated from quarter to quarter and year to year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not fully reflect the underlying performance of our business. Factors that may cause fluctuations in our quarterly financial results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new customers and increase revenue from our existing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loss of existing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subscription renewals, and the timing and terms of such renewals;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5915"/>
                <wp:effectExtent l="0" t="0" r="0" b="0"/>
                <wp:wrapNone/>
                <wp:docPr id="22" name="Frame2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customer usage from period to period, including as a result of seasonality in our customers’ underlying businesses, which create variability in our cost of revenue;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customer satisfaction with our products, solutions, platform capabilities and customer support;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mergers and acquisitions or other factors resulting in the consolidation of our customer base;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mix of our revenue;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gain new partners and retain existing partners;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stock-based compensation expense;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decisions by potential customers to purchase competing offerings or develop in-house technologies and solutions as alternatives to our offerings;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the spending patterns of our customers;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amount and timing of operating expenses related to the maintenance and expansion of our business and operations, including investments in research and development, sales and marketing, and general and administrative resources;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increasing reliance on public cloud infrastructure, which will result in higher variable costs compared to our own data centers;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network outages;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proprietary rights, our platform, products or solutions, or third-party intellectual property or proprietary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negative publicity about our company, our offerings or our partners, including as a result of actual or perceived breaches of, or failures relating to, privacy, data protection or data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of expenses related to the development or acquisition of technologies or businesses and potential future charges for impairment of goodwill from acquired companies;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general economic, industry, and market conditions, such as the current volatile economic climate;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political uncertainty or unrest or outbreak or worsening of hostilities or armed conflicts;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the growth rate of the markets that our offerings address;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seasonality in the underlying businesses of our customers, including budgeting cycles, purchasing practices and priorities and usage patterns;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business strengths or weakness of our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collect timely or at all on invoices or receivables;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cost and potential outcomes of future litigation or other disputes;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overall effective tax rate, including impacts caused by any reorganization in our corporate tax structure and any new legislation or regulatory developments;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successfully expand our business in the United States and internationally;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the mix of on-premise and SaaS/PaaS deployments;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5915"/>
                <wp:effectExtent l="0" t="0" r="0" b="0"/>
                <wp:wrapNone/>
                <wp:docPr id="23" name="Frame2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the geographical mix of our revenue that may impact out gross margin;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timing and success of new products and solutions introduced by us or our competitors, or any other change in the competitive dynamics of our industry, including consolidation among competitors, customers or partners or technology disruption;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the pandemic related to COVID-19 and its variants, or any other pandemic, epidemic, outbreak of infectious disease or other global health crises on our business, the businesses of our customers and partners and general economic conditions.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also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Because the agreements for certain of our solutions do not limit usage or increase pricing for usage in excess of a specified amount, these additional costs may not result in a corresponding increase in revenue.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beginning in the second quarter of 2020 and continuing through the second quarter of 2021, we experienced a significant increase in the usage of our offerings due to the COVID-19 pandemic. As a result of this usage and increased demand from our customers, we incurred significant costs associated with upgrading our infrastructure and expanding our capacity and hiring additional personnel, although during 2022 and 2023 we implemented workforce reductions pursuant to our Reorganization Plans. In addition, operating on public cloud infrastructure and the redundancy in cloud infrastructure to satisfy different local data privacy regimes have increased our variable costs, which may lead to higher overall costs.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or other factors may cause our results of operations to vary significantly. Such fluctuations make forecasting more difficult and could cause us to fail to meet the expectations of investors and securities analysts, which could cause the trading price of our common stock to fall substantially, resulting in the loss of all or part of your investment, and subject us to costly lawsuits, including securities class action suits. Additionally, the rapid growth we have experienced in recent years may have masked the full effects of seasonal factors on our business to date, and as such, these factors may have a greater effect on our results of operations in future periods.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discover significant deficiencies or material weaknesses in our internal control over financial reporting which, if not remediated, could cause us to fail to timely and accurately report our financial results and result in restatements of our consolidated financial statements, and could cause stockholders to lose confidence in our financial reporting and our stock price to suffer.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 reporting company subject to the rules and regulations established from time to time by the SEC and the Nasdaq Stock Market LLC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As an emerging growth company, our independent registered public accounting firm will not be required to formally attest to the effectiveness of our internal control over financial reporting pursuant to Section 404 until our annual report for any fiscal year following such date that we are no longer an emerging growth company.</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5915"/>
                <wp:effectExtent l="0" t="0" r="0" b="0"/>
                <wp:wrapNone/>
                <wp:docPr id="24" name="Frame2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neither we nor our independent registered public accounting firm, as applicable, will be able to conclude that our internal control over financial reporting is effective as required by Section 404. We previously identified and disclosed a material weakness in our internal control over financial reporting in our Annual Report on Form 10-K for the year ended December 31, 2021. This material weakness has since been remediated, but we may discover additional significant deficiencies or material weaknesses in our internal control over financial reporting in the future,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 and adversely affect our stock price.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in which we compete are characterized by rapid technological change, frequent introductions of new products, services, features and capabilities, and evolving industry standards and regulatory requirements. Our ability to grow our customer base and increase our revenue will depend in significant part on our ability to develop or otherwise introduce new products and solutions; develop or otherwise introduce new features, integrations, capabilities, and other enhancements to our existing offerings on a timely basis; interoperate across an increasing range of devices, operating systems, and third-party applications; and determine the right focus and prioritization, both in terms of our products roadmap and business focus. The success of any new products or solutions, or enhancements to our existing offerings, will depend on a number of factors including, but not limited to, the timeliness and effectiveness of our research and product development activities and go-to-market strategy, our ability to identify the appropriate technological development paths, our ability to anticipate customer needs and achieve market acceptance, our ability to manage the risks associated with new product releases, the effective management of development and other spending in connection with the product development process, and the availability of other newly developed products and technologies by our competitors and by any other third parties that may introduce disruptive technologies.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our product development efforts, we may introduce significant changes to our existing products or solutions, or develop or otherwise introduce new and unproven products or solutions, integrate new technologies such as AI models, including technologies with which we have little or no prior development or operating experience. These new products, solutions and updates may not perform as expected, may fail to engage our customer base or other end users of our products, or may otherwise create a lag in adoption of such new products. New products may initially suffer from performance and quality issues that may negatively impact our ability to market and sell such products to new and existing customers or harm our reputation.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offerings until the next upgrade is released or switch to a competitor if we are not able to keep up with technological developments. To keep pace with technological and competitive developments we have in the past invested, and may in the future invest, in the acquisition of complementary businesses, technologies, services, products, and other assets that expand our offerings. We may make these investments without being certain that they will result in products or enhancements that will be accepted by existing or prospective customers or that will achieve market acceptance or successfully integrate with our existing products. The short- and long-term impact of any major change to our offerings, or the introduction of new products or solutions, is particularly difficult to predict. If new or enhanced offerings fail to engage our customer base or other end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offerings to meet evolving customer requirements, increase adoption and use cases of our offerings, develop, or otherwise introduce new products and solutions and quickly resolve security vulnerabilities or other errors or defects, or if our efforts in any of these areas are more expensive than we expect, our business, financial condition, and results of operations would be adversely affected.</w:t>
      </w:r>
    </w:p>
    <w:p>
      <w:pPr>
        <w:pStyle w:val="TextBody"/>
        <w:bidi w:val="0"/>
        <w:spacing w:before="6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5915"/>
                <wp:effectExtent l="0" t="0" r="0" b="0"/>
                <wp:wrapNone/>
                <wp:docPr id="25" name="Frame2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face risks associated with our use of certain AI and machine learning model technologies and compliance with the evolving regulatory framework around AI development and use.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development roadmap, we are developing, integrating and interfacing certain AI-based solutions, applications and features as part of our future offering. The underlying AI algorithms, digital processing or software, analyze and processes video and audio content, processes, and use of our products by developers, administrators and users, while performing intellectual processes characteristic of intelligent beings, such as deep learning, natural language processing, reasoning, discovering meaning, generalizing, processing, summarizing and representing knowledge, planning, and learning from past experience. The technologies and solutions pursued by us include also generative AI, namely, a type of artificial intelligence technology that can produce various types of content or data, such as text, images, videos, audio, synthetic data or other media, using generative models. Artificial intelligence and machine learning are rapidly evolving fields of study, and bear risks associated with the introduction of new technologies and the lack of learning curve and technology maturity. Thus, the Company cannot assure nor guarantee the accuracy of any output generated therefrom. Given the probabilistic nature of machine learning and AI, use of such AI processing and tools may in some situations result in an inaccurate output. If our solutions (including those of our vendors and subcontractors) fail to perform as intended, our business, financial condition, and results of operations would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the Company does not retain or use any of its customers' contents or metadata provided or uploaded by them or otherwise generated from their use of the Company's AI tools, nor does the Company use its customers' data or content for the creation of any AI-output for other users of the Company's systems and solutions, the processing of its customers' data may nonetheless result in the creation of residual know how, experience and information, statistical models, and training of deep learning, algorithms, simulations, statistics, predictability and other AI features and capabilities. If we fail to establish processes, policies, rules and contractual frameworks to avoid misuse or unauthorized use of our customers data, or to establish and secure the Company's rights with respect to its own developments, technologies and AI products and tools, or if evolving regulation of AI and machine learning model technologies would develop differently from our standards and policies, and as a consequence we may suffer claims for intellectual property infringement, misuse or abuse, then our business, financial condition, and results of operations would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around the development and use of machine learning, AI and automated decision making is rapidly evolving, and many federal, state and foreign government bodies and agencies have introduced and/or are currently considering additional laws and regulations. For example, in October 2023, the President of the United States issued an executive order on the Safe, Secure and Trustworthy Development and Use of AI, emphasizing the need for transparency, accountability and fairness in the development and use of AI. Additionally, in Europe, on December 8, 2023, the EU legislators reached a political agreement on the EU Artificial Intelligence Act (“EU AI Act”), which establishes a comprehensive, risk-based governance framework for AI in the EU market. The EU AI Act is expected to enter into force in 2024, and the majority of the substantive requirements will apply two years later. The EU AI Act will apply to companies that develop, use and/or provide artificial intelligence in the EU and includes requirements around transparency, conformity assessments and monitoring, risk assessments, human oversight, security, accuracy, general purpose artificial intelligence and foundation models, and proposes fines for breach of up to 7% of worldwide annual turnover. In addition, on 28 September 2022, the European Commission proposed two Directives seeking to establish a harmonized civil liability regime for artificial intelligence in the EU, in order to facilitate civil claims in respect of harm caused by artificial intelligence and to include artificial intelligence-enabled products within the scope of the EU’s existing strict liability regime. Once fully applicable, the EU AI Act will have a material impact on the way artificial intelligence is regulated in the EU, and together with developing guidance and/or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Both in the United States and internationally, AI usage and development are the subject of evolving review by various governmental and regulatory agencies, including the SEC and the FTC, and changes in laws, rules, directives and regulations governing the use of AI may adversely affect the ability of our business to use or rely on AI. Implementation standards and enforcement practices are likely to remain uncertain for the foreseeable future, and we cannot yet determine the impact future laws, regulations, standards, or perception of their requirements may have on our business. Any actual or perceived failure to comply with evolving regulatory frameworks around the development and use of AI could adversely affect our business, operations and financial condition.</w:t>
      </w:r>
    </w:p>
    <w:p>
      <w:pPr>
        <w:pStyle w:val="TextBody"/>
        <w:bidi w:val="0"/>
        <w:spacing w:before="0" w:after="180"/>
        <w:ind w:left="0" w:right="0" w:firstLine="49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5915"/>
                <wp:effectExtent l="0" t="0" r="0" b="0"/>
                <wp:wrapNone/>
                <wp:docPr id="26" name="Frame2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integrate our platform, products, and solutions with a variety of network, hardware, and software platforms, and we need to continuously modify and enhance our offerings to adapt to changes in hardware, software, networking, browser and database technologies. Several of our competitors own, develop, operate, or distribute operating systems, application stores, cloud hosting services and other software applications, and/or have material business relationships with companies that own, develop, operate, or distribute operating systems, application stores, cloud hosting services and other software that our offerings rely on to operate. Moreover, some of our competitors have inherent advantages developing products and services that more tightly integrate with their software and hardware platforms or those of their business partners.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products and services are constantly evolving, and we may not be able to modify our offerings to ensure their compatibility with those of other third parties following development changes. In addition, some of our competitors may be able to disrupt the operations or compatibility of our offerings with their products or services, or exert strong business influence on our ability to, and terms on which we, operate and distribute our offerings. For example, certain of our offerings directly compete with several large technology companies that we rely on to ensure the interoperability of our offerings with their products or services. As our respective products evolve, we expect this level of competition to increase. Should any of our competitors modify their products or standards in a manner that degrades the functionality of our offerings or gives preferential treatment to competitive products or services, whether to enhance their competitive position or for any other reason, or if they deploy encryption, cybersecurity ringfencing protections or other interface limitations, we may not be able to offer the functionality that our customers need or may be offered by such competitor,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or timely available. Any expansion into new geographies or verticals may also require us to integrate our offerings with new third-party technologies, products, services and regulatory requirements,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significant percentage of our customers choose to integrate our platform, products, and solutions with certain capabilities of third-party publishers and software providers using application programming interfaces, or APIs. The functionality and popularity of our platform, products and solutions depends, in part, on their ability to integrate with a wide variety of third-party applications and software. Third-party providers of applications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or our customers' ability to use these third-party applications and software in conjunction with our offerings, or may require us to obtain royalty-bearing licenses, which could negatively impact customer demand, our competitive position and adversely affect our business.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may prevent us from timely updating our offerings, building new features, integrations, capabilities, or other enhancements, or charging for access. Certain of these companies are now, or may in the future become, competitors of ours, and could stop allowing or supporting access to our offerings, could allow access for us only at an unsustainable cost, or could make changes to the terms of access in order to make our offerings less desirable or harder to access, for competitive reasons, which would also have a negative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5915"/>
                <wp:effectExtent l="0" t="0" r="0" b="0"/>
                <wp:wrapNone/>
                <wp:docPr id="27" name="Frame2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 version of our Media Services is licensed to the public under an open source license, which could negatively affect our ability to monetize our offerings and protect our intellectual property rights.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make a version of our Media Services, Kaltura Community Edition (“Kaltura CE”), available to the public at no charge under an open source license, the Affero General Public License version 3.0 (“AGPL”). Although Kaltura CE does not include many widely used Kaltura applications, it can be used on a self-hosted basis as a standalone video platform. The AGPL grants licensees broad freedom to view, use, copy, modify and redistribute the source code of Kaltura CE. Anyone can download a free copy of this version of our platform from the internet, and we neither know who all of our AGPL licensees are, nor have visibility into how Kaltura CE is being used by licensees, so our ability to detect violations of the open source license is extremely limited. Additionally, even if we become aware of any violations, open source licenses, including the AGPL, have not been widely interpreted by courts, leading to uncertainty surrounding any ability to enforce such licenses.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AGPL is a “copyleft” license, requiring that any redistribution by licensees of Kaltura CE, or any modifications or adaptations to Kaltura CE, be made pursuant to the AGPL as well. This leads some commercial enterprises to consider AGPL-licensed software to be unsuitable for commercial use. However, the AGPL would not prevent a commercial licensee from taking this open source version of our platform under AGPL and using it for internal purposes for free. AGPL also would not prevent a commercial licensee from taking this open source version of our platform under AGPL and using it to compete in our markets by providing it to others for free.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This competition can develop without the degree of overhead and lead time required by traditional proprietary software companies, due to the permissions allowed under AGPL. It is also possible for competitors to develop their own software based on Kaltura CE. Although this software would also need to be made available for free under the AGPL, it could reduce the demand for and put pricing pressure on our offerings. We cannot guarantee that we will be able to compete successfully against current and future competitors, some of which may have greater resources than we have, or that competitive pressure or the availability of new open source software will not result in price reductions, reduced operating margins, and loss of market share. Any of the foregoing could harm our business, financial condition, results of operations and cash flows.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Video Experience Cloud consists of our Products for Any Enterprise, Education and Media and Telecom Solutions, as well as APIs and developer's tools, and we compete in each product or solution category as well as on the platform level as a whole. The market for our offerings is highly fragmented, quickly evolving, and subject to rapid changes in technology. We believe that our ability to compete successfully depends upon many factors both within and beyond our control, including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breadth and scale of products, solutions and Media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provide a cross-organization video platform with multiple interoperable video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support converging experiences across live, real-time and on-demand video;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flexibility to build and support custom workflows using video technology;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ease of customization and integration with other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quality of service and customer satisfaction;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flexibility of deployment options;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innovate quickly;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ability to provide engaging, interactive, and personalized experiences;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data capabilities, including advanced analytics and AI;</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enterprise-grade reliability, security and scalability;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 of implementation and ongoing use;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brand recognition;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5915"/>
                <wp:effectExtent l="0" t="0" r="0" b="0"/>
                <wp:wrapNone/>
                <wp:docPr id="28" name="Frame2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corporate culture.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key competitors vary based on market and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Video Portals</w:t>
      </w:r>
      <w:r>
        <w:rPr>
          <w:color w:val="000000"/>
        </w:rPr>
        <w:t xml:space="preserve"> </w:t>
      </w:r>
      <w:r>
        <w:rPr>
          <w:rFonts w:ascii="Times New Roman;sans-serif" w:hAnsi="Times New Roman;sans-serif"/>
          <w:b w:val="false"/>
          <w:color w:val="000000"/>
          <w:sz w:val="20"/>
        </w:rPr>
        <w:t xml:space="preserve">are Microsoft and Vimeo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Virtual &amp; Hybrid Events and Webinars</w:t>
      </w:r>
      <w:r>
        <w:rPr>
          <w:color w:val="000000"/>
        </w:rPr>
        <w:t xml:space="preserve"> </w:t>
      </w:r>
      <w:r>
        <w:rPr>
          <w:rFonts w:ascii="Times New Roman;sans-serif" w:hAnsi="Times New Roman;sans-serif"/>
          <w:b w:val="false"/>
          <w:color w:val="000000"/>
          <w:sz w:val="20"/>
        </w:rPr>
        <w:t xml:space="preserve">are Zoom, On24, Cvent and Notified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Online Learning and Education</w:t>
      </w:r>
      <w:r>
        <w:rPr>
          <w:color w:val="000000"/>
        </w:rPr>
        <w:t xml:space="preserve"> </w:t>
      </w:r>
      <w:r>
        <w:rPr>
          <w:rFonts w:ascii="Times New Roman;sans-serif" w:hAnsi="Times New Roman;sans-serif"/>
          <w:b w:val="false"/>
          <w:color w:val="000000"/>
          <w:sz w:val="20"/>
        </w:rPr>
        <w:t>are Zoom and Microsoft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 xml:space="preserve">Media and Telecom Solutions </w:t>
      </w:r>
      <w:r>
        <w:rPr>
          <w:rFonts w:ascii="Times New Roman;sans-serif" w:hAnsi="Times New Roman;sans-serif"/>
          <w:b w:val="false"/>
          <w:color w:val="000000"/>
          <w:sz w:val="20"/>
        </w:rPr>
        <w:t>are Mediakind and Synamedia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main competitors for </w:t>
      </w:r>
      <w:r>
        <w:rPr>
          <w:rFonts w:ascii="Times New Roman;sans-serif" w:hAnsi="Times New Roman;sans-serif"/>
          <w:b/>
          <w:color w:val="000000"/>
          <w:sz w:val="20"/>
        </w:rPr>
        <w:t xml:space="preserve">API &amp; Developer Tools </w:t>
      </w:r>
      <w:r>
        <w:rPr>
          <w:rFonts w:ascii="Times New Roman;sans-serif" w:hAnsi="Times New Roman;sans-serif"/>
          <w:b w:val="false"/>
          <w:color w:val="000000"/>
          <w:sz w:val="20"/>
        </w:rPr>
        <w:t>are the media services offered by AWS and Microsoft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compete with home-grown, start-up, and open source technologies across the categories described above. With the rise in travel restrictions and shelter-in-place policies resulting from the COVID-19 pandemic, as well as the passage of time, the introduction of new technologies and the entrance of new market participants, competition has intensified, and we expect it to continue in the future. Established companies are also developing their own video platforms, products, and solutions within their own core product lines,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consumer preferences for their offerings, a larger or more effective sales organization and greater financial, technical, marketing, and other resources and experience. Furthermore, with the recent increase in large merger and acquisition transactions in the technology industry, which has recently intensified due to the distressed and unstable economic climate, in particular with respect to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 Furthermore, if a sole-source technology provider on which we rely is acquired or otherwise experiences a change of control, we may be prevented from using, selling, supporting or having access to such technology. Additionally, we may also consider pursuing a business combination or other strategic transaction with another entity, such as to take advantage of market trends or in response to industry challenges. Alternatively, we could be identified as an acquisition target by one of our existing or potential competitors or other third parties. Such transactions may not be successful, may not achieve the expected results and may impose financial or operational burdens on the Company, which in turn may adversely impact our business, financial condition, results of operations and prospects. In addition, your ownership and voting power may be diluted in connection with an acquisition or other strategic transaction. For more information regarding the possible implications of and risks associated with such transactions, see Part I, Item 1A. “Risk Factors — If we are unable to consummate acquisitions at our desired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 and, in addition, "Risk Factors — Your ownership and voting power may be diluted by the issuance of additional shares of our common stock in connection with financings, acquisitions, investments, our equity incentive plans or otherwise."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competitors have, and some of our potential competitors may have, greater financial, technical, and other resources, longer operating histories,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 standards, and customer requirements. They may be able to leverage these resources to gain business in a manner that discourages customers from purchasing our offerings, including through selling at zero or negative margins, product bundling, forced product migrations, auto-installation of applications, or closed technology platforms.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We may also expand into new markets and encounter additional competitors in such markets. These competitive pressures in the markets in which we operate, or our failure to compete effectively, may result in price reductions, fewer customers, reduced revenue, gross profit and gross margins, increased net losses and loss of market share. Any failure to effectively address these factors could significantly and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5915"/>
                <wp:effectExtent l="0" t="0" r="0" b="0"/>
                <wp:wrapNone/>
                <wp:docPr id="29" name="Frame2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sell our subscriptions to new customers and to expand within our existing customer base by selling subscriptions for additional offerings to our existing customers and expanding the value of existing customers’ subscriptions, and to do so in a cost-effective manner. Our ability to sell new subscriptions and expand the number and value of existing subscriptions depends on a number of factors, including the prices of our offerings and their functionality, the prices of products offered by our competitors, and the budgets of our customers. We serve customer needs with multiple tiers of subscriptions that differ based on product depth and functionality. We also offer an initial trial period for certain of our offerings. To the extent prospective customers utilize this trial period without becoming, or lead others not to become, paying customers, our expenses may increase as a result of associated hosting costs, and our ability to grow our business may be adversely affected. We also offer an open source version of our Media Services called Kaltura CE. Our open source version is intended to increase the visibility and familiarity of our platform among the developer communities. We invest in developers and developer communities through multiple channels, including the introduction of new open source projects. There is no guarantee that such events will translate into new customers, or that open source users will convert to paying subscribers.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our existing customers do not renew their subscriptions, or if they renew on terms that are less economically beneficial to us, it could have an adverse effect on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derive a significant portion of our revenue from renewals of existing subscriptions. Our customers have no contractual obligation to renew their subscriptions after the completion of their subscription term. Subscriptions for most of our offerings are offered on either an annual or multi-year basis. Our subscriptions also generally include committed usage amounts. As a result, we cannot provide assurance that customers will renew their subscriptions for a similar contract period or with the same or greater product depth, number of users, functionality or other terms that are equally or more economically beneficial to us, if they renew at all.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renewals may decline or fluctuate as a result of a number of factors, including their satisfaction with our products and our customer support, the frequency and severity of product outages, our product uptime or latency, the pricing of our offering in relation to competing offerings, additional new features, integrations, capabilities or other enhancements that we offer, updates to our products as a result of updates by technology partners, and customers or users no longer having a need for our offerings. Renewal rates have been, and may in the future also be, impacted by general economic conditions or other factors that reduce customers’ spending levels. For example, many educational institutions and other customers in the public sector depend substantially on government funding, and any general decrease, delay, or other change in the availability of such funding could cause current and prospective customers to decide not to renew their subscriptions or to reduce the scope of their subscriptions at the end of the applicable subscription term, any of which could cause us to lose customers and revenue. If our customers do not renew their subscriptions or renew on terms less economically favorable to us, our revenue may decline or grow less quickly than anticipated, which would adversely affect our business, financial condition, and results of operations.</w:t>
      </w:r>
    </w:p>
    <w:p>
      <w:pPr>
        <w:pStyle w:val="TextBody"/>
        <w:bidi w:val="0"/>
        <w:spacing w:before="0" w:after="180"/>
        <w:ind w:left="0" w:right="0" w:firstLine="49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5915"/>
                <wp:effectExtent l="0" t="0" r="0" b="0"/>
                <wp:wrapNone/>
                <wp:docPr id="30" name="Frame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including third parties outside the United States, for some of our software development, quality assurance, operations, and customer support.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depend on various third parties for some of our software development efforts, quality assurance, operations, and customer support services. Specifically, we outsource some of our software development and design, quality assurance, and operations activities to third-party contractors that have employees and consultants located in Europe (including Poland, Czech Republic, Ukraine and Belarus) and other locations. Our dependence on third-party contractors creates a number of risks, in particular, the risk that we may not maintain development quality, control, or effective management with respect to these business operations. In addition, poor relations between the United States and Russia, economic sanctions and export control restrictions imposed by the United States, the European Union (“EU”), the United Kingdom ("UK") and other countries targeting Russia, Belarus, and the embargoed areas of Ukraine, including as a result of the Russian invasion of Ukraine, and any further escalation of political tensions or economic instability in the area could have an adverse impact on our third-party software development in Ukraine and Belarus. In particular, increased tensions between the United States, the North Atlantic Treaty Organization including the UK and the EU member states and Russia as a result of the invasion of Ukraine by Russia, have increased the threat of armed conflict, cyberwarfare and economic instability that could disrupt or delay the operations of our resources in those countries, disrupt or delay our communications with such resources or the flow of funds to support their operations, or otherwise render our resources unavailable. Moreover, some of our personnel and third party service providers reside in Ukraine and are subject to the impacts of the ongoing war, including risk of injury or death, destruction of infrastructures, lack of electricity, connectivity and basic living conditions, or be subject to Russian occupation. We anticipate that, absent any adverse developments, we will continue to engage with third party service providers and maintain those relationships in order to grow our business for the foreseeable future. If we are unsuccessful in maintaining existing and, where needed, establishing new relationships with third parties, our ability to efficiently operate existing services or develop new services and provide adequate customer support could be impaired or become more expensive, and, as a result, our competitive position or our results of operations could suffer.</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Currency exchange rate fluctuations affect our results of operations, as reported in our financial statements.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financial results in U.S. dollars. We generate our revenue primarily in U.S. dollars and in Euros. A significant portion of the cost of revenue, research and development, sales and marketing and general and administrative expenses of our Israeli operations are incurred in New Israeli Shekel (“NIS”). As a result, we are exposed to exchange rate risks that may materially and adversely affect our financial results. If the NIS appreciates against the U.S. dollar or the euro, or if the value of the NIS declines against the U.S. dollar or the euro, at a time when the rate of inflation in the cost of Israeli goods and services exceeds the rate of decline in the relative value of the NIS, then the U.S. dollar-denominated cost of our operations in Israel would increase and our results of operations could be materially and adversely affected. We cannot predict any future trends in the rate of inflation in Israel or the rate of depreciation (if any) of the NIS against the U.S. dollar or euro, and our ability to hedge our exposure to currency exchange rate fluctuations may be limited.</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recognize a significant portion of revenue from subscriptions over the term of the relevant subscription period, and as a result, downturns or upturns in sales are not immediately reflected in full in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revenues are derived from SaaS and PaaS subscriptions, and we recognize a significant portion of our subscription revenue over the term of the relevant subscription period. As a result, much of the subscription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fail to meet contractual commitments under our customer agreements, we could be subject to contractual penalties, litigation, and other liabilities, and could experience an increase in contract terminations or decrease in contract renewals in future periods, which would lower our revenue, increase our costs, and otherwise adversely affect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 agreements typically contain service-level commitments, indemnification and other liabilities. If we are unable to meet the stated service-level commitments, including failure to meet the uptime and response time requirements under our customer agreements, we may be contractually obligated to provide these customers with service credits or damages, or customers could elect to terminate and receive refunds for prepaid amounts related to unused subscriptions, either of which could significantly affect our revenue in the periods in which the failure occurs and the credits are applied or refunds paid out. In addition, customer terminations or any reduction in renewals resulting from service-level failures could significantly affect both our current and future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5915"/>
                <wp:effectExtent l="0" t="0" r="0" b="0"/>
                <wp:wrapNone/>
                <wp:docPr id="31" name="Frame3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we enter into with our TV Solution customers typically provide for committed delivery schedules and milestones with which we are required to comply in connection with the deployment of our offerings. The deployment process for our TV Solution offering is often complex, and our ability to comply with our obligations under these agreements depends on a variety of factors both within and outside of our control, including the timely performance of front-end software developers and other third-parties. If we fail to meet our committed delivery schedules and milestones, we could be subject to contractual penalties, including liquidated damages, as well as breach of contract claims, which could result in litigation and cause us to incur additional costs, including in the form of additional damages or settlement payments. Affected customers may also elect to terminate their agreements with 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any service-level failures or failure to meet committed delivery schedules and milestones could also create negative publicity and damage our reputation, which may discourage prospective customers from adopting our offerings. In addition, if we modify the terms of our contractual commitments in future customer agreements in a manner customers perceive to be unfavorable, demand for our offerings could be reduced. The occurrence of these or any of the events discussed above could have a significant adverse effect on our business, financial condition, results of operations and cash flow, as well as our ability to grow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depend on our management team and other key employees, and the loss of one or more of these employees or an inability to attract and retain highly skilled employees could adversely affect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and adversely affect our business, financial condition, and results of operations. Although we have entered into employment offer letters with our key personnel, their employment is for no specific duration and constitutes at-will employment. We are also substantially dependent on the continued service of our existing engineering personnel because of the complexity of our products.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also depends on the continued services and continuing contributions of our senior management team, which includes Ron Yekutiel, our co-founder, Chief Executive Officer and President, to execute on our business plan and to identify and pursue new opportunities and product innovations. The loss of services of our senior management team, particularly our Chief Executive Officer, could significantly delay or prevent the achievement of our development and strategic objectives, which could adversely affect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industry in which we operate is generally characterized by significant competition for skilled personnel, as well as high employee attrition. There is a shortage in personnel with the relevant know-how and experience for the development of our Video Products and Media Services, particularly for DevOps, engineering, research and development, sales, and support positions, and we may not be successful in attracting, integrating, and retaining qualified personnel to fulfill our current and future needs. Many of the companies against which we compete for personnel have greater financial resources, scale and branding than we do, and it may be more difficult for us to attract and retain qualified personnel predominately in Israel, where most of our research and development positions are located, and in New York, where our headquarters is located.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or that they have divulged their former employers’ proprietary or other confidential information or incorporated such information into our products, which could include claims that such former employers therefore own or otherwise have rights to their inventions or other work product developed while employed by 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and could lead to employee attrition. If we fail to attract new personnel, or fail to retain and motivate our current personnel, our business, financial condition, results of operations and growth prospects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5915"/>
                <wp:effectExtent l="0" t="0" r="0" b="0"/>
                <wp:wrapNone/>
                <wp:docPr id="32" name="Frame3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awareness of our brand, especially among developers and IT operators, as well as new departments such as marketing, our business, financial condition, and results of operations may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developing and maintaining widespread awareness of our brand, especially with developers and IT operators, in addition to new departments such as marketing, is critical to achieving widespread acceptance of our platform, products and solutions and attracting new users and customers. Brand promotion activities may not generate user or customer awareness or increase revenue, and even if they do, any increase in revenue may not offset the expenses we incur in building our brand. If we fail to successfully promote and maintain our brand, we may fail to attract and retain users and customers necessary to realize a sufficient return on our brand-building efforts, and may fail to achieve the widespread brand awareness that is critical for broad customer adoption of our offerings.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maintain this culture as we grow, we could lose the innovation, creativity, and entrepreneurial spirit we have worked to foster, which could adversely affect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which is based on openness, flexibility, and collaboration, has been and will continue to be a key contributor to our success. Furthermore, in the current labor market, especially in Israel, we believe corporate culture is a critical element in the hiring and retention of personnel, and is an essential factor for us to successfully attract, hire and retain highly skilled personnel. If we do not continue to maintain our corporate culture as we grow, we may be unable to foster the innovation, creativity, and entrepreneurial spirit we believe we need to support our growth. The growth and expansion of our business and our transition from a private company to a public company may result in changes to our corporate culture, which could adversely affect our business, including our ability to recruit and retain qualified personnel.</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failure to offer high quality customer support would have an adverse effect on our business, reputation,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depend on our customer success managers to resolve issues and realize the full benefits relating to our platform, products, and solutions. If we do not succeed in helping our customers quickly resolve post-deployment issues or provide effective ongoing support and education, our ability to renew subscriptions with, or sell subscriptions for additional offerings to, existing customers, or expand the value of existing customers’ subscriptions, would be adversely affected and our reputation with potential customers could be damaged. In addition, most of our existing customers are large enterprises with complex information technology environments and, as a result, require significant levels of support. If we fail to meet the requirements of these customers, it may be more difficult to grow sales or maintain our relationships with them.</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while growing our base of customer success managers is a key component of our growth strategy, it can take several months to recruit, hire, and train qualified engineering-level customer support employees, and we may not be able to hire such resources fast enough to keep up with demand. To the extent that we are unsuccessful in hiring, training, and retaining adequate support resources, our ability to provide adequate and timely support to our customers, and our customers’ satisfaction with our platform, products, and solutions, will be adversely affected. Any failure by us to provide and maintain high-quality customer support services would have an adverse effect on our business, reputation,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The failure to effectively develop and expand our marketing and sales capabilities could harm our ability to increase our customer base and achieve broader market acceptance of our offerings.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increase our customer base and achieve broader market acceptance of our platform, products and solutions will depend to a significant extent on our ability to effectively and efficiently manage and expand our sales and marketing operations. A key factor in our marketing capabilities is qualified sales personnel and sales representatives. Identifying and training such personnel is time-consuming and resource-intensive, and they may not be fully trained and productive for a significant amount of time or thereafter could be found lacking appropriate skills or qualification. We have dedicated and may continue to dedicate significant resources to our marketing programs. Our business will be harmed if our efforts do not generate a correspondingly significant increase in revenue. We will not achieve anticipated revenue growth targets if we are unable to develop and retain talented sales personnel, if our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 </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5915"/>
                <wp:effectExtent l="0" t="0" r="0" b="0"/>
                <wp:wrapNone/>
                <wp:docPr id="33" name="Frame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force, we also leverage reseller relationships and marketplace platforms to help market and sell our offerings to customers around the world, particularly in areas in which we have a limited presence. These relationships subject us to certain risks. Our resellers may prioritize selling their own offerings that compete with ours, or one of our competitors may be effective in causing a reseller or potential reseller to favor that competitor’s offerings or otherwise prevent or reduce sales of our offerings. In addition, recruiting and retaining qualified resellers and training them in our technology, offerings and culture, requires significant time and resources, and our efforts may not be successful. If we decide to further develop and expand our indirect sales channels, we must continue to scale and improve our processes and procedures to support these channels, including investing in systems and training. Many resellers may not be willing to invest the time and resources required to train their staff to effectively market and sell our offerings.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though most of our sales are, and have historically been, made through our direct sales organization, certain of our offerings may be purchased directly from our website, which we believe allows us to reduce our cost of customer acquisition, drive additional opportunities to our direct sales team, reach smaller customers, and broaden our target market. This self-service model requires us to incur sales and marketing expenses often prior to generating corresponding revenue. As this operation was launched only recently, we cannot guarantee that this model will succeed in generating revenue in excess of the corresponding sales and marketing expenses, or that it will be effective in helping us achieve our other objectives, any of which would adversely affect our business, financial condition,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sales prices of our offerings may change, which may reduce our revenue and gross profit and adversely affect our financial results.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sales prices for our offerings may be subject to change for a variety of reasons, including competitive pricing pressures, discounts, anticipation of the introduction of new products, promotional programs, general economic conditions, or our marketing, user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continue to do so in the future. Moreover, demand for our offerings is price-sensitive. Competition continues to increase in the market segments in which we operate, and we expect competition to further increase in the future, in particular as a result of the volatile economic climate,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Additionally, currency fluctuations in certain countries and regions may negatively impact actual prices that customers and resellers are willing to pay in those countries and regions. As we develop and introduce new offerings, as well as features, integrations, capabilities, and other enhancements, we may need to, or choose to, revise our pricing.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This is particularly true with respect to our Events product and TV Solution, which generally entail significantly higher up-front costs compared to our other offerings. We cannot assure you that we will be able to maintain our prices and gross profits at levels that will allow us to achieve and maintain profitability.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expect our revenue mix to vary over time, which could negatively impact our gross margin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 mix to vary over time due to a number of factors. Our gross margins and results of operations could be negatively impacted by changes in revenue mix and costs resulting from any number of factors, including entry into new markets; growth in lower margin markets, such as the markets for our Events product and TV Solution, and the timing and aggregate usage of our solutions by such customers; entry into markets with different pricing and cost structures; increased usage of certain products and solutions that we offer to customers without usage caps;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bidi w:val="0"/>
        <w:spacing w:before="60" w:after="1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5915"/>
                <wp:effectExtent l="0" t="0" r="0" b="0"/>
                <wp:wrapNone/>
                <wp:docPr id="34" name="Frame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length of our sales cycle can be unpredictable, particularly with respect to sales to large customers, and our sales efforts may require considerable time and expense.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may fluctuate, in part, because of the length and variability of the sales cycle of our subscriptions and the difficulty in making short-term adjustments to our operating expenses. Our results of operations depend in part on sales to new large customers and increasing sales to our existing customers, which are primarily large organizations. The length of our sales cycle, from initial contact with a prospective customer to subscribing to one or more of our offerings, can vary substantially from customer to customer for a number of reasons, including deal complexity (particularly for customers that purchase our TV Solutions), certification by new customers or due to new customers' requirements, setup time and our customers’ needs to satisfy their own internal requirements and processes.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it can be difficult to predict exactly when, or even if, we will make a sale to a potential customer, or when and if we can increase sales to our existing customers. As a result, large individual sales have, in some cases, occurred in quarters subsequent to those we anticipated, or have not occurred at all. Because a substantial proportion of our expenses are relatively fixed in the short-term, our results of operations will suffer if revenue falls below our expectations in a particular quarter, which could cause the market price of our common stock to decline.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and expansion expose us to risk.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products and solutions address the needs of customers and end users around the world, and we see continued international expansion as a significant opportunity. For the years ended December 31, 2023, 2022 and 2021, we generated approximately 48%, 46% and 42% of our revenue, respectively, from customers outside the United States. Our customers, end users, employees and partners are located in a number of different jurisdictions worldwide, and we expect our operations to become more globally diversified. Our current international operations involve, and future initiatives will also involve, a variety of risks,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unexpected changes in practices, tariffs, export quotas, custom duties, trade disputes, tax laws and treaties, particularly due to economic tensions and trade negotiations or other trade restrictions;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different labor regulations, especially in the European Union, where labor laws are generally more advantageous to employees as compared to the United States, including deemed hourly wage and overtime regulations in these locations;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exposure to many evolving stringent and potentially inconsistent laws and regulations relating to privacy, data protection, and information security, particularly in the European Union;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 specific country’s or region’s political or economic conditions, including in connection with the Russian invasion of Ukraine, the armed conflict in the Middle East and Red Sea area involving Israel, Hamas, Hezbollah and the Houthi movement, and political or armed tension in other regions;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risks resulting from changes in currency exchange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challenges inherent to efficiently managing an increased number of employees over large geographic distances, including the need to implement appropriate systems, policies, benefits and compliance programs;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difficulties in maintaining our corporate culture with a dispersed workforce;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risks relating to the implementation of exchange controls, including restrictions promulgated by the United States Department of the Treasury’s Office of Foreign Assets Control (“OFAC”), the Bureau of Industry and Security (BIS) at the United States Department of Commerce, and other similar trade protection regulations and measures in the United States, EU, UK, or in other jurisdictions;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reduced ability to timely collect amounts owed to us by our customers in countries where our recourse may be more limited;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slower than anticipated availability and adoption of cloud infrastructures by international businesses, which would increase our on-premise deployments;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limitations on our ability to reinvest or transfer earnings from operations derived from one country to fund the capital needs of our operations in other countries;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limited or unfavorable—including greater difficulty in enforcing—intellectual property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5915"/>
                <wp:effectExtent l="0" t="0" r="0" b="0"/>
                <wp:wrapNone/>
                <wp:docPr id="35" name="Frame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exposure to liabilities under anti-corruption and anti-money laundering laws, including the U.S. Foreign Corrupt Practices Act of 1977, as amended, and similar applicable laws and regulations in other jurisdictions; and</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risks resulting from a pandemic, epidemic, or outbreak of infectious disease, such as resurgence of COVID-19 or its variants, including uncertainty regarding what measures the U.S. or foreign governments will take in response.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address these difficulties and challenges or other problems encountered in connection with our international operations and expansion, we might incur unanticipated liabilities or we might otherwise suffer harm to our business generally.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not successful in sustaining and expanding our international business, we may incur additional losses and our revenue growth could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results depend, in part, on our ability to sustain and expand our penetration of the international markets in which we currently operate and to expand into additional international markets. Our ability to expand internationally will depend upon our ability to deliver functionality and foreign language translations that reflect the needs of the international customers that we target and to successfully navigate the risks inherent in operating a business internationally, as discussed above. While we will need to invest significant resources in such expansion, it is possible that returns on such investments will not be achieved in the near future or at all in these less familiar competitive environments. In addition, we currently leverage reseller relationships to assist with marketing and selling our offerings, particularly in jurisdictions in which we have a limited presence. If we are unable to identify resellers or other partners or negotiate favorable terms, our international growth may be limited or more costly than we anticipate.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 portion of our revenue is generated by sales to government entities, which are subject to a number of challenges and risks.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Sales to government and semi-government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U.S. federal government, U.S. state governments, or non-U.S. government sectors until we have attained the revised certification. Government demand and payment for our offerings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rely on certain partners to provide technical support services to certain of our government entity customers to resolve any issues relating to our products. If our partners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sales to government entities may be subject or become subject to global trade compliance restrictions, that restrict the execution of a transaction even after being awarded a contract, or limit our ability to upsell or renew existing transactions. The imposition of such restrictions may cause costly and lengthy marketing efforts or restrict us from performing under our contracts, including the collection of amounts owed to us, all of which could materially and adversely affect our results of operations. Moreover, if we fail to timely respond to newly imposed restrictions or implement effective control over such sales, such failure could result in fines or civil, administrative or criminal liability which would adversely affect our reputation, business and financial results.</w:t>
      </w:r>
    </w:p>
    <w:p>
      <w:pPr>
        <w:pStyle w:val="TextBody"/>
        <w:bidi w:val="0"/>
        <w:spacing w:before="60" w:after="1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5915"/>
                <wp:effectExtent l="0" t="0" r="0" b="0"/>
                <wp:wrapNone/>
                <wp:docPr id="36" name="Frame3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consummate acquisitions at our desired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acquire or make investments in complementary companies, products, or technologies, and enter into other strategic transactions and relationships in the ordinary course. Our ability to grow our revenues, earnings, and cash flow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investments and other strategic transactions are difficult to identify and complete for a number of reasons, including high valuations, competition among prospective buyers, the availability of affordable funding in the capital markets, the need to satisfy applicable closing conditions and obtain applicable antitrust and other regulatory approvals on acceptable terms and cultural and other differences posing significant challenges hindering successful post merger integration. In addition, competition for acquisitions, investments and other strategic transactions may result in higher purchase prices or other terms less economically favorable to us. Changes in accounting or regulatory requirements or instability in the credit markets or economic climate could also adversely impact our ability to consummate these transactions on acceptable terms or at all.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common stock, and may have a material adverse effect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business, technology, product, or solution that we acquire or invest in could under-perform relative to our expectations and the price that we paid or not perform in accordance with our anticipated timetable, or we could fail to operate or integrate any such business or deploy any such technology, product, or solution profitably.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Acquisitions and other strategic transactions and relationships could cause our financial results to differ from our own or the investment community’s expectations in any given period, or over the long-term.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Pre-closing and post-closing earnings charges could adversely impact operating results in any given period, and the impact may be substantially different from period to period.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Acquisitions and other strategic transactions and relationships could create demands on our management, operational resources, and financial and internal control systems that we are unable to effectively address.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could experience difficulty in integrating personnel, operations and financial and other controls and systems and retaining key employees and customers.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achieve cost savings or other synergies anticipated in connection with an acquisition or other strategic transaction or relationship.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5915"/>
                <wp:effectExtent l="0" t="0" r="0" b="0"/>
                <wp:wrapNone/>
                <wp:docPr id="37" name="Frame3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have interests that diverge from those of our strategic partners and we may not be able to direct the management and operations of the strategic relationship in the manner we believe is most appropriate, exposing us to additional risk.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Risks Related to Information Technology, Intellectual Property and Data Privacy and Security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 real or perceived bug, defect, security vulnerability, error, or other performance failure involving our platform, products or solutions could cause us to lose revenue, damage our reputation, and expose us to liability.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products, solutions and third-party products and services we rely on are inherently complex and, despite testing and quality control, have in the past and may in the future contain bugs, defects, security vulnerabilities, misconfigurations, errors, or other performance failures, especially when first introduced and when upgraded with additional new features and capabilities, or otherwise not perform as intended. Any such bug, defect, security vulnerability, misconfiguration, error, or other performance failure could cause damage to our reputation, loss of customers or revenue, remediation costs, order cancellations, service terminations, and lack of market acceptance of our offerings. As the use of our offerings among new and existing customers expands, particularly to more sensitive, secure, or mission critical uses, we may be subject to increased scrutiny, potential reputational risk, or potential liability should our offerings fail to perform as contemplated in such deployments. We have in the past and may in the future need to issue corrective releases of our software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Any limitation of liability provision contained in an agreement with a customer, user, third-party vendor, service provider, or partner may not be enforceable, adequate or effective as a result of existing or future applicable law or judicial decisions and may not function to limit our liability arising from regulatory enforcement or other specific circumstances. The sale and support of our offerings entail the risk of liability claims, which could be substantial in light of the use of our offerings in enterprise-wide environments. Furthermore, our ability to include such limitation of liability provisions may be limited and such provisions, even if included, could include various exclusions.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misconfigurations, errors, or other performance failures in our platform, products or solutions,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platform, products and solutions, and those of third-party providers we rely on, involve the collection, storage, processing, transmission, and other use of data, including certain proprietary, confidential, sensitive, and personal information of ours and our customers (collectively, “Confidential Information"). As cyberattacks are expected to accelerate on a global basis in frequency and magnitude, we face numerous and evolving cybersecurity risks that threaten the confidentiality, integrity and availability of Confidential Information and our business platform, products and solutions. Any security breach, data loss, or other compromise, including those resulting from a cybersecurity attack, social engineering, phishing attack, or any unauthorized access, unauthorized usage (including malfeasance by insiders), malware (including ransomware), virus or similar breach or disruption could result in the loss or destruction of or unauthorized access to, or use, alteration, disclosure, or acquisition of, Confidential Information, damage to our reputation, litigation (such as class actions), regulatory investigations and enforcement actions, reputational harm, loss of existing or future customers or other liabilities. These attacks may come from diverse threat actors, such as individual hackers, hacktivists. criminal groups, and state-sponsored organizations. For example,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5915"/>
                <wp:effectExtent l="0" t="0" r="0" b="0"/>
                <wp:wrapNone/>
                <wp:docPr id="38" name="Frame3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Information or that of our customers, or other persons, or any of these types of information is lost, destroyed, or used, altered, disclosed, or acquired without authorization, our reputation may be damaged, our business may suffer, we may be subject to regulatory investigations, and we could incur significant liability, including significant incident response, system restoration or remediation and future compliance costs and penalties or fines under applicable data privacy and security laws and regulations. Even the perception of inadequate security may damage our reputation and negatively impact our ability to win new customers and retain and receive timely payments from existing customers. We experience cyber-attacks and other security incidents of varying degrees from time to time, though none which individually or in the aggregate has led to third parties gaining access to our or our customers data, or to costs or consequences which have materially impacted our operations or business. Moreover, there can be no assurance that our cybersecurity risk management program and processes, including our policies, controls or procedures, effectively protect our systems and information. Additionally, there can be no assurance that our cybersecurity measures and tools will not be circumvented or penetrated by attackers or would keep pace with the constantly evolving threats in a timely manner.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data recovery or other services.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economically reasonable terms or at all or that our insurers will not deny coverage as to any future claim.</w:t>
      </w:r>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do not directly control content that our customers store or use in our products. If our customers use our products for the transmission or storage of Confidential Information about individuals and our security measures are or are believed to have been breached as a result of third-party action, employee error, malfeasance or otherwise, our reputation could be damaged, our business may suffer, and we could incur significant liability, including related to breach notification and incident response.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engage third-party vendors and service providers to store and otherwise process some of our and our customers’ data, including Confidential Information. Our vendors and service providers, including providers of open source platforms,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Information and other information about individuals. Any such unauthorized access could materially adversely affect our business, operating results, and financial condition.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Data security breaches could also expose us to liability under various laws and regulations across jurisdictions and increase the risk of litigation and governmental or regulatory investigation.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need to notify governmental authorities and affected individuals with respect to such incidents. For example, laws in the EU and UK and all 50 U.S. states may require businesses to provide notice to individuals whose personal information has been disclosed as a result of a data security breach. Complying with such numerous and complex regulations in the event of a data security breach would be expensive and difficult, and failure to comply with these regulations could subject us to regulatory scrutiny and additional liability. We may also be contractually required to notify customers or other counterparties of a security incident, including a data security breach. Regardless of our contractual protections, any actual or perceived data security breach, or breach of our contractual obligations, could harm our reputation and brand, expose us to potential liability or require us to expend significant resources on data security and in responding to any such actual or perceived breach.</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Techniques used to sabotage or obtain unauthorized access to systems or networks are constantly evolving and, leveraging more sophisticated techniques and tools (including artificial intelligence) and, in some instances, are not identified until after they have been launched against a target. We and our service providers may be unable to anticipate these techniques, react in a timely manner, or implement adequate preventative and mitigating measures. </w:t>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5915"/>
                <wp:effectExtent l="0" t="0" r="0" b="0"/>
                <wp:wrapNone/>
                <wp:docPr id="39" name="Frame3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cybersecurity solutions providers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including our financial condition, results of operations and reputation.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Incorrect implementation or use of, or our customers’ failure to update, our software could result in customer dissatisfaction and negatively affect our business, financial condition, results of operations and growth prospects.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products and solutions are often operated in large-scale, complex information technology environments. Our customers require training and experience in the proper use of, and the benefits that can be derived from, our offerings in order to maximize their potential. If users of our offerings do not implement, use, or update them correctly or as intended, actual or perceived inadequate performance and/or security vulnerabilities may result. Because our customers rely on our software to manage a wide range of operations, the incorrect implementation or use of, or our customers’ failure to update, our software, or our failure to train customers on how to use our software productively, may result in customer dissatisfaction and negative publicity, which may adversely affect our reputation and brand. Our failure to effectively provide training and implementation services to our customers could result in lost opportunities for follow-on sales to these customers and decrease subscriptions by new customers, which would adversely affect our business, financial condition, results of operations and growth prospects.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Insufficient investment in, or interruptions or performance problems associated with, our technology and infrastructure, including in connection with our ongoing expansion of our use of public cloud infrastructure, and our reliance on technologies from third parties, may adversely affect our business operations and financial results.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Customers of our offerings need to be able to access our platform at any time, without interruption or degradation of performance. Commencing in the third quarter of 2020, we accelerated our plans to move from our own data centers to public cloud infrastructure with the goal of providing improved stability, reliability, scalability and elasticity for our offerings. This transition is complex and time-consuming and involves risks inherent in the conversion to a new system, including potential loss of information and disruption to our normal operations. Furthermore, as a result of the application of certain data privacy and security regulations, we have also established a multi-region architecture to adhere to our customers' requirements and applicable domestic laws. We may discover deficiencies in our design, implementation or maintenance of our new cloud-based systems that could adversely affect our business, financial condition, and results of operations. For example, we experienced an initial period of unstable service during the first few months of this transition, causing us to fall below the service-level commitments in our customer agreements. Though service has since stabilized, we cannot guarantee that we will not experience similar instability in the future, including as a result of our multi-region and multi-cloud architecture. Furthermore, we cannot yet know the ultimate impact of this or any similar future event on our customer relationships, and it is possible customers may be less inclined to renew their subscriptions following the expiration of their current terms.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third-party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cloud-based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It may also become increasingly difficult to maintain and improve our performance, especially during peak usage times, as our software becomes more complex and the usage of our software increases. Moreover, our insurance may not be adequate to cover such liability and may be subject to exclusions. Any of the above circumstances or events may adversely affect our business, financial condition, and results of operations.</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5915"/>
                <wp:effectExtent l="0" t="0" r="0" b="0"/>
                <wp:wrapNone/>
                <wp:docPr id="40" name="Frame3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website and internal technology infrastructure may experience performance issues due to a variety of factors, including infrastructure changes, human or software errors, website or third-party hosting disruptions, capacity constraints, technical failures,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cloud-based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on commercially acceptable terms or within adequate timelines from the same or different hosting services providers or at all.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Failure to protect our proprietary technology, or to obtain, maintain, protect, and enforce sufficiently broad intellectual property rights therein, could substantially harm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degree on our ability to protect our proprietary technology, methodologies, know-how, and brand. We rely on a combination of trademarks, copyrights, patents, trade secret laws, contractual restrictions, and other intellectual property laws and confidentiality procedures to establish and protect our proprietary rights. However, we make a version of our Media Services, Kaltura CE, available to the public at no charge under an open source license, contribute other source code to open source projects under open source licenses, and release internal software projects under open source licenses, and anticipate continuing to do so in the future. Because the source code for Kaltura CE and any other software we contribute to open source projects or distribute under open source licenses is publicly available, our ability to monetize and protect our intellectual property rights with respect to such source code may be limited or, in some cases, lost entirely. Our competitors or other third parties could access such source code and use it to create software and service offerings that compete with ours. While software can, in some cases, be protected under copyright law, in order to bring a copyright infringement lawsuit in the United States, the copyright must first be registered. We have chosen not to register any copyrights, and rely on trade secret protection in addition to unregistered copyrights to protect our proprietary software. Accordingly, the remedies and damages available to us for unauthorized use of our software may be limited.</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5915"/>
                <wp:effectExtent l="0" t="0" r="0" b="0"/>
                <wp:wrapNone/>
                <wp:docPr id="41" name="Frame4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steps we take to protect our intellectual property and proprietary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Furthermore, in such case our copyrights, patents or other intellectual property rights would be made public without assuring adequate protection. We will not be able to protect our intellectual property and proprietary rights if we are unable to enforce our rights or if we do not detect infringement, misappropriation, dilution or other unauthorized use or violation thereof. If we fail to defend and protect our intellectual property rights adequately, our competitors and other third parties may gain access to our proprietary technology, information and know-how, reverse-engineer our software,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precautions, it may be possible for unauthorized third parties to copy our products and use information that we regard as proprietary to create offerings that compete with ours. 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substantial resources to the development of our technology, business operations and business plans. We attempt to protect our intellectual property and proprietary information, including trade secrets, by implementing administrative, technical, and physical practices, including source code access controls, to secure our proprietary information. We also seek to enter into confidentiality, non-compete, proprietary, and inventions assignment agreements with our employees, consultants, and contractors, and enter into confidentiality agreements with other parties, such as licensees and customers. However, such agreements may not be self-executing, and there can be no guarantee that all applicable parties have executed such agreements or will adhere thereto. No assurance can be given that these practices or agreements will be effective in controlling access to and distribution of our proprietary information, or in providing adequate remedies in the event of unauthorized access or distribution, especially in certain states and countries, including Russia, Belarus and countries that may favor local entities, that are less willing to enforce such agreements or otherwise provide protection for trade secrets. Further, these agreements may not prevent our competitors from independently developing technologies that are substantially equivalent or superior to our products, and in such cases we would not be able to assert trade secret rights against such parties. We also employ individuals who were previously employed at other companies in our field, and our efforts to ensure that such individuals do not use the proprietary information or know-how of others in their work for us may not prevent others from claiming that we or our employees or independent contractors have used or disclosed intellectual property, including trade secrets or other proprietary information, of a former employer or other third parties. Litigation may be necessary to defend against any such claims. If we are unsuccessful in defending against any such claims, we may be liable for damages or prevented from using certain intellectual property, which in turn could materially adversely affect our business, financial condition, or results of operations; even if we are successful in defending against such claims, litigation could result in substantial costs and distract management and other employees.</w:t>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5915"/>
                <wp:effectExtent l="0" t="0" r="0" b="0"/>
                <wp:wrapNone/>
                <wp:docPr id="42" name="Frame4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protect our intellectual property and proprietary rights and to monitor for and take action against any infringement, misappropriation or other violations thereof,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or our brand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financial condition, results of operations and growth prospects.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could incur substantial costs and otherwise suffer harm as a result of any claim of infringement, misappropriation or other violation of another party’s intellectual property or proprietary rights.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has been significant litigation involving patents and other intellectual property and proprietary rights in the software industry. We do not currently have a large patent portfolio, which could prevent us from deterring patent infringement claims, as we may not be able credibly to threaten patent infringement counter-claims. Our competitors and others may now and in the future have significantly larger and more mature patent portfolios than we have. Even a large patent portfolio may not serve as a deterrent to litigation by certain third parties, some of whose sole or primary business is to assert patent claims and some of whom have sent letters to and/or filed suit alleging infringement against us or some of our customers. We could incur substantial costs in prosecuting or defending any intellectual property litigation. If we sue to enforce our rights or are sued by a third party claiming that our offerings infringe, misappropriate, or violate their rights, the litigation could be expensive and could divert management attention and resources away from our core business operations.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Any intellectual property litigation to which we might become a party, or for which we are required to provide indemnification, may require us to do one or more of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cease selling or using offerings that incorporate or are otherwise covered by the intellectual property rights that we allegedly infringe, misappropriate, or otherwise violate;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substantial payments for legal fees, settlement payments or other costs or damages, including potentially punitive or treble damages if we are found liable for willful infringement;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redesign the allegedly infringing offerings to avoid infringement, misappropriation, or other violation, which could be costly, time-consuming, or impossible.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become subject to claims for remuneration or royalties for assigned service invention rights by our employees and consultants, which could result in litigation and would adversely affect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intellectual property has been developed by our employees and consultants in the course of their engagement with us. Under the Israeli Patent Law, 5727-1967 (the “Patent Law”), inventions conceived by an employee during the scope of his or her employment relationship with a company are regarded as “service inventions,” which belong to the employer, absent a specific agreement stating otherwise. The Patent Law also provides that absent an agreement providing otherwise,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such waiver does not necessarily have to be explicit. The Committee will examine, on a case-by-case basis, the general contractual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5915"/>
                <wp:effectExtent l="0" t="0" r="0" b="0"/>
                <wp:wrapNone/>
                <wp:docPr id="43" name="Frame4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between the parties, using interpretation rules of the general Israeli contract laws. Further, the Committee has not yet determined one specific formula for calculating this remuneration, but rather uses the criteria specified in the Patent Law. Although we generally seek to enter into assignment-of-invention agreements with our employees and consultants pursuant to which such individuals assign to us all rights to any inventions created in the scope of their employment or engagement with us, we cannot guarantee that all such agreements are self-executing or have been entered into by all applicable individuals. Even when such agreements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We may face claims demanding remuneration in consideration for assigned inventions, which could require us to pay additional remuneration or royalties to our current and former employees and consultants, or be forced to litigate such claims, which could negatively affect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potentially expose us to substantial liability for intellectual property infringement, misappropriation, violation, and other losses.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and other third parties may include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software, services, or other contractual obligations. Large indemnity payments could adversely affect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Substantial indemnity payments under such agreements could harm our business, financial condition, and results of operations.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use of open-source software could negatively affect our ability to sell our offerings and subject us to possible litigation.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offerings incorporate open source software, and we expect to continue to incorporate open-source software in our offerings in the future. Few of the licenses applicable to open-source software have been interpreted by courts, and there is a risk that these licenses could be construed in a manner that could impose unanticipated conditions or restrictions on our ability to commercialize our offerings. Some open-source licenses may subject us to certain requirements, including requirements that we offer additional portions of our solutions for reduced or no cost, that we make publicly available at no charge the source code for modifications or derivative works we create based upon, incorporating, linking to or using the open-source software (which could include valuable proprietary code),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offerings that contain the open-source software and required to comply with onerous conditions or restrictions on these offerings, which could disrupt the distribution and sale of these offerings. In addition, there have been claims challenging the ownership rights in open-source software against companies that incorporate open-source software into their products, and the licensors of such open-source software provide no warranties or indemnities with respect to such claims. In any of these events, we and our customers could be required to seek licenses from third parties in order to continue offering our platform, products, and solutions, which may not be available on reasonable terms or at all, and to re-engineer our offerings or discontinue the sale of our offerings in the event re-engineering cannot be accomplished on a timely basis or at all.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laws, regulations, standards, and contractual obligations related to privacy, data protection, and data security. Our actual or perceived failure to comply with such obligations could adversely affect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collect, store, process, transfer, share and otherwise use or host personal information and other sensitive information about individuals and other data relating to users of our offerings, our employees and contractors, and other persons. We have legal and contractual obligations regarding the protection of confidentiality and appropriate use of certain data, including personal information and other sensitive information about individuals. We are subject to numerous federal, state, local, and international laws, directives, and regulations regarding privacy, data protection, and data security and the collection, storing, sharing, use, processing, transfer, disclosure, disposal, and protection of information about individuals and other data, the scope of which are changing, subject to differing interpretations, and may be inconsistent among jurisdictions or conflict with other legal and regulatory requirements. We are also subject to certain contractual obligations to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5915"/>
                <wp:effectExtent l="0" t="0" r="0" b="0"/>
                <wp:wrapNone/>
                <wp:docPr id="44" name="Frame4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other third parties related to privacy, data protection and data security. The regulatory framework for privacy, data protection and data security worldwide is, and is likely to remain for the foreseeable future, uncertain, complex and lacking worldwide unified standards,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hosting, security, processing, transfer or disclosure of data, or their interpretation, or any changes regarding the manner in which the consent of users or other data subjects for the collection, use, retention, security, processing, transfer or disclosure of such data must be obtained, could increase our costs and require us to modify our services and features, possibly in a material manner, which we may be unable to complete, and may limit our ability to receive, collect, store, host, process, transfer, and otherwise use user data or develop new services and features.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FTC and many state attorneys general are interpreting federal and state consumer protection laws to impose standards for the online collection, use, dissemination, and security of data. Such standards require us to publish statements that describe how we handle personal data and choices individuals may have about the way we handle their personal data. If such information that we publish is considered untrue or inaccurate, we may be subject to government claims of unfair or deceptive trade practices, which could lead to significant liabilities and consequences. Moreover, according to the FTC, violating consumers’ privacy rights or failing to take appropriate steps to keep consumers’ personal data secure may constitute unfair acts or practices in or affecting commerce in violation of Section 5(a) of the Federal Trade Commission Act. State consumer protection laws provide similar causes of action for unfair or deceptive practices. Further, data privacy advocates and industry groups have regularly proposed and sometimes approved, and may propose and approve in the future, self-regulatory standards with which we must legally comply or that contractually apply to 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communications with our clients are subject to certain laws and regulations, including the Controlling the Assault of Non-Solicited Pornography and Marketing Act (the “CAN-SPAM Act”), the Telephone Consumer Protection Act (the “TCPA”), and the Telemarketing Sales Rule and analogous state laws, that could expose us to significant damages awards, fines and other penalties that could materially impact our business. For example, the TCPA imposes various consumer consent requirements and other restrictions in connection with certain telemarketing activity and other communication with consumers by phone, fax or text message. The CAN-SPAM Act and the Telemarketing Sales Rule and analogous state laws also impose various restrictions on marketing conducted use of email, telephone, fax or text message. As laws and regulations, including FTC enforcement, rapidly evolve to govern the use of these communications and marketing platforms, the failure by us, our employees or third parties acting at our direction to abide by applicable laws and regulations could adversely impact our business, financial condition and results of operations or subject us to fines or other penalties.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Various other U.S. federal privacy laws are relevant to our business, including the Family Educational Rights and Privacy Act ("FERPA") and the Children’s Online Privacy Protection Act ("COPPA"), While we are not directly subject to FERPA or COPPA, our contracts with certain educational institution customers impose obligations on us related to FERPA and COPPA. Any actual or perceived failure to comply with these laws could result in a costly investigation or litigation resulting in potentially significant liability, injunctions and other consequences, loss of trust by our users, and a material and adverse impact on our reputation and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state legislatures have adopted legislation that regulates how businesses operate online, including measures relating to privacy, data security, and data breaches. For example, the California Consumer Privacy Act (“CCPA”), provides data privacy rights for California residents and imposes operational requirements on covered companies, such as obligations to provide disclosures to California residents and receive and respond to data privacy rights requests. An amendment to the CCPA created a state agency to oversee implementation and enforcement efforts, potentially resulting in further uncertainty and requiring us to incur additional costs and expenses in an effort to comply. The CCPA marked the beginning of a trend toward more stringent data privacy legislation in the United States, which could also increase our potential liability and adversely affect our business, with “copycat” laws or other similar laws being passed or proposed in other states across the country, such as in Virginia, Colorado, Connecticut, Utah and many others.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 </w:t>
      </w:r>
    </w:p>
    <w:p>
      <w:pPr>
        <w:pStyle w:val="TextBody"/>
        <w:bidi w:val="0"/>
        <w:spacing w:before="0" w:after="180"/>
        <w:ind w:left="0" w:right="0" w:firstLine="36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5915"/>
                <wp:effectExtent l="0" t="0" r="0" b="0"/>
                <wp:wrapNone/>
                <wp:docPr id="45" name="Frame4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laws may require us to notify governmental authorities and/or affected individuals of data breaches involving certain personal information or other unauthorized or inadvertent access to or disclosure of such information. We may need to notify governmental authorities and affected individuals with respect to such incidents. For example, laws in all 50 U.S. states may require businesses to provide notice to consumers whose personal information has been disclosed as a result of a data breach. These laws are not consistent with each other, and compliance in the event of a widespread data breach may be difficult and costly. We also may be contractually required to notify consumers or other counterparties of a security incident, including a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pStyle w:val="TextBody"/>
        <w:bidi w:val="0"/>
        <w:spacing w:lineRule="auto" w:line="26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Europe and the UK, we are subject to the European Union General Data Protection Regulation (the “EU GDPR”) and to the United Kingdom General Data Protection Regulation and Data Protection Act 2018 (collectively, the “UK GDPR”) (the EU GDPR and UK GDPR together referred to as the “GDPR”). The GDPR imposes comprehensive data privacy compliance obligations in relation to our collection, processing, sharing, disclosure and other use of data relating to an identifiable living individual or “personal information”, including a principle of accountability and the obligation to demonstrate compliance through policies, procedures, training and audit.</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requirements, the GDPR regulates the transfer of personal information outside of the European Economic Area (“EEA”) and UK to third countries that have not been found to provide adequate protection to such personal information, including the United States. Case law from the Court of Justice of the European Union (“CJEU”) states that reliance on the standard contractual clauses - a standard form of contract approved by the European Commission as an adequate personal information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U.S. entities self-certified under the DPF. On October 12, 2023, the UK Extension to the DPF came into effect (as approved by the UK Government), as a UK GDPR data transfer mechanism to U.S. entities self-certified under the UK Extension to the DPF.</w:t>
      </w:r>
    </w:p>
    <w:p>
      <w:pPr>
        <w:pStyle w:val="TextBody"/>
        <w:bidi w:val="0"/>
        <w:spacing w:before="0" w:after="0"/>
        <w:ind w:left="0" w:right="0" w:firstLine="36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certified as a DPF active Participant, and currently rely on the DPF to transfer certain personal information from the EEA to the United States and on the UK Extension to the DPF to transfer certain personal information from the UK to the United States, to the extent the transfer is made to a DPF certified entity. We also currently rely on the EU standard contractual clauses and the UK Addendum to the EU standard contractual clauses as relevant to transfer personal information outside the EEA and the UK with respect to both intragroup and third party transfers. We expect the existing legal complexity and uncertainty regarding international personal information transfers to continue. In particular, we expect the DPF Adequacy Decision to be challenged and further interpreted and develop,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impose strict obligations and restrictions on the ability to collect, use, retain, host, protect, disclose, transfer, and otherwise process personal information. In particular, the GDPR includes obligations and restrictions concerning the rights of individuals to whom the personal information relates, maintaining a record of data processing, security breach notifications and measures for the security and confidentiality of personal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GDPR could result in penalties for noncompliance (including possible fines under the EU GDPR of up to the greater of €20 million and 4% of our global annual turnover for the preceding financial year for the most serious violations, as well as the right to compensation for financial or non-financial damages claimed by individuals under Article 82 of the GDPR). The UK GDPR mirrors the fines under the EU GDPR, e.g., fines up to the greater of €20 million / £17.5 million or 4% of global turnover. Since we are subject to the supervision of relevant data protection authorities under both the EU GDPR and the UK GDPR, we could be fined under each of those regimes independently in respect of the same breach. In addition to the foregoing, a breach of the GDPR could result in regulatory investigations, reputational damage, orders to cease or change our processing of our data, enforcement notices and/or assessment notices (for a compulsory audit).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5915"/>
                <wp:effectExtent l="0" t="0" r="0" b="0"/>
                <wp:wrapNone/>
                <wp:docPr id="46" name="Frame4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 and UK privacy laws on cookies, tracking technologies and e-marketing. Under EU and UK national laws derived from the ePrivacy Directive, informed consent is required for the placement of a cookie or similar technologies on an individual’s device and for direct electronic marketing. The GDPR also imposes conditions on obtaining valid consent for cookies, such as a prohibition on pre-checked consents and a requirement to ensure separate consents are sought for each type of cookie or similar technology. If the trend of increasing enforcement by regulators of the strict approach to opt-in consent for all but essential use cases, as seen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The complex and evolving nature of EU, EU Member State and UK privacy laws on cookies and similar technologies may lead to broader restrictions on our marketing and personalization activities and may negatively impact our efforts to understand users and improve our customers' experience and efficiency,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failure to comply with the Israeli Privacy Protection Law 5741-1981, and its regulations as well as the guidelines of the Israeli Privacy Protection Authority, may expose us to administrative fines, civil claims (including class actions) and in certain cases criminal liability. Current pending legislation may result in a change of the current enforcement measures and sanctions.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we may not be successful in complying with the rapidly evolving privacy, data protection, and data security requirements discussed above, some of which may differ and not be coherent with other regimes to which we are subject. Any failure or perceived failure by us to comply with our posted privacy policies, our privacy-related obligations to users or other third parties, or any other legal obligations or regulatory requirements relating to data privacy, data protection, or data security, may result in governmental or regulatory investigations or enforcement actions, fines, litigation, claims, or public statements against us by consumer advocacy groups, orders to cease or change our data processing activities,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rely on software and services licensed from other parties. The loss of software or services from third parties could increase our costs and limit the features available in our platform, products, and solutions.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our offerings include various types of software and services licensed from unaffiliated parties. If any of the software or services we license from others or functional equivalents thereof were either no longer available to us, updated or supported,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or at all. Furthermore, we might be forced to temporarily limit the features available in our current or future products and solutions. If we fail to maintain or renegotiate any of these software or service licenses, we could face significant delays and diversion of resources in attempting to license and integrate functional equivalents. We and our customers may also be subject to suits by parties claiming infringement, misappropriation or other violation of third-party intellectual property or proprietary rights due to the reliance by our solutions on such third-party software and services, such third-party software and services may contain bugs or other errors that cause our own offerings to malfunction, and our agreements with such third parties may not contain any, or adequate, warranties, indemnities or other protective provisions on our behalf. Any of the foregoing could materially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5915"/>
                <wp:effectExtent l="0" t="0" r="0" b="0"/>
                <wp:wrapNone/>
                <wp:docPr id="47" name="Frame4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Risks Related to our Debt, Liquidity and Capitalization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failure to raise additional capital or generate the significant capital necessary to expand our operations and invest in new offerings could reduce our ability to compete and could adversely affect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net cash provided by operating activities, equity issuances and borrowings under our long-term debt arrangements. Although we currently anticipate that our net cash provided by operating activities, cash on hand and availability under our Revolving Credit Facility (as defined below) will be adequate to meet our operating, investing, and financing needs for at least the next twelve months,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Moreover, due to the volatile economic climate and increased inflation and interest rates, the net cash derived from our operations may be reduced while the availability of new financing may be limited, costly or unavailable. If we raise additional funds through the issuance of equity or equity-linked or debt securities, those securities may have rights, preferences, or privileges senior to the rights of our common stock, and our stockholders may experience dilution.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we need additional capital and cannot raise it on acceptable terms, we may not be able to, among other things: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 or enhance our platform, products, or solutions;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expand our research and development and sales and marketing organizations;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complementary technologies, products, or businesses;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operations in the United States or internationally;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hire, train, and retain employees;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respond to competitive pressures or unanticipated working capital requirements.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have sufficient capital to do any of these things could adversely affect our business, financial condition and results of operations, and our ability to execute our growth strategy.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indebtedness could adversely affect our ability to raise additional capital to fund operations, limit our ability to react to changes in the economy or our industry and prevent us from meeting our financial obligations.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$34.7 million of borrowings outstanding under the Term Loan Facility (as defined below) and $25.0 million available for additional borrowings under the Revolving Credit Facility (as defined below). If we cannot generate sufficient cash flow from operations to service our debt, we may need to further refinance our debt, dispose of assets, or issue equity to obtain necessary funds. We do not know whether we will be able to do any of this on a timely basis, on terms satisfactory to us, or at all. Our indebtedness could have important consequences,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obtain additional debt or equity financing for working capital, capital expenditures, debt service requirements, acquisitions and general corporate or other purposes may be limited;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portion of our cash flows from operations will be dedicated to the payment of principal and interest on the indebtedness and will not be available for other purposes, including operations, capital expenditures and future business opportunities;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of our borrowings are at variable rates of interest, exposing us to the risk of increased interest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adjust to changing market conditions may be limited and may place us at a competitive disadvantage compared to less-leveraged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vulnerable during a downturn in general economic conditions or in our business, or may be unable to carry on capital spending that is important to our growth;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due to the volatile economic climate and increased inflation and interest rates, the net cash derived from our operations decreases and the cost of financing increases, and we fail to pursue adequate measures to adapt to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5915"/>
                <wp:effectExtent l="0" t="0" r="0" b="0"/>
                <wp:wrapNone/>
                <wp:docPr id="48" name="Frame4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changes, we may fail to satisfy our financial covenants under the Term Loan Facility and Revolving Credit Facility, or otherwise lack the financial resources or financing required to pursue our annual operation plan.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Agreement (as defined below) contains, and any agreements evidencing or governing other future indebtedness may also contain, certain restrictive covenants that limit or otherwise restrict our ability, among other things,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create, issue, incur, assume, become liable in respect of or suffer to exist any debt or liens;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consummate any merger, consolidation or amalgamation, or liquidate, wind up or dissolve, or dispose of all or substantially all of our or their respective property or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dispose of property or, in the case of our subsidiaries, issue or sell any shares of such subsidiary’s capital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repay, prepay, redeem, purchase, retire, or defease subordinated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declare or pay dividends or make certain other restricted payments;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certain investments;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new lines of business;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certain amendments to our or their respective organizational documents or certain material contracts.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comply with these covenants and restrictions may be affected by events and factors beyond our control, including, among other things, the impact of the current volatile economic climate. We may not be able to generate sufficient recurring revenue or cash flow or maintain sufficient liquidity to meet the financial covenants or pay the principal and interest under our Credit Facilities when required. For example, in 2023, we experienced an event of default relating to our calculation of our Annualized Recurring Revenue (as defined in the Credit Agreement) for the fiscal quarter ended September 30, 2023, which was subsequently waived by the lending banks. If we fail to make payments under our Credit Facilities or otherwise experience an event of default thereunder, the lending banks would be permitted to take certain actions, including terminating all outstanding commitments and declaring all amounts due under our Credit Facilities to be immediately due and payable, including all outstanding borrowings, accrued and unpaid interest thereon, and prepayment premiums with respect to such borrowings and any terminated commitments. In addition, the lenders would have the right to exercise remedies under the credit agreement, including with respect to the collateral we granted to them, which includes substantially all of our assets. The occurrence of any of these events could have a material adverse effect on our business, financial condition, and results of operations. Furthermore, our future working capital, borrowings, or equity financing could be unavailable to repay or refinance the amounts outstanding under our Credit Facilities. In the event of a liquidation, our lenders would be repaid all outstanding principal and interest prior to distribution of assets to unsecured creditors, and the holders of our common stock would receive a portion of any liquidation proceeds only if all of our creditors, including our lenders, were first repaid in full.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5915"/>
                <wp:effectExtent l="0" t="0" r="0" b="0"/>
                <wp:wrapNone/>
                <wp:docPr id="49" name="Frame4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Risks Related to Other Legal, Regulatory and Tax Matters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various governmental export control, trade and economic sanctions, and import laws and regulations that could impair our ability to compete in international markets or subject us to liability if we violate these controls.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our software is subject to export control laws and regulations, including the Export Administration Regulations administered by the U.S. Department of Commerce, the Israeli Control of Products and Services Decree (Engagement in Encryption), 5735-1974, and the Israeli Law of Regulation of Security Exports, 5767-2007, and our business must also be conducted in compliance with applicable trade and economic sanctions laws and regulations, including those administered and enforced by OFAC, the U.S. Department of State, the U.S. Department of Commerce, the United Nations Security Council and other relevant regulators and sanctions authorities in our countries of operation (collectively, “Trade Controls”). As such, a license may be required to export or re-export our products, or provide related services, to certain countries and end users, as well as for certain end uses. Further, our offerings that incorporate encryption functionality may be subject to special controls applying to encryption items and/or certain reporting requirements. We have certain customer and third party relationships in Russia, Belarus and Ukraine. In response to the Russian invasion of Ukraine, the U.S. government, the European Union, the United Kingdom and other countries and jurisdictions in which we operate, have imposed enhanced export and import controls and economic sanctions targeting Russia and Belarus, including for example, certain industry sectors, products and professional services related to Russia, and have also designated certain individuals and entities as subject to blocking or asset freeze measures, which may restrict dealings with those designated persons or entities owned or controlled by such persons, and may impose additional Trade Controls in the future. Consequently, we have reassessed those relationships and took measures to comply with these Trade Controls. These Trade Controls are evolving and undergoing constant changes as the war continues, which may require changes in or cessation of our dealings with Russia and other regimes in the region or elsewhere. It is not possible to assess the full impact of those developments. These and any additional Trade Controls, as well as any responses from Russia, could adversely impact our operations and negatively impact our business in the region.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global operations expose us to the risk of violating, or being accused of violating, Trade Controls. While we have procedures in place designed to comply with Trade Controls, we cannot guarantee that these procedures will be successfully followed or keep pace with the ongoing regulatory changes or that the relevant regulators shall apply the same interpretation, judgement and standards as we do, and failure to comply could subject us to both civil and criminal penalties, including substantial fines, disgorgement of profits,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offerings are widely distributed throughout the world and are available for download without registration.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 Investigations of alleged violations can be expensive and disruptive.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various countries regulate the export or import of certain encryption technology, including through export or import permit and license requirements, and have enacted laws that could limit our ability to distribute our offerings or the ability of our customers or end users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Trade Controls or related legislation, shift in the enforcement or scope of existing export, import or Trade Controls laws or regulations, or change in the countries, governments, persons, or technologies targeted by such export, import or Trade Controls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5915"/>
                <wp:effectExtent l="0" t="0" r="0" b="0"/>
                <wp:wrapNone/>
                <wp:docPr id="50" name="Frame4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changes in the internet infrastructure itself, or increases in the cost of internet connectivity and network access may diminish the demand for our offerings and could harm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availability and quality of our customers’ and end users’ access to the internet.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the internet continues to experience growth in the number of users, frequency of use, and amount of data transmitted, the internet infrastructure that we and our customers and end users rely on may be unable to support the demands placed upon it. The failure of the internet infrastructure that we or our customers and end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Internet access is frequently provided by companies that have significant market power and the ability to take actions that degrade, disrupt, or increase the cost of user access to our offerings. As demand for online media increases, there can be no assurance that internet and network service providers will continue to price their network access services on reasonable terms. The distribution of online media requires delivery of digital content files and providers of network access and distribution may change their business models and increase their prices significantly, which could slow the widespread adoption of such services. We could incur greater operating expenses and our customer acquisition and retention could be negatively impacted if network operators: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implement usage-based pricing;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discount pricing for competitive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otherwise materially change their pricing rates or schemes;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charge us to deliver our traffic at certain levels or at all;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throttle traffic based on its source or type;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implement bandwidth caps or other usage restrictions;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otherwise try to monetize or control access to their networks.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for our services to be successful, there must be a reasonable price model in place to allow for the continuous distribution of digital media files. We have limited or no control over the extent to which any of these circumstances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5915"/>
                <wp:effectExtent l="0" t="0" r="0" b="0"/>
                <wp:wrapNone/>
                <wp:docPr id="51" name="Frame5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occur, and if network access or distribution prices rise, our business, financial condition and results of operations would likely be adversely affected.</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third-party claims, including by governmental bodies, regarding the content and advertising distributed through our offerings.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customers to secure the rights to redistribute content over the internet, and we do not screen the content that is distributed through our offerings. There is no assurance that our customers have licensed all rights necessary for distribution, including internet distribution. Other parties may claim certain rights in the content of our customers.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our customers do not have the necessary distribution rights related to content, we may be required to cease distributing such content, or we may be subject to lawsuits and claims of damages for infringement of such rights. If these claims arise with frequency, the likelihood of our business being adversely affected would rise significantly. In some cases, we may have rights to indemnification or claims against our customers if they do not have appropriate distribution rights related to specific content items, however there is no assurance that we would be successful in any such claim.</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do not screen the content that is distributed through our offerings. Content may be distributed through our platform that is illegal or unlawful under international, federal, state, or local laws or the laws of other countries. We may face lawsuits, claims or even criminal charges for such distribution, and we may be subject to civil, regulatory, or criminal sanctions and damages for such distribution. Any such claims or investigations could adversely affect our business, financial condition,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Actions by governments to restrict access to our offerings in their countries or to require us to disclose or provide access to information in our possession could harm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ability of our customers and end users to access the internet, and our offerings could be blocked or restricted in some countries for various reasons. Further, it is possible that governments of one or more foreign countries may seek to limit access to, or certain features of, our offerings in their countries, or impose other restrictions that may affect the availability of our offerings, or certain features of our offerings,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offerings if they consider us to be in violation of their laws (including data privacy laws) and may require us to disclose or provide access to information in our possession. If we fail to anticipate developments in the law or fail for any reason to comply with relevant law, our offerings could be further blocked or restricted and we could be exposed to significant liability that could harm our business. In the event that access to our offerings is restricted, in whole or in part, in one or more countries, or our competitors are able to successfully penetrate geographic markets that we cannot access, our ability to add new customers or renew or expand the value of our existing customers’ subscriptions may be adversely affected, which could have a material adverse effect on our business, financial condition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Failure to comply with anti-bribery, anti-corruption, anti-money laundering laws, and similar laws, could subject us to penalties and other adverse consequences.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Criminal Law, 5737-1977, the Israeli Prohibition on Money Laundering Law, 5760–2000 and other anti-bribery and anti-money laundering laws in countries in which we conduct our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sometimes leverage third parties to sell our offerings and conduct our business abroad. We and our third-party intermediaries may have direct or indirect interactions with officials and employees of government agencies or state-owned or affiliated entities and may be held liable for the corrupt or other illegal activities of these third-party business partners and intermediaries, our employees, representatives, contractors, partners, and agents, even if we do not explicitly authorize such activities. We cannot assure you that our employees and agents will not take actions in violation of applicable law, for which we may be ultimately held responsible. As we increase our international sales and business operations, our risks under these laws are likely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5915"/>
                <wp:effectExtent l="0" t="0" r="0" b="0"/>
                <wp:wrapNone/>
                <wp:docPr id="52" name="Frame5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any of which would adversely affect our reputation, as well as our business, financial condition, results of operations and growth prospects. Responding to any investigation or action would likely result in a materially significant diversion of management’s attention and resources and significant defense costs and other professional fees. In addition, the U.S. government may seek to hold us liable for successor liability for FCPA violations committed by companies in which we invest or that we acquire.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Changes in financial accounting standards or practices may cause adverse, unexpected financial reporting fluctuations and affect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Changes in U.S. and foreign tax laws could have a material adverse effect on our business, cash flow, results of operations, or financial conditions.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in these jurisdictions could cause us to experience fluctuations in our tax obligations and effective tax rates in the future and otherwise adversely affect our tax positions and/or our tax liabilities. For example, the recent Inflation Reduction Act enacted in the United States introduced, among other changes, a 15% corporate minimum tax on certain United States corporations and a 1% excise tax on certain stock redemptions by United States corporations. To the extent that these or other changes have a negative impact on us or our consumers, including as a result of related uncertainty, these changes may materially and adversely impact our business, financial condition, results of operations and cash flow. There can be no assurance that our effective tax rates, tax payments, tax credits, or incentives will not be adversely affected by changes in tax laws in various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5915"/>
                <wp:effectExtent l="0" t="0" r="0" b="0"/>
                <wp:wrapNone/>
                <wp:docPr id="53" name="Frame5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In October 2021, 137 member jurisdictions of the G20/OECD Inclusive Framework on BEPS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targeted law enactment to take effect in 2023 with applicability from fiscal years beginning on or after December 31, 2023. On December 20, 2021, the OECD published model rules to implement the Pillar Two rules with commentary to those rules released in March 2022 and administrative guidance published in February 2023 and July 2022. The model rules, commentary and guidance allow the OECD’s Inclusive Framework members to begin implementing the Pillar Two rules in accordance with the agreement reached in October 2021. As the Two Pillar solution is subject to implementation by each member country, the timing and ultimate impact of any such changes on our tax obligations is uncertain. These changes, if and when enacted, by various countries in which we do business may increase our taxes in these countries. The foregoing tax changes and other possible future tax changes may have an adverse impact on us, our business, financial condition, results of operations and cash flow.</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Unanticipated changes in effective tax rates or adverse outcomes resulting from examination of our income or other tax returns could expose us to greater than anticipated tax liabilities.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tax laws applicable to our business, including the laws of the United States, Israel,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adversely affect our financial position and results of operations. It is possible that tax authorities may disagree with certain positions we have taken, and any adverse outcome of such a review or audit could have a negative effect on our business, financial condition,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pStyle w:val="TextBody"/>
        <w:bidi w:val="0"/>
        <w:spacing w:before="60" w:after="120"/>
        <w:jc w:val="both"/>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corporate structure and intercompany arrangements are subject to the tax laws of various jurisdictions, and we could be obligated to pay additional taxes, which would adversely affect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were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5915"/>
                <wp:effectExtent l="0" t="0" r="0" b="0"/>
                <wp:wrapNone/>
                <wp:docPr id="54" name="Frame5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could be required to collect additional sales, use, value added, digital services or other similar taxes or be subject to other liabilities that may increase the costs our clients would have to pay for our offerings and adversely affect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that we should have been or should currently be collecting additional sales, use, value added, digital services or other similar taxes in a particular jurisdiction could, among other things, result in substantial tax payments, create significant administrative burdens for us, discourage potential customers from subscribing to our platform due to the incremental cost of any such sales or other related taxes, or otherwise adversely affect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to offset future taxable income may be subject to certain limitations.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net operating loss carryforwards of approximately $258 million and U.S. state net operating loss carryforwards of approximately $184 million,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us to become an income tax payer earlier than we would become otherwise if such limitations were not in effect and could cause such net operating loss carryforwards to expire unused, in each case reducing or eliminating the benefit of such net operating loss carryforwards. Future changes in our stock ownership could result in an ownership change that subjects us to limitations on our ability to utilize net operating loss forwards to offset future income.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5915"/>
                <wp:effectExtent l="0" t="0" r="0" b="0"/>
                <wp:wrapNone/>
                <wp:docPr id="55" name="Frame5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Risks Related to Our Operations in Israel</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Political, economic, and military conditions in Israel could materially and adversely affect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offices near Tel Aviv, Israel where our primary research and development, human resources, and certain other finance and administrative activities are based. In addition, a number of our officers and directors are residents of Israel. As of December 31, 2023, we had 344 full-time employees in Israel. Accordingly, political, economic, and military conditions in Israel and the surrounding region may directly affect our business and operations. Since the establishment of the State 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against civilian targets in various parts of Israel, including areas in which our employees, and some of our consultants are located, and negatively affected business conditions in Israel. In October 2023, Hamas terrorists infiltrated Israel’s southern border from the Gaza Strip and conducted a series of attacks on civilian and military targets. Hamas also launched extensive rocket attacks on the Israeli population within the State of Israel. These attacks resulted in extensive deaths, injuries and kidnapping of civilians and soldiers. Following the attack, Israel’s security cabinet declared war against Hamas and a military campaign against this terrorist organization commenced. Following the attack by Hamas on Israel’s southern border, Hezbollah in Lebanon also launched missile, rocket and shooting attacks against Israeli military sites, troops and Israeli towns in northern Israel. In response to these attacks, the Israeli army has carried out a number of targeted strikes on sites belonging to Hezbollah in southern Lebanon. Furthermore, following Hamas’ attack on Israel and Israel’s security cabinet declaration of war against Hamas, the Houthi movement, which controls parts of Yemen, launched a number of attacks on marine vessels traversing the Red Sea, which marine vessels were thought to either be in route towards Israel or to be partly owned by Israeli businessmen. It is possible that other terrorist organizations, including Palestinian military organizations in the West Bank, as well as other hostile countries, such as Iran, will join the hostilities. It is currently not possible to predict the duration or severity of the ongoing conflict or its effect on our business, operations and financial conditions. The ongoing conflict is rapidly evolving and developing, and could disrupt our business and operations. Any hostilities, armed conflicts, terrorist activities involving Israel and/or the United States or the interruption or curtailment of trade between Israel and its trading partners, or the interruption or curtailment of maritime trade and transportation in the Gulf Area, or any political instability in the Middle East, Gulf Area or other regions could adversely affect business conditions and our results of operations and could make it more difficult for us to raise capital. Specifically, our operations could be disrupted by the obligations of our personnel to perform military service. In connection with the Israeli security cabinet’s declaration of war against Hamas and possible hostilities with other organizations, several hundred thousand Israeli military reservists were drafted to perform immediate military service. Certain of our officers and employees in Israel have been called, and additional employees may be called, for service in the current or future wars or other armed conflicts with Hamas and others, and such persons may be absent for an extended period of time. As a result, our operations may be disrupted by such absences, which disruption may materially and adversely affect our business and results of operations.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Continued hostilities between Israel and its neighbors and any future armed conflict, terrorist activity or political instability in the region could adversely affect our operations in Israel and adversely affect the market price of our common stock. An escalation of tensions or violence might result in a significant downturn in the economic or financial condition of Israel, which could have a material adverse effect on our operations in Israel and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adversely affect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5915"/>
                <wp:effectExtent l="0" t="0" r="0" b="0"/>
                <wp:wrapNone/>
                <wp:docPr id="56" name="Frame5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Israel’s most recent general elections were held on November 1, 2022. Uncertainty surrounding future elections and/or the results of such elections in Israel may continue and the political situation in Israel may further deteriorate. In addition, prior to the Hamas attack in October 2023, the Israeli government pursued changes to Israel’s judicial system. In response to the foregoing developments, certain individuals, organizations and institutions, both within and outside of Israel, have voiced concerns that such proposed changes, if adopted, may negatively impact the business environment in Israel including due to reluctance of foreign investors to invest or transact business in Israel as well as to increased currency fluctuations, downgrades in credit ratings, increased interest rates, increased volatility in security markets, and other changes in macroeconomic conditions. Such proposed changes may also lead to political instability or civil unrest. To the extent that any of these negative developments materialize, they may individually or in the aggregate adversely affect the Israeli economy and, in turn, our business, financial condition, results of operations and growth prospects.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Certain tax benefits that are available to us require us to continue to meet various conditions and may be terminated or reduced in the future, which could increase our costs and taxes.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operations in Israel may entitle us to certain tax benefits under the Law for the Encouragement of Capital Investments, 5719-1959, or the Investment Law. If we do not meet the requirements for maintaining these benefits, they may be reduced or cancelled and the relevant operations would be subject to Israeli corporate tax at the standard rate, which is set at 23% in 2021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“Preferred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Risks Related to Ownership of our Common Stock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market price for our common stock may be volatile or may decline regardless of our operating performance, and you may not be able to resell your shares at or above the price at which you purchased your shares.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highly volatile and may fluctuate or decline substantially as a result of a variety of factors, many of which are beyond our control,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guidance we may provide to analysts and investors from time to time, and any changes in, or our failure to perform in line with, such guidance;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announcements by us or our competitors of new offerings or new or terminated contracts, commercial relationships, or capital commitments;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industry or financial analyst or investor reaction to our press releases, other public announcements, and filings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future sales or expected future sales of our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investor perceptions of us and the industries in which we operate;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of industry or financial analysts to maintain coverage of us, the issuance of new or updated reports or recommendations by any analysts who follow our company, or our failure to meet the expectations of investors;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5915"/>
                <wp:effectExtent l="0" t="0" r="0" b="0"/>
                <wp:wrapNone/>
                <wp:docPr id="57" name="Frame5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litigation involving us, other companies in our industry or both, or investigations by regulators into our operations or those of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proprietary rights or our solutions, or third-party intellectual or proprietary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announced or completed acquisitions of businesses or technologies, or other strategic transactions by us or our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perceived breaches of, or failures relating to, data privacy, data protection or data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changes in our management or our board of directors;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general economic conditions and slow or negative growth of our target markets;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 has experienced extreme volatility that in some cases has been unrelated or disproportionate to the operating performance of particular companies. 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An active public trading market may not be sustained.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An active public trading market for our common stock may not be sustained. The lack of an active market may impair your ability to sell your shares at the time you wish to sell them or at a price that you consider reasonable. The market price of our common stock may decline and you may not be able to resell your shares of our common stock at or above the price at which you purchased your shares, or at all. The lack of an active trading market may also reduce the fair value of your shares. An inactive market may also impair our ability to raise capital by selling shares of our common stock and may impair our ability to acquire other companies or technologies by using our common stock as consideration.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principal stockholders continue to have significant influence over 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stockholders each holding more than 5% of our outstanding common stock collectively beneficially owned a majority of our outstanding common stock as of December 31, 2023. These stockholders or their affiliates will be able to exert significant influence over us and, if acting together, will be able to control matters requiring stockholder approval, including the election of directors and approval of significant corporate transactions, including a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5915"/>
                <wp:effectExtent l="0" t="0" r="0" b="0"/>
                <wp:wrapNone/>
                <wp:docPr id="58" name="Frame5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Future sales of substantial amounts of our common stock in the public markets, or the perception that such sales might occur, could reduce the price that our common stock might otherwise attain.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As of February 14, 2024, we had 143,258,127 shares of our common stock outstanding. All shares of our common stock may be resold in the public market immediately without restriction, unless restricted as a result of securities laws or purchased or held by one of our affiliates, in which case the resale of such securities will generally be subject to volume limitations and other requirements under Rule 144 of the Securities Act.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registered the offer and sale of all common stock that we may issue from time to time under our equity compensation plans. Once we register these shares, they will be freely tradable in the public market.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drop significantly when we register the sale of our stockholders’ remaining shares of our common stock or if there is an expectation that such a registration of shares will occur. A decline in the trading price of our common stock might impede our ability to raise capital through the issuance of additional shares of our common stock or other equity securities and may impair your ability to sell shares of our common stock at a price higher than the price you paid for them or at all.</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Your ownership and voting power may be diluted by the issuance of additional shares of our common stock in connection with financings, acquisitions, investments, our equity incentive plans or otherwise.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856,741,873 shares of common stock authorized but unissued, based on the number of shares of our common stock outstanding as of February 14, 2024. Subject to compliance with applicable rules and regulations, we may issue common stock or securities convertible into common stock from time to time for the consideration and on the terms and conditions established by our board of directors in its sole discretion, whether in connection with a financing, acquisition, investment, our equity incentive plans or otherwise. As of December 31, 2023, we had 22,933,058 shares of our common stock issuable upon the exercise of outstanding options at a weighted average exercise price of $4.99 per share, 16,745,670 of which were vested as of such date, 11,199,265 shares of our common stock issuable upon the vesting of restricted stock units and 3,521,137 additional shares of our common stock reserved for future issuance under our 2021 Incentive Award Plan. Any additional shares of common stock that we issue, including under our 2021 Incentive Award Plan or other equity incentive plans that we may adopt in the future, or in connection with the exercise of outstanding warrants, would dilute the percentage ownership and voting power held by existing stockholders. In the future, we may also issue additional securities if we need to raise capital, including, but not limited to, in connection with acquisitions, which could constitute a material portion of our then-outstanding shares of common stock. Any such issuance could substantially dilute the ownership and voting power of our existing stockholders and cause the market price of our common stock to decline.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issue shares of preferred stock in the future, which could make it difficult for another company to acquire us or could otherwise adversely affect holders of our common stock, which could depress the price of our common stock.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us to issue one or more series of preferred stock. Our board of directors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our company, discouraging bids for our common stock at a premium to the market price, and materially and adversely affect the market price and the voting and other rights of the holders of our common stock.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governing documents and under Delaware law could make an acquisition of our company more difficult, limit attempts by our stockholders to replace or remove our current management, and depress the market price of our common stock.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Delaware corporation, and the anti-takeover provisions of Delaware law impose various impediments to the ability of a third party to acquire control of us, even if a change of control would be beneficial to our existing stockholders. In addition, our Certificate of Incorporation and Bylaws contain provisions that could have the effect of rendering more difficult, delaying or preventing an acquisition deemed undesirable by our board of directors, including transactions in which stockholders might otherwise receive a premium for their shares. Among others, our Certificate of Incorporation and Bylaws include the following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5915"/>
                <wp:effectExtent l="0" t="0" r="0" b="0"/>
                <wp:wrapNone/>
                <wp:docPr id="59" name="Frame5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division of our board of directors into three classes, with each class serving staggered three-year terms, which may delay the ability of stockholders to change the membership of a majority of our board of directors;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limitations on convening special stockholder meetings, which could make it difficult for our stockholders to adopt desired governance changes;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prohibition on stockholder action by written consent, which means that our stockholders will only be able to take action at a meeting of stockholders;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forum selection clause, which means certain litigation against us can only be brought in Delaware;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no authorization of cumulative voting, which limits the ability of minority stockholders to elect director candidates;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directors will only be able to be removed for cause and only by the affirmative vote of two-thirds of the then outstanding voting power of our capital stock;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certain amendments to our Certificate of Incorporation and Bylaws will require the approval of two-thirds of the then outstanding voting power of our capital stock;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affirmative vote of two-thirds of the then-outstanding voting power of our capital stock, voting as a single class, will be required for stockholders to amend or adopt any provision of our Bylaws;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authorization of undesignated or “blank check” preferred stock, the terms of which may be established and shares of which may be issued without further action by our stockholders, which could be used to significantly dilute the ownership and voting rights of a hostile acquirer.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provision of our Certificate of Incorporation,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common stock at a price greater than the price you paid for them or at all.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5915"/>
                <wp:effectExtent l="0" t="0" r="0" b="0"/>
                <wp:wrapNone/>
                <wp:docPr id="60" name="Frame5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Our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employees or other agents to us or to our stockholders; (c) any action asserting a claim arising pursuant to the DGCL, our Certificate of Incorporation or Bylaws (as either may be amended and/or restated), or as to which the DGCL confers exclusive jurisdiction on the Court of Chancery of the State of Delaware; or (d) any action asserting a claim governed by the internal affairs doctrine. Under our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employees, or other agents, which may discourage such lawsuits against us and our directors, officers, employees, and other agents. Alternatively, if a court were to find the choice of forum provisions contained in our Certificate of Incorporation to be inapplicable or unenforceable in an action, we may incur additional costs associated with resolving such action in other jurisdictions, which could adversely affect our business, financial condition, and results of operations.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provides that the doctrine of “corporate opportunity” will not apply with respect to any director or stockholder who is not employed by us or our subsidiaries.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Certificate of Incorporation, to the fullest extent permitted from time to time by Delaware law, renounces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and growth prospects.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management team has limited experience managing a public company, and the requirements of being a public company may strain our resources, divert management’s attention, and affect our ability to attract and retain qualified board members.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members of our management team have little experience managing a publicly traded company, interacting with public company investors, and complying with the increasingly complex laws pertaining to public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35915"/>
                <wp:effectExtent l="0" t="0" r="0" b="0"/>
                <wp:wrapNone/>
                <wp:docPr id="61" name="Frame6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may not successfully or efficiently manage our operation as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revenue-generating activities to compliance activities, which may prevent us from implementing our business strategy and growing our business. Moreover, we may not be successful in implementing these requirements. If we do not effectively and efficiently manage our operation as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a public company, we may from time to time be subject to proposals by stockholders urging us to take certain corporate actions. If activist stockholder activity ensues, we may be required to incur additional costs to retain the services of professional advisors, management time and attention will be diverted from our core business operations, and perceived uncertainties as to our future direction, strategy or leadership may cause us to lose potential business opportunities and impair our brand and reputation, any of which could materially and adversely affect our business, financial condition, and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increasing our legal and financial compliance costs, the additional rules and regulations described above might also make it more difficult for us to obtain certain types of insurance, including director and officer liability insurance, and we might be forced to accept reduced policy limits and coverage or incur substantially higher costs to obtain the same or similar coverage. As a result, it may be more difficult for us to attract and retain qualified persons to serve on our board of directors, on committees of our board of directors or as members of our senior management team.</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These provisions include, among other exemptions, that: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required to have only two years of Management’s Discussion and Analysis of Financial Condition and Results of Operations disclosure;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not required to engage an auditor to report on our internal controls over financial reporting pursuant to Section 404(b) of the Sarbanes-Oxley Act;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not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not required to submit certain executive compensation matters to stockholder advisory votes, such as “say-on-pay,” “say-on-frequency” and “say-on-golden parachutes;”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are not required to disclose certain executive compensation related items such as the correlation between executive compensation and performance and comparisons of the chief executive officer’s compensation to median employee compensation.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may take advantage of these exemptions until the last day of our fiscal year following the fifth anniversary of the closing of our IPO or such earlier time that we are no longer an emerging growth company. We will cease to be an emerging growth company if (i) we have $1.235 billion or more in annual revenue in any fiscal year, (ii) the market value of our common stock held by non-affiliates is at least $700 million as of the end of our most recently completed second fiscal quarter, or (iii) we issue more than $1.0 billion of non-convertible debt over a three-year period. We have elected to take advantage of certain of the reduced reporting and other obligations described above and intend to take advantage of reduced reporting requirements in the future for so long as we are able to do so. The JOBS Act also permits an emerging growth company like us to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35915"/>
                <wp:effectExtent l="0" t="0" r="0" b="0"/>
                <wp:wrapNone/>
                <wp:docPr id="62" name="Frame6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do not anticipate paying dividends on our common stock in the foreseeable future. As a result, your ability to achieve a return on your investment will depend on appreciation in the price of our common stock.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the repayment of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 Consequently, investors who purchase shares of our common stock may be unable to realize a return on their investment except by selling sell such shares after price appreciation, which may never occur. Our inability or decision not to pay dividends, particularly when others in our industry have elected to do so, could also adversely affect the market price of our common stock.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current uncertainty in the global economy and financial and stock markets may depress our stock price, which may cause stockholders, activists and others to take advantage of the distressed stock price and pursue aggressive actions that may not be in the interests of all stockholders.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uncertainty in the global economy and financial and stock markets, by itself or coupled with our dependency on existing customers' demand and exposure to change in demand by our customers, including as a result of reasons beyond our control, as well as other risk factors described herein, may have an adverse effect on our business, operations, financial results and prospects. As a result of this or any of the other factors described above, investors’ perceptions of our business and the market price of our common stock could be adversely affected. Those circumstances may encourage certain stockholders, activists and others to take advantage of the distressed stock price and market conditions to pursue aggressive or hostile actions that may not be in the interests of all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General Risk Factors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Unfavorable conditions in our industry or the global economy or reductions in information technology spending could limit our ability to grow our business and negatively affect our 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vary based on the impact of changes in our industry and the global economy on us and our customers. Current or future economic uncertainties or downturns could adversely affect our business, financial condition and results of operations. Negative conditions in the general economy both in the United States and abroad, including conditions resulting from changes in gross domestic product growth, financial, and credit market fluctuations, political turmoil, natural catastrophes, any pandemic, epidemic or outbreak of infectious disease, including a resurgence of COVID-19 and its variants, warfare, protests and riots, and terrorist attacks on the United States, Europe, Middle East, the Asia Pacific region, or elsewhere, could cause a decrease in business investments by our customers and potential customers, including spending on information technology, and negatively affect the growth of our business. Any limitations on travel and doing business in person may negatively affect our customer success efforts, sales and marketing efforts, challenge our ability to enter into customer contracts in a timely manner, slow down our recruiting efforts, or create operational or other challenges, any of which could adversely affect our business, financial condition and results of operations. A disruption in the operations of our customers and technology partners, including as a result of travel restrictions and/or business shutdowns, such as the disruptions experienced in connection with the COVID-19 pandemic, could negatively impact our business, financial condition, and results of operations. To the extent our offerings are perceived by customers and potential customers as discretionary, our revenue may be disproportionately affected by delays or reductions in general information technology spending. Also, customers may choose to develop in-house software as an alternative to using our offerings.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35915"/>
                <wp:effectExtent l="0" t="0" r="0" b="0"/>
                <wp:wrapNone/>
                <wp:docPr id="63" name="Frame6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From time to time we may provide estimates of market opportunity and forecasts of market growth. These estimates may prove to be inaccurate, and even if the markets in which we compete achieve the forecasted growth, our business could fail to grow at similar rates, or at all.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Any estimates of market opportunity and forecasts of market growth that we provide may prove to be inaccurate. Market opportunity estimates and growth forecasts are subject to significant uncertainty and are based on assumptions and estimates that may not prove to be accurate, including as a result of any of the risks described in this Annual Report on Form 10-K.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variables that go into the calculation of our market opportunity are subject to change over time, and there is no guarantee that any particular number or percentage of addressable users or companies covered by our market opportunity estimates will purchase our offerings or generate any particular level of revenue for us. In addition, our ability to expand in any of our target markets depends on a number of factors, including the cost, performance, and perceived value associated with our platform and those of our competitors. Even if the markets in which we compete meet our size estimates and growth forecasts, our business could fail to grow at similar rates, or at all. Our growth is subject to many factors, including our success in implementing our business strategy, which is subject to many risks and uncertainties. Accordingly, any forecasts of market growth that we provide should not be taken as indicative of our future growth.</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industry or financial analysts do not publish research or reports about our business, or if they issue inaccurate or unfavorable research regarding our common stock, the market price and trading volume of our common stock could decline.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financial analysts publish about us and our business. We do not control these analysts or the content and opinions included in their reports. As a recently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company, the market price of our common stock would likely decline. In addition, the share prices of many companies in the technology industry have declined significantly after those companies have failed to meet, or significantly exceed, the financial guidance they have publicly announced or the expectations of analysts and investors. If our financial results fail to meet, or significantly exceed, our announced guidance or the expectations of analysts or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the market price or trading volume of our common stock to decline.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disclosure controls and procedures may not prevent or detect all errors or acts of fraud.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180"/>
        <w:ind w:left="0" w:right="0" w:firstLine="49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35915"/>
                <wp:effectExtent l="0" t="0" r="0" b="0"/>
                <wp:wrapNone/>
                <wp:docPr id="64" name="Frame6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common stock.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Increased attention to environmental, social and governance (“ESG”) matters may require us to incur additional costs or otherwise adversely impact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Increased attention to climate change; diversity, equity, and inclusion; and other ESG issues, as well as societal expectations regarding voluntary ESG initiatives and disclosures, may result in increased costs (including but not limited to increased costs related to compliance, stakeholder engagement, and contracting), impact our reputation, or otherwise affect our business performance. In addition, organizations that provide information to investors on corporate governance and related matters have developed ratings processes for evaluating companies on ESG matters. Such ratings are used by some investors to inform their investment or voting decisions. Unfavorable or lack of ESG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 We may take certain actions, including the establishment of ESG-related goals or targets, to improve the ESG profile of our Company and/or offerings and/or respond to stakeholder demand; however, such actions may be costly, lengthy, or be subject to numerous conditions that are outside our control, and we cannot guarantee that such actions will have the desired effect.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Moreover,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Such disclosures may also be at least partially reliant on third-party information that we have not independently verified or cannot be independently verified. In addition, we expect there will likely be increasing levels of regulation, disclosure-related and otherwise, with respect to ESG matters, and increased regulation will likely lead to increased compliance costs as well as scrutiny that could heighten all of the risks identified in this risk factor. Such ESG matters may also impact our suppliers or customers, which may adversely impact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35915"/>
                <wp:effectExtent l="0" t="0" r="0" b="0"/>
                <wp:wrapNone/>
                <wp:docPr id="65" name="Frame6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Item 1B. Unresolved Staff Comments.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2"/>
        </w:rPr>
      </w:pPr>
      <w:r>
        <w:rPr>
          <w:rFonts w:ascii="Times New Roman;sans-serif" w:hAnsi="Times New Roman;sans-serif"/>
          <w:b/>
          <w:color w:val="000000"/>
          <w:sz w:val="22"/>
        </w:rPr>
        <w:t>Item 1C. Cybersecurity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and Strategy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Kaltura has developed and implemented a cybersecurity risk management program, intended to protect the confidentiality, integrity, and availability of our critical systems and information.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be proactive in our approach to cybersecurity, with our practices informed by the National Institute of Standards and Technology Cybersecurity Framework (NIST CSF). This approach aids us in identifying and managing cyber risks in a manner that aligns with our business operations. While the NIST CSF serves as a guiding framework to help us identify, assess, and manage cybersecurity risks, this does not imply we adopt a blanket adherence to its standards and requirements in all respects. Our cybersecurity risk management program is further informed by the industry-recognized certifications we have obtained through comprehensive third-party evaluations, including ISO/IEC 27001, ISO 27701, ISO 27799, ISO 22301, SOC 2 Type 2, and SOC 3.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integrated into the broader scope of Kaltura's enterprise risk management framework, including processes for managing risks, from legal and compliance to strategic, operational, and financial threats, through shared methodologies, reporting channels, and governance processes.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Key elements of our cybersecurity risk management program encompass:</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Risk Assessments: A risk assessment process to identify and evaluate material cybersecurity threats to our systems, data, products, services, and overall IT environment.</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Security Team Expertise: Our security team, led by our Chief Information Security Officer (CISO), who oversees our cybersecurity risk assessments, the implementation of security controls, and the coordination of our incident response efforts. </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External Collaboration: We engage with external service providers, where appropriate, for assessing and testing our security processes and controls.</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Cybersecurity Awareness Training: Security awareness and training programs for our employees.</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Incident Response Preparedness: Our incident response plan outlines our approach to addressing and responding to cybersecurity incidents and to findings, vulnerabilities and incidents that could lead to or allegedly be suspected as cybersecurity incidents.</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Third-Party Risk Management: A process for evaluating and managing the risks associated with our service providers, suppliers, and vendors who access our critical systems and data.</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us or are reasonably likely to materially affect us. We face risks from cybersecurity threats that, if realized, are reasonably likely to materially affect us, including our operations, business strategy, results of operations, or financial condition. See “Risk Factors – Risks Related to Information Technology, Intellectual Property and Data Privacy and Security” - "A real or perceived bug, defect, security vulnerability, error, or other performance failure involving our platform, products or solutions could cause us to lose revenue, damage our reputation, and expose us to liability." and "If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risk is a critical aspect of our Board of Directors' risk oversight function. The Board has entrusted the Audit Committee with the oversight of cybersecurity and other IT-related risks. This committee monitors the execution of our cybersecurity risk management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35915"/>
                <wp:effectExtent l="0" t="0" r="0" b="0"/>
                <wp:wrapNone/>
                <wp:docPr id="66" name="Frame6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hyperlink w:anchor="ia8c129095af541e48f545729b1ad120d_7">
        <w:r>
          <w:rPr>
            <w:rStyle w:val="InternetLink"/>
          </w:rPr>
          <w:t xml:space="preserve">Table of </w:t>
        </w:r>
      </w:hyperlink>
      <w:hyperlink w:anchor="ia8c129095af541e48f545729b1ad120d_7">
        <w:r>
          <w:rPr>
            <w:rStyle w:val="InternetLink"/>
          </w:rPr>
          <w:t>Contents</w:t>
        </w:r>
      </w:hyperlink>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Regular briefings are provided to the Audit Committee by management, regarding the cybersecurity risk landscape and any significant cybersecurity incidents. These updates are then relayed to the full Board as deemed necessary by the Audit Committee. Our management team also receives regular internal briefings.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Board members are regularly educated on cybersecurity issues through presentations from our Chief Information Security Officer (CISO) and internal security team. External experts may also be consulted to provide additional insights or reports when necessary.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including the CISO, Data Privacy Officer (DPO), CCO (Chief Customer Officer) and Chief Product Officer (CPO), is responsible for the assessment and mitigation of cybersecurity threats and overseeing both our internal security personnel and external cybersecurity consultants. Our management team’s cumulative experience includes decades working in cybersecurity and information security, including in the government and public and private companies, and overseeing risk management generally. Among other things, our CISO is a graduate of the Technion’s Information Security Program as a Technion Certified CISO and brings vast experience as former Security Specialist in the U.S. Department of State, Senior Lead Information Security Architect at one of the Israeli leading banks, and Head of Cyber Architecture, Engineering &amp; Research Group at one of the leading Israeli Aerospace &amp; Defense companies. The team reporting to our CISO further includes experienced specialists in the area of Cyber Forensics and Counterterrorism and Network Security Engineers holding B.S. Computer Science Degrees and other relevant certifications.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2. Properties.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New York, NY, where we lease approximately 13,815 square feet of office space. The lease expires in July 2027. Starting from June 2022, we also lease approximately 5,926 square meters (approximately 63,784 square feet) of office space in Bnei-Brak, Israel, for our Israeli center, where among others, our primary research and development, human resources, and certain other finance and administrative activities are based. The lease for our research and development center expires in November 2027 with two extension options of five years each. We also subscribe for co-working office spaces in St. Louis, Memphis, Sydney, Singapore and London . We lease all of our current facilities and do not own real estate property. We believe that our current facilities are adequate to meet our current needs for the immediate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3. Legal Proceedings.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1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35915"/>
                <wp:effectExtent l="0" t="0" r="0" b="0"/>
                <wp:wrapNone/>
                <wp:docPr id="67" name="Frame6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center"/>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5. Market for Registrant’s Common Equity, Related Stockholder Matters and Issuer Purchases of Equity Securities. </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Market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2021, our common stock began trading on the Nasdaq Global Select Market under the symbol “KLTR.” Prior to that time, there was no public market for our common stock. </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Holders</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As of February 14, 2024, there were 1,248 holders of record of our common stock. The number of record holders does not include persons who hold shares of our common stock in nominee or “street name” accounts through brokers.</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Dividend Policy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to make payments on our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Recent Sales of Unregistered Securities; Purchases of Equity Securities by the Issuer or Affiliated Purchaser</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Performance Graph</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and table illustrate the total return from July 21, 2021 through December 31, 2023 for (i) our common stock, (ii) the Nasdaq Composite Index, and (iii) the Nasdaq Computer &amp; Data Processing Index. The graph and the table assume that $100 was invested on July 21, 2021 in each of our common stock, the Nasdaq Composite Index, and the Nasdaq Computer &amp; Data Processing Index, and that any dividends were reinvested.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graph uses the closing market price on July 21, 2021 of $12.00 per share as the initial value of our common stock. The stock price performance of the following graph is not necessarily indicative of future stock price performance. The comparisons reflected in the graph and table are not intended to forecast the future performance of our stock and may not be indicative of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35915"/>
                <wp:effectExtent l="0" t="0" r="0" b="0"/>
                <wp:wrapNone/>
                <wp:docPr id="68" name="Frame6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547"/>
        <w:jc w:val="center"/>
        <w:rPr/>
      </w:pPr>
      <w:r>
        <w:rPr/>
        <w:drawing>
          <wp:inline distT="0" distB="0" distL="0" distR="0">
            <wp:extent cx="6048375" cy="3324225"/>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3"/>
                    <a:stretch>
                      <a:fillRect/>
                    </a:stretch>
                  </pic:blipFill>
                  <pic:spPr bwMode="auto">
                    <a:xfrm>
                      <a:off x="0" y="0"/>
                      <a:ext cx="6048375" cy="3324225"/>
                    </a:xfrm>
                    <a:prstGeom prst="rect">
                      <a:avLst/>
                    </a:prstGeom>
                  </pic:spPr>
                </pic:pic>
              </a:graphicData>
            </a:graphic>
          </wp:inline>
        </w:drawing>
      </w:r>
    </w:p>
    <w:p>
      <w:pPr>
        <w:pStyle w:val="TextBody"/>
        <w:bidi w:val="0"/>
        <w:spacing w:before="0" w:after="0"/>
        <w:ind w:left="0" w:right="0" w:firstLine="547"/>
        <w:jc w:val="center"/>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Use of Proceeds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we completed our IPO, in which we issued and sold 15,000,000 shares of our common stock at a price to the public of $10.00 per share. On August 6, 2021, we issued and sold an additional 2,250,000 shares of our common stock at a price of $10.00 per share in connection with the underwriters’ exercise in full of their option to purchase additional shares of our common stock. All shares sold were registered pursuant to a registration statement on Form S-1 (File No. 333- 253699), as amended (the “Registration Statement”), declared effective by the SEC on July 20, 2021. We used $22.5 million of our net proceeds from the IPO to repay the outstanding principal balance under our Revolving Credit Facility. Such payment was not made directly or indirectly to (i) any of our officers or directors or their associates, (ii) any persons owning 10% or more of any class of our equity securities or (iii) any of our affiliates. Other than the foregoing, there has been no material change in the expected use of the net proceeds from our IPO as described in the Prospectus.</w:t>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35915"/>
                <wp:effectExtent l="0" t="0" r="0" b="0"/>
                <wp:wrapNone/>
                <wp:docPr id="70" name="Frame6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7. Management’s Discussion and Analysis of Financial Condition and Results of Operations. </w:t>
      </w:r>
    </w:p>
    <w:p>
      <w:pPr>
        <w:pStyle w:val="TextBody"/>
        <w:bidi w:val="0"/>
        <w:spacing w:lineRule="auto" w:line="288" w:before="0" w:after="180"/>
        <w:ind w:left="0" w:right="0" w:firstLine="49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other parts of this Annual Report on Form 10-K.</w:t>
      </w:r>
    </w:p>
    <w:p>
      <w:pPr>
        <w:pStyle w:val="TextBody"/>
        <w:bidi w:val="0"/>
        <w:spacing w:lineRule="auto" w:line="288" w:before="0" w:after="180"/>
        <w:ind w:left="0" w:right="0" w:firstLine="49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section of our Annual Report on Form 10-K discusses our financial condition and results of operations for the fiscal years ended December 31, 2023 and 2022, and year-to-year comparisons between fiscal 2023 and fiscal 2022. A discussion of our financial condition and results of operations for the fiscal year ended December 31, 2021 and year-to-year comparisons between fiscal 2022 and fiscal 2021 can be found in “Management’s Discussion and Analysis of Financial Condition and Results of Operations” in Part II, Item 7 of our Annual Report on Form 10-K for the fiscal year ended December 31, 2022, filed on February 24,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power any video experience, for any organization. Our Video Experience Cloud powers live, real-time, and on-demand video for webinars, events, virtual classrooms, and video sites. We also offer robust Application Programming Interfaces ("APIs") and industry solutions for education and media and telecom. Our Video Experience Cloud is used by leading brands across all industries, reaching millions of users, at home, at school and at work, for communication, collaboration, marketing, sales, customer care, learning, and entertainment experiences. With our flexible offerings, customers can experience the benefits of video across a wide range of use cases, while customizing their deployments to meet their individual, dynamic needs.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was founded in 2006.</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primarily through the sale of Software-as-a-Service (“SaaS”) and Platform-as-a-Service (“PaaS”) subscriptions, and additional revenue from term license subscriptions. We also generate revenue through the sale of professional services associated with the implementation of deployments for new and existing customers.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our Board of Directors approved a strategic restructuring program (the “2022 Restructuring Plan”) to streamline our operations in order to support our investment in critical growth areas. The 2022 Restructuring Plan included, among other things, a workforce reduction of approximately 10% of our employees. In connection with the 2022 Restructuring Plan, during the year ended December 31, 2022, we recorded expenses of $1.2 million, all for one-time employee termination benefits. The 2022 Restructuring Plan was substantially completed in 2022. On January 3, 2023, our Board of Directors approved a re-organization plan (the “2023 Reorganization Plan” and together with the 2022 Restructuring Plan, the “Reorganization Plans”) that included, among other things, downsizing an additional 11% of our workforce and adapting our organizational structure, roles, and responsibilities accordingly. The total accumulated cost reduction from the downsizing in connection with the 2023 Reorganization Plan for 2023 and thereafter on a go-forward annualized basis is expected to be approximately $16 million. The 2023 Reorganization Plan focused on realigning our operations to further increase efficiency and productivity, in reaction to the current macro-economic climate. The 2023 Reorganization Plan's main objectives were to position the Company for lower demand, spend, and available budgets across our market segments, align our business strategy in light of these market conditions and support our growth initiatives and return path to profitability. In connection with the 2023 Reorganization Plan, we incurred pre-tax charges of approximately $1 million as of December 31, 2023.</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2023 Reorganization Plan was substantially completed in the first half of 2023. See Note 18, Restructuring Activities, to our consolidated financial statements included elsewhere in this Annual Report on Form 10-K for further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organize our business into two reporting segments: (i) Enterprise, Education, and Technology (“EE&amp;T”); and (ii) Media and Telecom (“M&amp;T”). These segments share a common underlying platform consisting of our API-based architecture, as well as unified product development, operations, and administrative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35915"/>
                <wp:effectExtent l="0" t="0" r="0" b="0"/>
                <wp:wrapNone/>
                <wp:docPr id="71" name="Frame6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Enterprise, Education &amp; Technology</w:t>
      </w:r>
      <w:r>
        <w:rPr>
          <w:rFonts w:ascii="Times New Roman;sans-serif" w:hAnsi="Times New Roman;sans-serif"/>
          <w:b w:val="false"/>
          <w:color w:val="000000"/>
          <w:sz w:val="20"/>
        </w:rPr>
        <w:t>: Includes revenue from all of our products, industry solutions for education customers, and Media Services (except for Media and Telecom customers), as well as associated professional services for those offerings. Subscription revenues are primarily generated on a per full-time equivalent basis for on-demand and live products and solutions, per host basis for real-time-conferencing products and solutions, and per participant basis for Events product (which intersects on-demand, live, and real-time-conferencing video). Contracts are generally 12 to 24 months in length. Billing is primarily done on an annual basis.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Media &amp; Telecom</w:t>
      </w:r>
      <w:r>
        <w:rPr>
          <w:rFonts w:ascii="Times New Roman;sans-serif" w:hAnsi="Times New Roman;sans-serif"/>
          <w:b w:val="false"/>
          <w:color w:val="000000"/>
          <w:sz w:val="20"/>
        </w:rPr>
        <w:t>: Includes revenue from our TV Solution and Media Services for media and telecom customers, as well as associated professional services for those offerings. Revenues are generated on a per end-subscriber basis for telecom customers, and on a per video play basis for media customers. Contracts are generally two to five years in length. Billing is generally done on a quarterly or annual basis. It generally takes from six to 12 months to implement M&amp;T offerings. The upfront resources required for implementation of our Media &amp; Telecom solutions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on-premise deployments, which also impacts our gross margin.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Reflected below is a summary of reportable segment revenue and reportable segment gross profit for the years ended December 31, 2023, 2022 and 2021.</w:t>
      </w:r>
    </w:p>
    <w:tbl>
      <w:tblPr>
        <w:tblW w:w="7242" w:type="dxa"/>
        <w:jc w:val="left"/>
        <w:tblInd w:w="0" w:type="dxa"/>
        <w:tblLayout w:type="fixed"/>
        <w:tblCellMar>
          <w:top w:w="28" w:type="dxa"/>
          <w:left w:w="28" w:type="dxa"/>
          <w:bottom w:w="28" w:type="dxa"/>
          <w:right w:w="28" w:type="dxa"/>
        </w:tblCellMar>
      </w:tblPr>
      <w:tblGrid>
        <w:gridCol w:w="1122"/>
        <w:gridCol w:w="989"/>
        <w:gridCol w:w="994"/>
        <w:gridCol w:w="211"/>
        <w:gridCol w:w="826"/>
        <w:gridCol w:w="109"/>
        <w:gridCol w:w="109"/>
        <w:gridCol w:w="109"/>
        <w:gridCol w:w="109"/>
        <w:gridCol w:w="211"/>
        <w:gridCol w:w="826"/>
        <w:gridCol w:w="109"/>
        <w:gridCol w:w="109"/>
        <w:gridCol w:w="109"/>
        <w:gridCol w:w="109"/>
        <w:gridCol w:w="211"/>
        <w:gridCol w:w="826"/>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Education &amp;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 &amp; Telecom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Education &amp;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 &amp; Telecom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a "land and expand" strategy with the aim of having our customers increase their usage of our offerings and/or purchase additional offerings over time. For the years ended December 31, 2023 and 2022, our Net Dollar Retention Rate was 100%. We also grew our Annualized Recurring Revenue (as defined below), by 3% in the three months ended December 31, 2023, compared to the three months ended December 31, 2022, demonstrating our ability to land new customers with higher spending levels and increase revenue from our existing customers.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any given year, a large majority of our revenue comes from existing customers, with whom we are in active dialogue and tend to have visibility into their expected usage of our offerings.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selling efforts on large organizations and sell our solutions primarily through direct sales teams and account teams. In addition, we are investing in low-touch and self-serve offerings for smaller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35915"/>
                <wp:effectExtent l="0" t="0" r="0" b="0"/>
                <wp:wrapNone/>
                <wp:docPr id="72" name="Frame7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Key Factors Affecting Our Performance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Expansion of our Platform</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platform is ideally suited for expansion across solutions, industries, and use cases. For example, in 2020, we entered the real-time conferencing market with the introduction of our Virtual and Hybrid Events, Webinars, and Online Learning products, focusing on learning, training, events, and marketing. Since then, we expanded the capabilities of our Virtual &amp; Hybrid Events product to support a broader range of event types and use cases, fitted them to also address low-touch and self-serve sales and introduced a set of GenAI powered capabilities that increase the productivity in creating content and setting up events and also foster user engagement. We believe these products present a significant long-term opportunity, and we intend to harness our growing presence with them. Additionally, we will continue to invest in new video products for training, communication and collaboration, sales, marketing, and customer care, as we extend our platform into more industries.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solutions. Our focus remains on bringing in new customers from enterprise accounts, as well as expanding our small and medium enterprise ("SME") offerings that can be sold by inside-sales teams. We also continue to provide our self-serve offering that can be purchased completely online, which also serves as a demand generation engine for our low-touch and enterprise offerings. We believe this will enable us to efficiently acquire smaller customers across all industries over time – expanding beyond enterprises into SMEs, beyond universities into K-12 schools, beyond tier 1 media and telecom companies to tier 2 and 3 media and telecom companies, and beyond providing Media Services to large technology companies to also addressing smaller technology firms and startups.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Increasing Revenue from Existing Customers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sales within our existing customer base through increased usage of our platform and the cross-selling of additional products and solutions. For the year ended December 31, 2023, our Net Dollar Retention Rate was 100%. In order for us to increase revenue within our customer base, we will need to maintain engineering-level customer support and continue to introduce new products and features as well as innovative new use cases that are tailored to our customers' needs.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Continued Investment in Growth</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invested significantly in our business to date, we believe that we still have a significant market opportunity ahead of us. We intend to continue to make investments to support the growth and expansion of our business and to increase revenue. We believe there is a significant opportunity to continue our growth. We expect that our cost of revenue and operating expenses will fluctuate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Key Financial and Operating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 </w:t>
      </w:r>
    </w:p>
    <w:tbl>
      <w:tblPr>
        <w:tblW w:w="8025" w:type="dxa"/>
        <w:jc w:val="left"/>
        <w:tblInd w:w="0" w:type="dxa"/>
        <w:tblLayout w:type="fixed"/>
        <w:tblCellMar>
          <w:top w:w="28" w:type="dxa"/>
          <w:left w:w="28" w:type="dxa"/>
          <w:bottom w:w="28" w:type="dxa"/>
          <w:right w:w="28" w:type="dxa"/>
        </w:tblCellMar>
      </w:tblPr>
      <w:tblGrid>
        <w:gridCol w:w="1113"/>
        <w:gridCol w:w="978"/>
        <w:gridCol w:w="984"/>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Annualized 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Dollar Retention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35915"/>
                <wp:effectExtent l="0" t="0" r="0" b="0"/>
                <wp:wrapNone/>
                <wp:docPr id="73" name="Frame7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Annualized Recurring Revenue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components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 Recurring revenue excludes revenue from one-time professional services and setup fees. ARR is not adjusted for the impact of any known or projected future customer cancellations, upgrades or downgrades, or price increases or decreases.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foreign exchange rate fluctuations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Net Dollar Retention Rate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Net Dollar Retention Rate, which we use to measure our success in retaining and growing 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December 31, 2023, our Remaining Performance Obligations was $185.3 million, which consists of both billed consideration in the amount of $62.7 million and unbilled consideration in the amount of $122.6 million that we expect to invoice and recognize in future periods. We expect to recognize 59% of our Remaining Performance Obligations as revenue over the next 12 months and the remainder thereafter, in each case, in accordance with our revenue recognition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that Adjusted EBITDA, a non-GAAP financial measure, is useful in evaluating the performance of our business.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EBITDA as net profit (loss) before interest expense, net, provision for income taxes and depreciation and amortization expenses. Adjusted EBITDA is defined as EBITDA (as defined above), adjusted for the impact of certain non-cash and other items that we believe are not indicative of our core operating performance, such as non-cash stock-based compensation expenses, gain from sale of property and equipment, facility exit and transition costs, restructuring charges and other non-recurring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35915"/>
                <wp:effectExtent l="0" t="0" r="0" b="0"/>
                <wp:wrapNone/>
                <wp:docPr id="74" name="Frame7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supplemental measure of our performance, is not defined by or presented in accordance with GAAP, and should not be considered in isolation or as an alternative to net profit (loss) or any other performance measure prepared in accordance with GAAP. Adjusted EBITDA is presented because we believe that it provides useful supplemental information to investors and analysts regarding our operating performance and is frequently used by these parties in evaluating companies in our industry. By presenting Adjusted EBITDA, we provide a basis for comparison of our business operations between periods by excluding items that we do not believe are indicative of our core operating performance. We believe that investors’ understanding of our performance is enhanced by including this non-GAAP financial measure as a reasonable basis for comparing our ongoing results of operations. Additionally, our management uses Adjusted EBITDA as a supplemental measure of our performance because it assists us in comparing the operating performance of our business on a consistent basis between periods, as described above.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use EBITDA and Adjusted EBITDA, as described above, EBITDA and Adjusted EBITDA, have significant limitations as analytical tools. Some of these limitations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such measures do not reflect our cash expenditures, or future requirements for capital expenditures or contractual commitments;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such measures do not reflect changes in, or cash requirements for, our working capital needs;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such measures do not reflect the interest expense, or the cash requirements necessary to service interest or principal payments on our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such measures do not reflect our tax expense or the cash requirements to pay our taxes;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 companies in our industry may calculate such measures differently than we do, thereby further limiting their usefulness as comparative measures.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limitations, EBITDA and Adjusted EBITDA should not be considered as measures of discretionary cash available to us to invest in the growth of our business. We compensate for these limitations by relying primarily on our GAAP results and using these non-GAAP measures only supplementally. Adjusted EBITDA includes an adjustment for non-cash stock-based compensation expenses.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above help to provide management with a measure of our core operating performance over time by removing items that are not related to day-to-day operations. Nevertheless, because of the limitations described above, management does not view EBITDA, or Adjusted EBITDA in isolation and also uses other measures, such as revenue, operating loss, and net loss, to measure operating performance.</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35915"/>
                <wp:effectExtent l="0" t="0" r="0" b="0"/>
                <wp:wrapNone/>
                <wp:docPr id="75" name="Frame7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financial performance measure, which is net loss:</w:t>
      </w:r>
    </w:p>
    <w:tbl>
      <w:tblPr>
        <w:tblW w:w="7872" w:type="dxa"/>
        <w:jc w:val="left"/>
        <w:tblInd w:w="0" w:type="dxa"/>
        <w:tblLayout w:type="fixed"/>
        <w:tblCellMar>
          <w:top w:w="28" w:type="dxa"/>
          <w:left w:w="28" w:type="dxa"/>
          <w:bottom w:w="28" w:type="dxa"/>
          <w:right w:w="28" w:type="dxa"/>
        </w:tblCellMar>
      </w:tblPr>
      <w:tblGrid>
        <w:gridCol w:w="1386"/>
        <w:gridCol w:w="1209"/>
        <w:gridCol w:w="1230"/>
        <w:gridCol w:w="211"/>
        <w:gridCol w:w="796"/>
        <w:gridCol w:w="109"/>
        <w:gridCol w:w="109"/>
        <w:gridCol w:w="109"/>
        <w:gridCol w:w="109"/>
        <w:gridCol w:w="211"/>
        <w:gridCol w:w="796"/>
        <w:gridCol w:w="109"/>
        <w:gridCol w:w="109"/>
        <w:gridCol w:w="109"/>
        <w:gridCol w:w="109"/>
        <w:gridCol w:w="211"/>
        <w:gridCol w:w="79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Financial expenses (income), net </w:t>
            </w:r>
            <w:r>
              <w:rPr>
                <w:rFonts w:ascii="Times New Roman;sans-serif" w:hAnsi="Times New Roman;sans-serif"/>
                <w:b w:val="false"/>
                <w:color w:val="000000"/>
                <w:sz w:val="13"/>
              </w:rPr>
              <w:t xml:space="preserve">(a) </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stock-based compensation expense </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sale of property and equipment </w:t>
            </w:r>
            <w:r>
              <w:rPr>
                <w:rFonts w:ascii="Times New Roman;sans-serif" w:hAnsi="Times New Roman;sans-serif"/>
                <w:b w:val="false"/>
                <w:color w:val="000000"/>
                <w:sz w:val="13"/>
              </w:rPr>
              <w:t xml:space="preserve">(b)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operating expenses </w:t>
            </w:r>
            <w:r>
              <w:rPr>
                <w:rFonts w:ascii="Times New Roman;sans-serif" w:hAnsi="Times New Roman;sans-serif"/>
                <w:b w:val="false"/>
                <w:color w:val="000000"/>
                <w:sz w:val="13"/>
              </w:rPr>
              <w:t xml:space="preserve">(c) </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Facility exit and transition costs </w:t>
            </w:r>
            <w:r>
              <w:rPr>
                <w:rFonts w:ascii="Times New Roman;sans-serif" w:hAnsi="Times New Roman;sans-serif"/>
                <w:b w:val="false"/>
                <w:color w:val="000000"/>
                <w:sz w:val="13"/>
              </w:rPr>
              <w:t>(d)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w:t>
            </w:r>
            <w:r>
              <w:rPr>
                <w:rFonts w:ascii="Times New Roman;sans-serif" w:hAnsi="Times New Roman;sans-serif"/>
                <w:b w:val="false"/>
                <w:color w:val="000000"/>
                <w:sz w:val="13"/>
              </w:rPr>
              <w:t>(e)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 related costs </w:t>
            </w:r>
            <w:r>
              <w:rPr>
                <w:rFonts w:ascii="Times New Roman;sans-serif" w:hAnsi="Times New Roman;sans-serif"/>
                <w:b w:val="false"/>
                <w:color w:val="000000"/>
                <w:sz w:val="13"/>
              </w:rPr>
              <w:t>(f)</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EBITDA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right"/>
        <w:rPr/>
      </w:pPr>
      <w:r>
        <w:rPr/>
      </w:r>
    </w:p>
    <w:p>
      <w:pPr>
        <w:pStyle w:val="TextBody"/>
        <w:bidi w:val="0"/>
        <w:spacing w:before="0" w:after="0"/>
        <w:jc w:val="right"/>
        <w:rPr/>
      </w:pPr>
      <w:r>
        <w:rPr/>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(a)The year ended December 31, 2021 includes $15.0 million of remeasurement of warrants to fair value and $3.2 million, $2.3 million and $3.0 million, respectively, of interest expenses.</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(b)The year ended December 31, 2021 includes a gain on sale of data center equipment in connection with our transition to public cloud infrastructure.</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(c)Other operating expenses in the year ended December 31, 2021 consisted of expenses related to the forgiveness of loans to certain of our directors and executive officers in connection with the public filing of the registration statement in connection with our initial public offering.</w:t>
      </w:r>
    </w:p>
    <w:p>
      <w:pPr>
        <w:pStyle w:val="TextBody"/>
        <w:bidi w:val="0"/>
        <w:spacing w:lineRule="auto" w:line="288" w:before="0" w:after="0"/>
        <w:ind w:left="0" w:right="0" w:hanging="540"/>
        <w:jc w:val="left"/>
        <w:rPr/>
      </w:pPr>
      <w:r>
        <w:rPr>
          <w:rFonts w:ascii="Times New Roman;sans-serif" w:hAnsi="Times New Roman;sans-serif"/>
          <w:b w:val="false"/>
          <w:color w:val="000000"/>
          <w:sz w:val="20"/>
        </w:rPr>
        <w:t xml:space="preserve">(d)Facility exit and transition costs for the year ended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include losses from sale of fixed assets and other costs associated with moving to our temporary office in Israel</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(e)The year ended December 31, 2023, includes employee termination benefits incurred in connection with the 2023 Reorganization Plan and the year ended December 31, 2022 includes employee termination benefits incurred in connection with the 2022 Restructuring Plan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(f)The year ended December 31, 2023 includes costs related to conflicts in Israel, attributable to temporary relocation of key employees from Israel for business continuity purposes, purchase of emergency equipment for key employees for business continuity purposes, and charitable donation to communities directly impacted by the war.</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35915"/>
                <wp:effectExtent l="0" t="0" r="0" b="0"/>
                <wp:wrapNone/>
                <wp:docPr id="76" name="Frame7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Components of Results of Operations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term license to software installed on the customer's premises.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("PCS") included in On-Prem deals is recognized ratably over the period of the PCS.</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of the service.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consists primarily of employee-related costs including payroll, benefits and stock-based compensation expense for operations and customer support teams, costs of cloud hosting providers and other third-party service providers, amortization of capitalized software development costs and acquired technology and allocated overhead costs.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consists primarily of personnel costs of our professional services organization, including payroll, benefits, and stock-based compensation expense, allocated overhead costs and other third-party service providers.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in absolute dollars from the year ended December 31, 2022 to the year ended December 31, 2023. For the years ended December 31, 2023 and 2022, our cost of revenue was $62,938 and $61,871, respectively.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Gross Margins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margins have been, and will continue to be, affected by a variety of factors, including the average sales price of our products and services, volume growth, the mix of revenue between SaaS and PaaS subscriptions, software licenses, maintenance and support and professional services, onboarding of new media and telecom customers, hosting of major virtual events and changes in cloud infrastructure and personnel costs. In particular, the gross margins in our M&amp;T segment have been negatively impacted due to the resources required for implementation of our TV Solution and Media Services for TV experiences, which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on-premise deployments, which also impacts our gross margin. In the long-term, we expect the margins for this segment to improve due to the following: expected increase in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 However, in the near and medium term, our gross margins in our M&amp;T segment are expected to vary from period to period based on the onboarding of new customers, as well as the timing and aggregate usage of our solutions by such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35915"/>
                <wp:effectExtent l="0" t="0" r="0" b="0"/>
                <wp:wrapNone/>
                <wp:docPr id="77" name="Frame7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our gross margins were 64% (73% for subscription and (51)% for professional services), 63% (74% for subscription and (33)% for professional services) and 62% (72% for subscription and (12)% for professional services), respectively.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EE&amp;T segment, gross margins for the years ended December 31, 2023, 2022 and 2021 were 73% (79% for subscription and (78)% for professional services), 70% (78% for subscription and (63)% for professional services) and 71% (78% for subscription and (5)% for professional services), respectively.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M&amp;T segment, gross margins for the years ended December 31, 2023, 2022 and 2021 were 41% (55% for subscription and (35)% for professional services), 48% (63% for subscription and (13)% for professional services) and 40% (56% for subscription and (19)% for professional services), respectively.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and software subscriptions. We expect our research and development expenses to remain constant as a percentage of revenue for the near and medium-term, as we continue to dedicate substantial resources to develop, improve, and expand the functionality of our solutions.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expenses consist primarily of personnel related costs for our sales and marketing functions, including salaries and other direct personnel-related costs, such as sales commissions. Additional expenses include marketing program costs and amortization of acquired customer relationships intangible assets. We expect our sales and marketing expenses to be relatively stable on an absolute dollar basis.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personnel-related costs for our executive, finance, human resources, information technology, and legal functions, including salaries and other direct personnel-related costs. We expect our general and administrative expenses to be relatively stable both on an absolute dollar basis and as a percentage of revenue for the near and medium-term, as a combined result of implementation of our Reorganization Plans and focused investment to support our growth.</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overhead costs such as rent, utilities, and supplies to all departments based on relative headcount to each operating expense category.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Financial Expenses (Income), Net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expenses (income), net consists of interest expense accrued or paid on our indebtedness, net of interest income earned on our cash balances and marketable securities. Financial expenses (income), net also includes foreign exchange gains and losses and bank fees.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interest expenses to vary each reporting period depending on the amount of outstanding indebtedness and prevailing interest rates.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expect interest income will vary in each reporting period depending on our average cash and marketable securities balances during the period and applicable interest rates.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35915"/>
                <wp:effectExtent l="0" t="0" r="0" b="0"/>
                <wp:wrapNone/>
                <wp:docPr id="78" name="Frame7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presented. The period-to-period comparisons of our historical results are not necessarily indicative of the results that may be expected in the future.</w:t>
      </w:r>
    </w:p>
    <w:tbl>
      <w:tblPr>
        <w:tblW w:w="9251" w:type="dxa"/>
        <w:jc w:val="left"/>
        <w:tblInd w:w="0" w:type="dxa"/>
        <w:tblLayout w:type="fixed"/>
        <w:tblCellMar>
          <w:top w:w="28" w:type="dxa"/>
          <w:left w:w="28" w:type="dxa"/>
          <w:bottom w:w="28" w:type="dxa"/>
          <w:right w:w="28" w:type="dxa"/>
        </w:tblCellMar>
      </w:tblPr>
      <w:tblGrid>
        <w:gridCol w:w="1193"/>
        <w:gridCol w:w="1051"/>
        <w:gridCol w:w="1056"/>
        <w:gridCol w:w="211"/>
        <w:gridCol w:w="826"/>
        <w:gridCol w:w="109"/>
        <w:gridCol w:w="109"/>
        <w:gridCol w:w="109"/>
        <w:gridCol w:w="109"/>
        <w:gridCol w:w="211"/>
        <w:gridCol w:w="826"/>
        <w:gridCol w:w="109"/>
        <w:gridCol w:w="109"/>
        <w:gridCol w:w="109"/>
        <w:gridCol w:w="109"/>
        <w:gridCol w:w="265"/>
        <w:gridCol w:w="1002"/>
        <w:gridCol w:w="137"/>
        <w:gridCol w:w="137"/>
        <w:gridCol w:w="137"/>
        <w:gridCol w:w="137"/>
        <w:gridCol w:w="269"/>
        <w:gridCol w:w="271"/>
        <w:gridCol w:w="650"/>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Period-over-Period Change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Education &amp;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 &amp; Telecom</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gross profit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expenses (income),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(23,172)</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(22,129)</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manage and report operating results through two reportable segments.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Enterprise, Education &amp; Technology</w:t>
      </w:r>
      <w:r>
        <w:rPr>
          <w:color w:val="000000"/>
        </w:rPr>
        <w:t xml:space="preserve"> </w:t>
      </w:r>
      <w:r>
        <w:rPr>
          <w:rFonts w:ascii="Times New Roman;sans-serif" w:hAnsi="Times New Roman;sans-serif"/>
          <w:b w:val="false"/>
          <w:color w:val="000000"/>
          <w:sz w:val="20"/>
        </w:rPr>
        <w:t>(71% of revenue for the year ended December 31, 2023 and 2022): Our EE&amp;T segment represents revenues from all of our products, industry solutions for education customers, and Media Services (except for M&amp;T customers), as well as associated professional services for those offerings.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Media &amp; Telecom</w:t>
      </w:r>
      <w:r>
        <w:rPr>
          <w:color w:val="000000"/>
        </w:rPr>
        <w:t xml:space="preserve"> </w:t>
      </w:r>
      <w:r>
        <w:rPr>
          <w:rFonts w:ascii="Times New Roman;sans-serif" w:hAnsi="Times New Roman;sans-serif"/>
          <w:b w:val="false"/>
          <w:color w:val="000000"/>
          <w:sz w:val="20"/>
        </w:rPr>
        <w:t>(29% of revenue for the year ended December 31, 2023 and 2022): Our M&amp;T segment primarily represents revenues from our TV Solution and Media Services sold to media and telecom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35915"/>
                <wp:effectExtent l="0" t="0" r="0" b="0"/>
                <wp:wrapNone/>
                <wp:docPr id="79" name="Frame7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Enterprise, Education &amp; Technology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EE&amp;T segment revenue and gross profit (loss) for the years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3"/>
        <w:gridCol w:w="1339"/>
        <w:gridCol w:w="1342"/>
        <w:gridCol w:w="109"/>
        <w:gridCol w:w="109"/>
        <w:gridCol w:w="109"/>
        <w:gridCol w:w="211"/>
        <w:gridCol w:w="826"/>
        <w:gridCol w:w="109"/>
        <w:gridCol w:w="109"/>
        <w:gridCol w:w="109"/>
        <w:gridCol w:w="109"/>
        <w:gridCol w:w="211"/>
        <w:gridCol w:w="826"/>
        <w:gridCol w:w="109"/>
        <w:gridCol w:w="109"/>
        <w:gridCol w:w="109"/>
        <w:gridCol w:w="109"/>
        <w:gridCol w:w="262"/>
        <w:gridCol w:w="767"/>
        <w:gridCol w:w="135"/>
        <w:gridCol w:w="135"/>
        <w:gridCol w:w="135"/>
        <w:gridCol w:w="135"/>
        <w:gridCol w:w="211"/>
        <w:gridCol w:w="211"/>
        <w:gridCol w:w="717"/>
      </w:tblGrid>
      <w:tr>
        <w:trPr/>
        <w:tc>
          <w:tcPr>
            <w:tcW w:w="15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Period-over-Period Change</w:t>
            </w:r>
          </w:p>
        </w:tc>
      </w:tr>
      <w:tr>
        <w:trPr/>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r>
          </w:p>
        </w:tc>
        <w:tc>
          <w:tcPr>
            <w:tcW w:w="4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Education &amp; Technology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17" w:type="dxa"/>
            <w:tcBorders/>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Enterprise, Education &amp; Technology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Enterprise, Education &amp; Technology 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Professional services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Enterprise, Education &amp; Technology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Enterprise, Education &amp; Technology Revenue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EE&amp;T revenue increased by $5.0 million , or 4%, to $125.2 million for the year ended December 31, 2023, from $120.2 million for the year ended December 31, 2022. The increase is mainly attributable to a $3.8 million increase in revenue from new customers, and a $1.2 million increase from existing customers.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EE&amp;T subscription revenue increased by $7.0 million, or 6%, to $120.6 million for the year ended December 31, 2023, from $113.6 million for the year ended December 31, 2022.</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EE&amp;T professional services revenue decreased by $2.1 million, or 31%, to $4.6 million for the year ended December 31, 2023, from $6.6 million for the year ended December 31, 2022. The decrease is mainly due to fewer large-scale virtual events of the type that typically require substantial professional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Enterprise, Education &amp; Technology Gross Profit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EE&amp;T gross profit increased by $7.8 million, or 9%, to $91.6 million for the year ended December 31, 2023, from $83.8 million for the year ended December 31, 2022. This increase was mainly due to a $5.0 million increase in revenue, and lower compensation costs mainly as a result of our Reorganization Plans.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EE&amp;T subscription gross profit increased by $7.2 million, or 8%, to $95.2 million for the year ended December 31, 2023, from $88.0 million for the year ended December 31, 2022. This increase was mainly due to a $7.0 million increase in revenue while costs associated with subscription remained at the same level as in the year ended December 31, 2022. </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EE&amp;T professional services gross loss decreased by $0.7 million, or 15%, to $3.5 million for the year ended December 31, 2023, from a gross loss of $4.2 million for the year ended December 31, 2022</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This decrease was mainly due to a $2.1 million decrease in professional services revenue offset by lower compensation costs mainly as a result of our Reorganization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35915"/>
                <wp:effectExtent l="0" t="0" r="0" b="0"/>
                <wp:wrapNone/>
                <wp:docPr id="80" name="Frame7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Media &amp; Telecom</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M&amp;T segment revenue and gross profit for the periods indicated:</w:t>
      </w:r>
    </w:p>
    <w:tbl>
      <w:tblPr>
        <w:tblW w:w="8780" w:type="dxa"/>
        <w:jc w:val="left"/>
        <w:tblInd w:w="0" w:type="dxa"/>
        <w:tblLayout w:type="fixed"/>
        <w:tblCellMar>
          <w:top w:w="28" w:type="dxa"/>
          <w:left w:w="28" w:type="dxa"/>
          <w:bottom w:w="28" w:type="dxa"/>
          <w:right w:w="28" w:type="dxa"/>
        </w:tblCellMar>
      </w:tblPr>
      <w:tblGrid>
        <w:gridCol w:w="1141"/>
        <w:gridCol w:w="1003"/>
        <w:gridCol w:w="1005"/>
        <w:gridCol w:w="211"/>
        <w:gridCol w:w="721"/>
        <w:gridCol w:w="109"/>
        <w:gridCol w:w="109"/>
        <w:gridCol w:w="109"/>
        <w:gridCol w:w="109"/>
        <w:gridCol w:w="211"/>
        <w:gridCol w:w="721"/>
        <w:gridCol w:w="109"/>
        <w:gridCol w:w="109"/>
        <w:gridCol w:w="109"/>
        <w:gridCol w:w="109"/>
        <w:gridCol w:w="280"/>
        <w:gridCol w:w="919"/>
        <w:gridCol w:w="145"/>
        <w:gridCol w:w="145"/>
        <w:gridCol w:w="145"/>
        <w:gridCol w:w="145"/>
        <w:gridCol w:w="233"/>
        <w:gridCol w:w="233"/>
        <w:gridCol w:w="650"/>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Period-over-Period Change</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 &amp; Telecom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Subscription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Media &amp; Telecom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Media &amp; Telecom gross profit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Professional services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Media &amp; Telecom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Media &amp; Telecom Revenue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M&amp;T revenue increased by $1.4 million, or 3%, for the year ended December 31, 2023, from $48.6 million for the year ended December 31, 2022. The increase is mainly attributable to an increase in revenue from existing customers.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M&amp;T subscription revenue increased by $3.2 million, or 8%, to $42.2 million for the year ended December 31, 2023, from $38.9 million for the year ended December 31, 2022.</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M&amp;T professional services revenue decreased by $1.8 million, or 19%, to $7.9 million for the year ended December 31, 2023, from $9.7 million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Media &amp; Telecom Gross Profit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M&amp;T gross profit decreased by $2.5 million, or 11%, to $20.6 million for the year ended December 31, 2023, from $23.1 million for the year ended December 31, 2022. This decrease was mainly due to a decrease in gross margin to 41% for the year ended December 31, 2023 from 48% for the year ended December 31, 2022. The decrease in gross margin was attributable primarily to an increase in production cost as a percentage of subscription revenue partially offset by a $2.5 million increase in revenue.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M&amp;T subscription gross profit decreased by $1.0 million, or 4%, to $23.4 million for the year ended December 31, 2023, from $24.4 million for the year ended December 31, 2022.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M&amp;T professional services gross loss increased by $1.5 million, or 120%, to a gross loss of $2.7 million for the year ended December 31, 2023, from a gross loss of $1.2 million for the year ended December 31, 2022.</w:t>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35915"/>
                <wp:effectExtent l="0" t="0" r="0" b="0"/>
                <wp:wrapNone/>
                <wp:docPr id="81" name="Frame7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9477" w:type="dxa"/>
        <w:jc w:val="left"/>
        <w:tblInd w:w="0" w:type="dxa"/>
        <w:tblLayout w:type="fixed"/>
        <w:tblCellMar>
          <w:top w:w="28" w:type="dxa"/>
          <w:left w:w="28" w:type="dxa"/>
          <w:bottom w:w="28" w:type="dxa"/>
          <w:right w:w="28" w:type="dxa"/>
        </w:tblCellMar>
      </w:tblPr>
      <w:tblGrid>
        <w:gridCol w:w="1283"/>
        <w:gridCol w:w="1125"/>
        <w:gridCol w:w="1131"/>
        <w:gridCol w:w="109"/>
        <w:gridCol w:w="109"/>
        <w:gridCol w:w="109"/>
        <w:gridCol w:w="211"/>
        <w:gridCol w:w="721"/>
        <w:gridCol w:w="109"/>
        <w:gridCol w:w="109"/>
        <w:gridCol w:w="109"/>
        <w:gridCol w:w="109"/>
        <w:gridCol w:w="211"/>
        <w:gridCol w:w="721"/>
        <w:gridCol w:w="109"/>
        <w:gridCol w:w="109"/>
        <w:gridCol w:w="109"/>
        <w:gridCol w:w="109"/>
        <w:gridCol w:w="280"/>
        <w:gridCol w:w="919"/>
        <w:gridCol w:w="145"/>
        <w:gridCol w:w="145"/>
        <w:gridCol w:w="145"/>
        <w:gridCol w:w="145"/>
        <w:gridCol w:w="223"/>
        <w:gridCol w:w="223"/>
        <w:gridCol w:w="650"/>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Period-over-Period Change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r>
          </w:p>
        </w:tc>
        <w:tc>
          <w:tcPr>
            <w:tcW w:w="4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Subcontractors and consultants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research and development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$5.0 million, or 9%, to $52.4 million for the year ended December 31, 2023, from $57.4 million for the year ended December 31, 2022. The decrease was primarily due to a $6.4 million decrease in compensation which mainly related to lower headcount as a result of our Reorganization Plans, partially offset by a $1.1 million increase in subcontractors and consultants as a result of outsourcing part of the efforts related to specific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tbl>
      <w:tblPr>
        <w:tblW w:w="9364" w:type="dxa"/>
        <w:jc w:val="left"/>
        <w:tblInd w:w="0" w:type="dxa"/>
        <w:tblLayout w:type="fixed"/>
        <w:tblCellMar>
          <w:top w:w="28" w:type="dxa"/>
          <w:left w:w="28" w:type="dxa"/>
          <w:bottom w:w="28" w:type="dxa"/>
          <w:right w:w="28" w:type="dxa"/>
        </w:tblCellMar>
      </w:tblPr>
      <w:tblGrid>
        <w:gridCol w:w="1229"/>
        <w:gridCol w:w="1079"/>
        <w:gridCol w:w="1082"/>
        <w:gridCol w:w="109"/>
        <w:gridCol w:w="109"/>
        <w:gridCol w:w="109"/>
        <w:gridCol w:w="211"/>
        <w:gridCol w:w="721"/>
        <w:gridCol w:w="109"/>
        <w:gridCol w:w="109"/>
        <w:gridCol w:w="109"/>
        <w:gridCol w:w="109"/>
        <w:gridCol w:w="211"/>
        <w:gridCol w:w="721"/>
        <w:gridCol w:w="109"/>
        <w:gridCol w:w="109"/>
        <w:gridCol w:w="109"/>
        <w:gridCol w:w="109"/>
        <w:gridCol w:w="265"/>
        <w:gridCol w:w="1002"/>
        <w:gridCol w:w="137"/>
        <w:gridCol w:w="137"/>
        <w:gridCol w:w="137"/>
        <w:gridCol w:w="137"/>
        <w:gridCol w:w="223"/>
        <w:gridCol w:w="223"/>
        <w:gridCol w:w="650"/>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Period-over-Period Change</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r>
          </w:p>
        </w:tc>
        <w:tc>
          <w:tcPr>
            <w:tcW w:w="4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compensation &amp; commission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Travel and entertainment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sales and marketing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7"/>
        <w:jc w:val="both"/>
        <w:rPr/>
      </w:pPr>
      <w:r>
        <w:rPr>
          <w:rFonts w:ascii="Times New Roman;sans-serif" w:hAnsi="Times New Roman;sans-serif"/>
          <w:b w:val="false"/>
          <w:color w:val="000000"/>
          <w:sz w:val="22"/>
        </w:rPr>
        <w:t>S</w:t>
      </w:r>
      <w:r>
        <w:rPr>
          <w:rFonts w:ascii="Times New Roman;sans-serif" w:hAnsi="Times New Roman;sans-serif"/>
          <w:b w:val="false"/>
          <w:color w:val="000000"/>
          <w:sz w:val="20"/>
        </w:rPr>
        <w:t>ales and marketing expenses decreased by $10.5 million, or 18%, to $48.8 million for the year ended December 31, 2023, from $59.3 million for the year ended December 31, 2022. The decrease was primarily due to a $9.5 million decrease in compensation related to lower headcount as result of our Reorganization Plans and a $1.8 million decrease in other marketing expenses , partially offset by a $0.7 million increase in amortization of deferred commission expenses driven by accumulated higher bookings from previous years being amortized in 2023.</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35915"/>
                <wp:effectExtent l="0" t="0" r="0" b="0"/>
                <wp:wrapNone/>
                <wp:docPr id="82" name="Frame8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tbl>
      <w:tblPr>
        <w:tblW w:w="9488" w:type="dxa"/>
        <w:jc w:val="left"/>
        <w:tblInd w:w="0" w:type="dxa"/>
        <w:tblLayout w:type="fixed"/>
        <w:tblCellMar>
          <w:top w:w="28" w:type="dxa"/>
          <w:left w:w="28" w:type="dxa"/>
          <w:bottom w:w="28" w:type="dxa"/>
          <w:right w:w="28" w:type="dxa"/>
        </w:tblCellMar>
      </w:tblPr>
      <w:tblGrid>
        <w:gridCol w:w="1300"/>
        <w:gridCol w:w="1139"/>
        <w:gridCol w:w="1146"/>
        <w:gridCol w:w="109"/>
        <w:gridCol w:w="109"/>
        <w:gridCol w:w="109"/>
        <w:gridCol w:w="211"/>
        <w:gridCol w:w="721"/>
        <w:gridCol w:w="109"/>
        <w:gridCol w:w="109"/>
        <w:gridCol w:w="109"/>
        <w:gridCol w:w="109"/>
        <w:gridCol w:w="211"/>
        <w:gridCol w:w="721"/>
        <w:gridCol w:w="109"/>
        <w:gridCol w:w="109"/>
        <w:gridCol w:w="109"/>
        <w:gridCol w:w="109"/>
        <w:gridCol w:w="291"/>
        <w:gridCol w:w="853"/>
        <w:gridCol w:w="150"/>
        <w:gridCol w:w="150"/>
        <w:gridCol w:w="150"/>
        <w:gridCol w:w="150"/>
        <w:gridCol w:w="222"/>
        <w:gridCol w:w="222"/>
        <w:gridCol w:w="652"/>
      </w:tblGrid>
      <w:tr>
        <w:trPr/>
        <w:tc>
          <w:tcPr>
            <w:tcW w:w="130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Period-over-Period Change</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w:t>
            </w:r>
          </w:p>
        </w:tc>
        <w:tc>
          <w:tcPr>
            <w:tcW w:w="4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fees and insurance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Human resources 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Subcontractors and consultants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Travel and entertainment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general and administrative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54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$3.3 million or 7% , to $48.7 million for the year ended December 31, 2023, from $45.4 million for the year ended December 31, 2022. The increase was primarily due to a $5.1 million increase in compensation related to increased stock-based compensation expenses due to equity grants made to our executives partially offset by $1.7 million decrease in professional fees and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expenses were $1.0 million for the year ended December 31, 2023 due to the 2023 Reorganization Plan being implemented in the first quarter of 2023 and consisting of employee severance and related costs. Restructuring expenses were $1.2 million for the year ended December 31, 2022, due to the 2022 Restructuring Plan being implemented in the third quarter of 2022 and consisting of employee severance and related costs.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See Note 18, Restructuring Activities, to our consolidated financial statements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Financial Expenses (Income), net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expenses (income), net decreased by $5.4 million, or 128%, to $1.2 million income, net for the year ended December 31, 2023, from $4.2 million of expense, net for the year ended December 31, 2022. The decrease was mainly related to foreign currency translation adjustments,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12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increased by $1.0 million, or 13%, to $8.9 million for the year ended December 31, 2023, from $7.9 million for the year ended December 31, 2022, primarily due to increased tax liability related to income generated by our subsidiaries organized under the laws of Israel and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financed our operations primarily through net cash provided by operating activities, equity issuances, and borrowings under our long-term debt arrangements. Our primary requirements for liquidity and capital are to finance working capital, capital expenditures and general corporate purposes. Our principal sources of liquidity are expected to be our cash on hand and borrowings available under our Revolving Credit Facility. As of December 31, 2023, we had no balance outstanding under the Revolving Credit Facility and the total revolving commitment of $25.0 million is available for future borrowings.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Part I, Item 1A. “Risk Factors” and “—Key Factors Affecting Our Performance. In addition, our cash and cash equivalents are maintained at financial institutions in amounts that exceed federally insured limits. In the event of failure of any of the financial institutions where we maintain our cash and cash equivalents, there can be no assurance that we will be able to access uninsured funds in a timely manner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35915"/>
                <wp:effectExtent l="0" t="0" r="0" b="0"/>
                <wp:wrapNone/>
                <wp:docPr id="83" name="Frame8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global economic volatility, rising inflation and interest rates, price increases, decrease in our customers' spend or available budget, and the ongoing conflict between Russia and Ukraine, have resulted in, and may continue to result in, significant disruption of global financial markets, reducing our ability to access capital. Our ability to access capital may also be impacted by political, economic, and military conditions in Israel, including the current security situation or any escalation of conflicts with Israel, and in other regions in which we operate, or changes in the business environment in those regions. If we are unable to raise additional funds when desired,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we entered into a new credit agreement (as amended, the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which thereafter were extended and amended to align our business needs and other developments. In December 2023, we refinanced all amounts outstanding under the then-existing Credit Agreement, and entered into a new amendment to the credit agreement (the “Fifth Amendment”) with an existing lender, which provides for an additional term loan facility of $3.5 million in addition to the existing $31.5 million in term loans outstanding immediately prior to the Fifth Amendment. Commitments under the Revolving Credit Facility decreased to $25.0 million.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available for borrowing under the Revolving Credit Facility is limited to a borrowing base, which is equal to the product of (a) 500% (which will automatically reduce to 350% on the date the Term Loan Facility is repaid in full), multiplied by (b) monthly Recurring Revenue for the most recently ended monthly period, multiplied by (c) the Retention Rate (in each case, as defined in the Credit Agreement). The Revolving Credit Facility includes a sub-facility for letters of credit in the aggregate availability amount of $10.0 million and a swingline sub-facility in the aggregate availability amount of $5.0 million, each of which reduces borrowing availability under the Revolving Credit Facility.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Facilities bear interest, determined as follows: (a) SOFR loans accrue interest at a rate per annum equal to Term SOFR (as defined in the Credit Agreement) plus 0.10% per annum plus a margin of 2.50% (the Adjusted Term SOFR (as defined in the Credit Agreement) is subject to a 1.00% floor), and (b) ABR loans accrue interest at a rate per annum equal to the ABR plus a margin of 1.50% (ABR is equal to the highest of (i) the prime rate and (ii) the Federal Funds Effective Rate plus 0.50%, subject to a 2.00% floor). As of December 31, 2023, the current rate of interest under the Credit Facilities was equal to a rate per annum of 7.98%, consisting of 5.32% (the 3-month SOFR rate as of December 31, 2023), 0.10% credit spread adjustment and the margin of 2.50%.</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Credit Facilities may be voluntarily prepaid at any time and from time to time, in whole or in part, without premium or penalty. All voluntary prepayments (other than ABR loans borrowed under the Revolving Credit Facility) must be accompanied by accrued and unpaid interest on the principal amount being prepaid and customary “breakage” costs, if any, with respect to prepayments of SOFR loans.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is payable in consecutive quarterly installments on the last day of each fiscal quarter in an amount equal to (i) $437,500 for installments payable on December 31, 2023 (deferred to January 9, 2024), through September 30, 2024, (ii) $$656,250 for installments payable on December 31, 2024 through September 30, 2025, and (iii) $1,312,500 for installments payable on and after December 31, 2025. The remaining unpaid balance on the Term Loan Facility is due and payable on December 21, 2026, together with accrued and unpaid interest on the principal amount to be paid to, but excluding, the payment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35915"/>
                <wp:effectExtent l="0" t="0" r="0" b="0"/>
                <wp:wrapNone/>
                <wp:docPr id="84" name="Frame8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 number of covenants that, among other things and subject to certain exceptions, restrict our ability, and the ability of our subsidiaries,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create, issue, incur, assume, become liable in respect of or suffer to exist any debt or liens;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consummate any merger, consolidation or amalgamation, or liquidate, wind up or dissolve, or dispose of all or substantially all of our or their respective property or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dispose of property or, in the case of our subsidiaries, issue or sell any shares of such subsidiary’s capital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repay, prepay, redeem, purchase, retire or defease subordinated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declare or pay dividends or make certain other restricted payments;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certain investments;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new lines of business;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certain amendments to our or their respective organizational documents or certain material contracts.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contains certain financial covenants that require us to maintain (i) a minimum amount of Consolidated Adjusted EBITDA (as defined in the Credit Agreement) as of the last day of each fiscal quarter (which minimum amount increased through the fiscal quarter ended December 31, 2023) (the “Adjusted EBITDA Covenant”), and (ii) Liquidity (as defined in the Credit Agreement) of at least $20 million as of the last day of any calendar month. We were in compliance with these covenants as of December 31, 2023.</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(as defined in the Credit Agreement).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 balance outstanding under the Revolving Credit Facility and the total revolving commitment of $25.0 million remains available for future borrowings. As of December 31, 2023, we had approximately $34.7 million of borrowings outstanding under the Term Loan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35915"/>
                <wp:effectExtent l="0" t="0" r="0" b="0"/>
                <wp:wrapNone/>
                <wp:docPr id="85" name="Frame8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9186" w:type="dxa"/>
        <w:jc w:val="left"/>
        <w:tblInd w:w="0" w:type="dxa"/>
        <w:tblLayout w:type="fixed"/>
        <w:tblCellMar>
          <w:top w:w="28" w:type="dxa"/>
          <w:left w:w="28" w:type="dxa"/>
          <w:bottom w:w="28" w:type="dxa"/>
          <w:right w:w="28" w:type="dxa"/>
        </w:tblCellMar>
      </w:tblPr>
      <w:tblGrid>
        <w:gridCol w:w="2290"/>
        <w:gridCol w:w="2017"/>
        <w:gridCol w:w="2023"/>
        <w:gridCol w:w="109"/>
        <w:gridCol w:w="109"/>
        <w:gridCol w:w="109"/>
        <w:gridCol w:w="211"/>
        <w:gridCol w:w="721"/>
        <w:gridCol w:w="109"/>
        <w:gridCol w:w="109"/>
        <w:gridCol w:w="109"/>
        <w:gridCol w:w="109"/>
        <w:gridCol w:w="211"/>
        <w:gridCol w:w="796"/>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pStyle w:val="TextBody"/>
        <w:bidi w:val="0"/>
        <w:spacing w:lineRule="auto" w:line="288" w:before="0" w:after="6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 decreased by $38.5 million for the year ended December 31, 2023, as compared to the year ended December 31, 2022.</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$8.3 million for the year ended December 31, 2023, was primarily due to $46.4 million in incremental net loss, adjusted for non-cash charges of $45.3 million, and net cash of $6.6 million due to changes in our operating assets and liabilities. Non-cash charges primarily consisted of depreciation and amortization of $4.7 million, stock-based compensation expenses of $30.0 million and amortization of deferred contract acquisitions and fulfillment costs of $11.7 million. The main drivers of net cash outflows that were derived from the changes in operating assets and liabilities were related to an addition to deferred contract acquisition costs of $6.6 million, decrease in trade payables of $5.9 million and an aggregate decrease of $1.8 million in employees accruals, accrued expenses and other current liabilities, partially offset by a decrease in trade receivables of $5.5 million, increase in deferred revenue of $1.6 million, and an increase in prepaid expenses and other assets of $0.6 million.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$46.8 million for the year ended December 31, 2022, was primarily due to $68.5 million in incremental net loss, adjusted for non-cash charges of $37.3 million, and net cash of $17.0 million due to changes in our operating assets and liabilities. Non-cash charges primarily consisted of depreciation and amortization of $2.7 million, stock-based compensation expenses of $23.6 million and amortization of deferred contract acquisitions and fulfillment costs of $10.9 million. The main drivers of net cash outflows that were derived from the changes in operating assets and liabilities were related to an increase in trade receivables of $11.3 million, addition to deferred contract acquisition costs of $11.6 million, an aggregate decrease in employees accruals, accrued expenses and other liabilities of $3.8 million and an increase in prepaid expenses and other assets of $0.4 million, offset by an increase in deferred revenue of $7.5 million and an increase in trade payables of $3.1 million.</w:t>
      </w:r>
    </w:p>
    <w:p>
      <w:pPr>
        <w:pStyle w:val="TextBody"/>
        <w:bidi w:val="0"/>
        <w:spacing w:lineRule="auto" w:line="288" w:before="0" w:after="6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decreased by $48.2 million to $1.6 million for the year ended December 31, 2023 as compared to the year ended December 31, 2022.</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$1.6 million for the year ended December 31, 2023 was related to investment in available-for-sale marketable securities of $47.7 million, $2.6 million in capital expenditures, $1.5 million of capitalized internal use software and investment in restricted bank deposits of $1.8 million, partially offset by maturities of available-for-sale marketable securities of $52.0 million.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$49.8 million for the year ended December 31, 2022 was related to investment in available-for-sale marketable securities of $60.2 million, $4.8 million of capitalized internal use software, investment in restricted bank deposits of $2.6 million, and $1.2 million in capital expenditures, offset by sales and maturities of available-for-sale marketable securities of $19.0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35915"/>
                <wp:effectExtent l="0" t="0" r="0" b="0"/>
                <wp:wrapNone/>
                <wp:docPr id="86" name="Frame8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financing activities increased by $0.6 million for the year ended December 31, 2023 as compared to the year ended December 31, 2022.</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$0.1 million for the year ended December 31, 2023 was primarily due to proceeds from long-term loans, net of debt issuance cost of $3.5 million and proceeds from option exercises of $1.4 million, partially offset by $4.5 million of loan repayments.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$0.5 million for the year ended December 31, 2022 was primarily due to $3.0 million of loan repayments and an aggregate outflow of $0.2 million due to principal payment on finance lease and payment of debt issuance costs, offset by proceeds from exercise of stock options of $2.7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Contractual Obligations and Commitments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and commitments as of December 31, 2023:</w:t>
      </w:r>
    </w:p>
    <w:tbl>
      <w:tblPr>
        <w:tblW w:w="7780" w:type="dxa"/>
        <w:jc w:val="left"/>
        <w:tblInd w:w="0" w:type="dxa"/>
        <w:tblLayout w:type="fixed"/>
        <w:tblCellMar>
          <w:top w:w="28" w:type="dxa"/>
          <w:left w:w="28" w:type="dxa"/>
          <w:bottom w:w="28" w:type="dxa"/>
          <w:right w:w="28" w:type="dxa"/>
        </w:tblCellMar>
      </w:tblPr>
      <w:tblGrid>
        <w:gridCol w:w="897"/>
        <w:gridCol w:w="786"/>
        <w:gridCol w:w="791"/>
        <w:gridCol w:w="109"/>
        <w:gridCol w:w="109"/>
        <w:gridCol w:w="109"/>
        <w:gridCol w:w="301"/>
        <w:gridCol w:w="1029"/>
        <w:gridCol w:w="155"/>
        <w:gridCol w:w="109"/>
        <w:gridCol w:w="109"/>
        <w:gridCol w:w="109"/>
        <w:gridCol w:w="211"/>
        <w:gridCol w:w="826"/>
        <w:gridCol w:w="109"/>
        <w:gridCol w:w="109"/>
        <w:gridCol w:w="109"/>
        <w:gridCol w:w="109"/>
        <w:gridCol w:w="329"/>
        <w:gridCol w:w="1125"/>
        <w:gridCol w:w="24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3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obligations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obligations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obligations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39,094 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borrowings outstanding under our Term Loan Facility as of December 31, 2023, together with estimated interest payments thereon based on the interest rates in effect for such indebtedness as of December 31, 2023. See “—Liquidity and Capital Resources - Credit Facilities.”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(2) Represents the lease payments under our operating leases in the U.S. and Israel. The operating lease payments for our lease in Israel assume our exercise of the first extension option for an additional five years. See Note 7, Leases, to the audited consolidated financial statements included elsewhere in this Annual Report on Form 10-K for additional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(3) Consists of minimum purchase commitments mainly for our use of certain cloud and other services with third-party providers with a term of 12 months or longer. Obligations under contracts that we can cancel without a significant penalty are not included in the table above.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other liabilities of $7.1 million in our consolidated balance sheet at December 31, 2023, which principally consists of unrecognized tax benefits. See Note 11, Income Taxes, to our consolidated financial statements included elsewhere in this Annual Report on Form 10-K for further information. We have excluded these liabilities from the contractual obligations table above. A variety of factors could affect the timing of payments for the liabilities related to unrecognized tax benefits. Therefore, we cannot reasonably estimate the timing of such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Critical Accounting Policies and Estimates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35915"/>
                <wp:effectExtent l="0" t="0" r="0" b="0"/>
                <wp:wrapNone/>
                <wp:docPr id="87" name="Frame8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Significant Accounting Policies, to the audited consolidated financial statements included elsewhere in this Annual Report on Form 10-K for additional information regarding these and our other significant accounting policies.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the customer obtains control of promised goods or services in an amount that reflects the consideration that we expect to receive in exchange for those goods or services. We apply judgment in identifying and evaluating terms and conditions in contracts that may impact revenue recognition. Contracts that contain multiple performance obligations require an allocation of the transaction price to each performance obligation based on a relative standalone selling price (“SSP”). When applicable, we allocate the transaction price between the separate performance obligations according to their SSP, which is based on the price at which the performance obligation is sold separately. If the SSP is not observable through past transactions, we estimate the SSP taking into account available information, including, but not limited to, pricing practices, market conditions, and the economic life of the software.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Israel, the U.S., and other foreign jurisdictions. Significant judgement is required in determining the provision for income taxes, including evaluating uncertainties in the application of accounting principles and complex tax laws. We recognize and measure benefits for uncertain tax positions using a two-step approach. The first step is to determine whether it is more likely than not that a tax position will be sustained upon examination, including the resolution of any related appeals or litigation based on the technical merits of that position. The second step is to measure a tax position that meets the more-likely-than-not threshold to determine the amount of benefit to be recognized in the financial statements. We evaluate uncertain tax positions on a quarterly basis, based upon a number of factors, including changes in facts or circumstances, changes in tax law, correspondence with tax authorities during the course of audits, and effective settlement of audit issues.</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Recent Accounting Pronouncements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Please see Note 2, Significant Accounting Policies, to our consolidated financial statements included elsewhere in this Annual Report on Form 10-K for information regarding recent accounting pronouncements.</w:t>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Jumpstart Our Business Startups Act of 2012</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7A. Quantitative and Qualitative Disclosures About Market Risk.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and Exchange Risk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 These foreign currency exposures give rise to market risk associated with exchange rate movements of the U.S. dollar against the NIS and Euros. Furthermore, we anticipate that a significant portion of our expenses will continue to be denominated in NIS as well as that a significant portion of our revenue will continue to be denominated in Euros.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35915"/>
                <wp:effectExtent l="0" t="0" r="0" b="0"/>
                <wp:wrapNone/>
                <wp:docPr id="88" name="Frame8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To reduce the impact of foreign currency exchange risks associated with forecasted future cash flows and certain existing assets and liabilities and the volatility in our consolidated statements of operations, we established a hedging program in March 2022. Currently, our hedging activity relates to U.S. dollar/NIS exchange rate exposure. We do not intend to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are expected to reduce but not eliminate the impact of currency exchange rate movements.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 hypothetical 10% change in foreign currency exchange rates applicable to our business would have had an impact on our results for the year ended December 31, 2023, of $2.7 million due to NIS (after considering cash-flow hedges) and $4.9 million due to Euros.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40"/>
        <w:ind w:left="0" w:right="0" w:firstLine="547"/>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outstanding floating rate debt obligations of $34.7 million (consisting of the outstanding principal balance under our credit facilities). Accordingly, fluctuations in market interest rates may increase or decrease our interest expense which will, in turn, increase or decrease our net income and cash flow. We seek to manage exposure to adverse interest rate changes through our normal operating and financing activities. At this time, we do not use derivative instruments to mitigate our interest rate risk. A hypothetical 10% change in interest rates during the periods presented would have resulted in a change to interest expense of $0.3 million for the year ended December 31, 2023.</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Impact of Inflation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35915"/>
                <wp:effectExtent l="0" t="0" r="0" b="0"/>
                <wp:wrapNone/>
                <wp:docPr id="89" name="Frame8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KALTURA, INC.</w:t>
      </w:r>
    </w:p>
    <w:p>
      <w:pPr>
        <w:pStyle w:val="TextBody"/>
        <w:bidi w:val="0"/>
        <w:spacing w:before="0" w:after="0"/>
        <w:jc w:val="left"/>
        <w:rPr/>
      </w:pPr>
      <w:r>
        <w:rPr/>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INDEX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035" w:type="dxa"/>
        <w:jc w:val="left"/>
        <w:tblInd w:w="0" w:type="dxa"/>
        <w:tblLayout w:type="fixed"/>
        <w:tblCellMar>
          <w:top w:w="28" w:type="dxa"/>
          <w:left w:w="28" w:type="dxa"/>
          <w:bottom w:w="28" w:type="dxa"/>
          <w:right w:w="28" w:type="dxa"/>
        </w:tblCellMar>
      </w:tblPr>
      <w:tblGrid>
        <w:gridCol w:w="3441"/>
        <w:gridCol w:w="3022"/>
        <w:gridCol w:w="3031"/>
        <w:gridCol w:w="158"/>
        <w:gridCol w:w="158"/>
        <w:gridCol w:w="225"/>
      </w:tblGrid>
      <w:tr>
        <w:trPr/>
        <w:tc>
          <w:tcPr>
            <w:tcW w:w="3441"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41">
              <w:r>
                <w:rPr>
                  <w:rStyle w:val="InternetLink"/>
                  <w:rFonts w:ascii="Times New Roman;sans-serif" w:hAnsi="Times New Roman;sans-serif"/>
                  <w:b/>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PCAOB ID:</w:t>
            </w:r>
            <w:r>
              <w:rPr>
                <w:color w:val="000000"/>
              </w:rPr>
              <w:t xml:space="preserve"> </w:t>
            </w:r>
            <w:r>
              <w:rPr>
                <w:rFonts w:ascii="Times New Roman;sans-serif" w:hAnsi="Times New Roman;sans-serif"/>
                <w:b/>
                <w:color w:val="000000"/>
                <w:sz w:val="20"/>
              </w:rPr>
              <w:t>1281)</w:t>
            </w:r>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41">
              <w:r>
                <w:rPr>
                  <w:rStyle w:val="InternetLink"/>
                  <w:rFonts w:ascii="Times New Roman;sans-serif" w:hAnsi="Times New Roman;sans-serif"/>
                  <w:b/>
                  <w:strike w:val="false"/>
                  <w:dstrike w:val="false"/>
                  <w:color w:val="000000"/>
                  <w:sz w:val="20"/>
                  <w:u w:val="none"/>
                  <w:effect w:val="none"/>
                </w:rPr>
                <w:t>85</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44">
              <w:r>
                <w:rPr>
                  <w:rStyle w:val="InternetLink"/>
                  <w:rFonts w:ascii="Times New Roman;sans-serif" w:hAnsi="Times New Roman;sans-serif"/>
                  <w:b/>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44">
              <w:r>
                <w:rPr>
                  <w:rStyle w:val="InternetLink"/>
                  <w:rFonts w:ascii="Times New Roman;sans-serif" w:hAnsi="Times New Roman;sans-serif"/>
                  <w:b/>
                  <w:strike w:val="false"/>
                  <w:dstrike w:val="false"/>
                  <w:color w:val="000000"/>
                  <w:sz w:val="20"/>
                  <w:u w:val="none"/>
                  <w:effect w:val="none"/>
                </w:rPr>
                <w:t>86</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53">
              <w:r>
                <w:rPr>
                  <w:rStyle w:val="InternetLink"/>
                  <w:rFonts w:ascii="Times New Roman;sans-serif" w:hAnsi="Times New Roman;sans-serif"/>
                  <w:b/>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53">
              <w:r>
                <w:rPr>
                  <w:rStyle w:val="InternetLink"/>
                  <w:rFonts w:ascii="Times New Roman;sans-serif" w:hAnsi="Times New Roman;sans-serif"/>
                  <w:b/>
                  <w:strike w:val="false"/>
                  <w:dstrike w:val="false"/>
                  <w:color w:val="000000"/>
                  <w:sz w:val="20"/>
                  <w:u w:val="none"/>
                  <w:effect w:val="none"/>
                </w:rPr>
                <w:t>88</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56">
              <w:r>
                <w:rPr>
                  <w:rStyle w:val="InternetLink"/>
                  <w:rFonts w:ascii="Times New Roman;sans-serif" w:hAnsi="Times New Roman;sans-serif"/>
                  <w:b/>
                  <w:color w:val="0000FF"/>
                  <w:sz w:val="20"/>
                  <w:u w:val="single"/>
                </w:rPr>
                <w:t>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56">
              <w:r>
                <w:rPr>
                  <w:rStyle w:val="InternetLink"/>
                  <w:rFonts w:ascii="Times New Roman;sans-serif" w:hAnsi="Times New Roman;sans-serif"/>
                  <w:b/>
                  <w:strike w:val="false"/>
                  <w:dstrike w:val="false"/>
                  <w:color w:val="000000"/>
                  <w:sz w:val="20"/>
                  <w:u w:val="none"/>
                  <w:effect w:val="none"/>
                </w:rPr>
                <w:t>89</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59">
              <w:r>
                <w:rPr>
                  <w:rStyle w:val="InternetLink"/>
                  <w:rFonts w:ascii="Times New Roman;sans-serif" w:hAnsi="Times New Roman;sans-serif"/>
                  <w:b/>
                  <w:color w:val="0000FF"/>
                  <w:sz w:val="20"/>
                  <w:u w:val="single"/>
                </w:rPr>
                <w:t>Consolidated Statements of Convertible and Redeemable Convertible Preferred Stock and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59">
              <w:r>
                <w:rPr>
                  <w:rStyle w:val="InternetLink"/>
                  <w:rFonts w:ascii="Times New Roman;sans-serif" w:hAnsi="Times New Roman;sans-serif"/>
                  <w:b/>
                  <w:strike w:val="false"/>
                  <w:dstrike w:val="false"/>
                  <w:color w:val="000000"/>
                  <w:sz w:val="20"/>
                  <w:u w:val="none"/>
                  <w:effect w:val="none"/>
                </w:rPr>
                <w:t>90</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65">
              <w:r>
                <w:rPr>
                  <w:rStyle w:val="InternetLink"/>
                  <w:rFonts w:ascii="Times New Roman;sans-serif" w:hAnsi="Times New Roman;sans-serif"/>
                  <w:b/>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65">
              <w:r>
                <w:rPr>
                  <w:rStyle w:val="InternetLink"/>
                  <w:rFonts w:ascii="Times New Roman;sans-serif" w:hAnsi="Times New Roman;sans-serif"/>
                  <w:b/>
                  <w:strike w:val="false"/>
                  <w:dstrike w:val="false"/>
                  <w:color w:val="000000"/>
                  <w:sz w:val="20"/>
                  <w:u w:val="none"/>
                  <w:effect w:val="none"/>
                </w:rPr>
                <w:t>91</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61" w:before="0" w:after="0"/>
              <w:jc w:val="both"/>
              <w:rPr/>
            </w:pPr>
            <w:hyperlink w:anchor="ia8c129095af541e48f545729b1ad120d_274">
              <w:r>
                <w:rPr>
                  <w:rStyle w:val="InternetLink"/>
                  <w:rFonts w:ascii="Times New Roman;sans-serif" w:hAnsi="Times New Roman;sans-serif"/>
                  <w:b/>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61" w:before="0" w:after="0"/>
              <w:jc w:val="center"/>
              <w:rPr/>
            </w:pPr>
            <w:hyperlink w:anchor="ia8c129095af541e48f545729b1ad120d_274">
              <w:r>
                <w:rPr>
                  <w:rStyle w:val="InternetLink"/>
                  <w:rFonts w:ascii="Times New Roman;sans-serif" w:hAnsi="Times New Roman;sans-serif"/>
                  <w:b/>
                  <w:strike w:val="false"/>
                  <w:dstrike w:val="false"/>
                  <w:color w:val="000000"/>
                  <w:sz w:val="20"/>
                  <w:u w:val="none"/>
                  <w:effect w:val="none"/>
                </w:rPr>
                <w:t>93</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35915"/>
                <wp:effectExtent l="0" t="0" r="0" b="0"/>
                <wp:wrapNone/>
                <wp:docPr id="90" name="Frame8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333333"/>
          <w:sz w:val="20"/>
        </w:rPr>
      </w:pPr>
      <w:r>
        <w:rPr>
          <w:rFonts w:ascii="Times New Roman;sans-serif" w:hAnsi="Times New Roman;sans-serif"/>
          <w:b/>
          <w:color w:val="333333"/>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333333"/>
          <w:sz w:val="20"/>
        </w:rPr>
      </w:pPr>
      <w:r>
        <w:rPr>
          <w:rFonts w:ascii="Times New Roman;sans-serif" w:hAnsi="Times New Roman;sans-serif"/>
          <w:b/>
          <w:color w:val="333333"/>
          <w:sz w:val="20"/>
        </w:rPr>
        <w:t>To the Stockholders and the Board of Directors of Kaltura,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333333"/>
          <w:sz w:val="20"/>
        </w:rPr>
      </w:pPr>
      <w:r>
        <w:rPr>
          <w:rFonts w:ascii="Times New Roman;sans-serif" w:hAnsi="Times New Roman;sans-serif"/>
          <w:b/>
          <w:color w:val="333333"/>
          <w:sz w:val="20"/>
        </w:rPr>
        <w:t>Opinion on the Financial Statements</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Kaltura, Inc. and subsidiaries (the Company) as of December 31, 2023 and 2022, the related consolidated statements of operations, comprehensive loss, convertible and redeemable convertible preferred stock and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/s/ KOST FORER GABBAY &amp; KASIERER</w:t>
      </w:r>
    </w:p>
    <w:p>
      <w:pPr>
        <w:pStyle w:val="TextBody"/>
        <w:bidi w:val="0"/>
        <w:spacing w:lineRule="auto" w:line="26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A Member of EY Global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We have served as the Company's auditor since 2007. </w:t>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Tel-Aviv, Israel</w:t>
      </w:r>
    </w:p>
    <w:p>
      <w:pPr>
        <w:pStyle w:val="TextBody"/>
        <w:bidi w:val="0"/>
        <w:spacing w:lineRule="auto" w:line="264" w:before="0" w:after="0"/>
        <w:jc w:val="both"/>
        <w:rPr>
          <w:rFonts w:ascii="Times New Roman;sans-serif" w:hAnsi="Times New Roman;sans-serif"/>
          <w:b w:val="false"/>
          <w:color w:val="333333"/>
          <w:sz w:val="20"/>
          <w:shd w:fill="FFFFFF" w:val="clear"/>
        </w:rPr>
      </w:pPr>
      <w:r>
        <w:rPr>
          <w:rFonts w:ascii="Times New Roman;sans-serif" w:hAnsi="Times New Roman;sans-serif"/>
          <w:b w:val="false"/>
          <w:color w:val="333333"/>
          <w:sz w:val="20"/>
          <w:shd w:fill="FFFFFF" w:val="clear"/>
        </w:rPr>
        <w:t>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35915"/>
                <wp:effectExtent l="0" t="0" r="0" b="0"/>
                <wp:wrapNone/>
                <wp:docPr id="91" name="Frame8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768" w:type="dxa"/>
        <w:jc w:val="left"/>
        <w:tblInd w:w="0" w:type="dxa"/>
        <w:tblLayout w:type="fixed"/>
        <w:tblCellMar>
          <w:top w:w="28" w:type="dxa"/>
          <w:left w:w="28" w:type="dxa"/>
          <w:bottom w:w="28" w:type="dxa"/>
          <w:right w:w="28" w:type="dxa"/>
        </w:tblCellMar>
      </w:tblPr>
      <w:tblGrid>
        <w:gridCol w:w="828"/>
        <w:gridCol w:w="725"/>
        <w:gridCol w:w="725"/>
        <w:gridCol w:w="725"/>
        <w:gridCol w:w="725"/>
        <w:gridCol w:w="1040"/>
      </w:tblGrid>
      <w:tr>
        <w:trPr/>
        <w:tc>
          <w:tcPr>
            <w:tcW w:w="8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4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768" w:type="dxa"/>
            <w:gridSpan w:val="6"/>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4768"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p>
            <w:pPr>
              <w:pStyle w:val="TableContents"/>
              <w:bidi w:val="0"/>
              <w:spacing w:before="0" w:after="0"/>
              <w:jc w:val="center"/>
              <w:rPr/>
            </w:pPr>
            <w:r>
              <w:rPr/>
            </w:r>
          </w:p>
        </w:tc>
      </w:tr>
    </w:tbl>
    <w:tbl>
      <w:tblPr>
        <w:tblW w:w="7823" w:type="dxa"/>
        <w:jc w:val="left"/>
        <w:tblInd w:w="0" w:type="dxa"/>
        <w:tblLayout w:type="fixed"/>
        <w:tblCellMar>
          <w:top w:w="28" w:type="dxa"/>
          <w:left w:w="28" w:type="dxa"/>
          <w:bottom w:w="28" w:type="dxa"/>
          <w:right w:w="28" w:type="dxa"/>
        </w:tblCellMar>
      </w:tblPr>
      <w:tblGrid>
        <w:gridCol w:w="1860"/>
        <w:gridCol w:w="1645"/>
        <w:gridCol w:w="1654"/>
        <w:gridCol w:w="211"/>
        <w:gridCol w:w="826"/>
        <w:gridCol w:w="109"/>
        <w:gridCol w:w="109"/>
        <w:gridCol w:w="109"/>
        <w:gridCol w:w="109"/>
        <w:gridCol w:w="211"/>
        <w:gridCol w:w="826"/>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and fulfillment costs,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and fulfillment costs,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Total noncurrent assets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loans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and payroll accruals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loans,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35915"/>
                <wp:effectExtent l="0" t="0" r="0" b="0"/>
                <wp:wrapNone/>
                <wp:docPr id="92" name="Frame9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768" w:type="dxa"/>
        <w:jc w:val="left"/>
        <w:tblInd w:w="0" w:type="dxa"/>
        <w:tblLayout w:type="fixed"/>
        <w:tblCellMar>
          <w:top w:w="28" w:type="dxa"/>
          <w:left w:w="28" w:type="dxa"/>
          <w:bottom w:w="28" w:type="dxa"/>
          <w:right w:w="28" w:type="dxa"/>
        </w:tblCellMar>
      </w:tblPr>
      <w:tblGrid>
        <w:gridCol w:w="828"/>
        <w:gridCol w:w="725"/>
        <w:gridCol w:w="725"/>
        <w:gridCol w:w="725"/>
        <w:gridCol w:w="725"/>
        <w:gridCol w:w="1040"/>
      </w:tblGrid>
      <w:tr>
        <w:trPr/>
        <w:tc>
          <w:tcPr>
            <w:tcW w:w="8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4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768" w:type="dxa"/>
            <w:gridSpan w:val="6"/>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c>
      </w:tr>
      <w:tr>
        <w:trPr/>
        <w:tc>
          <w:tcPr>
            <w:tcW w:w="4768"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p>
            <w:pPr>
              <w:pStyle w:val="TableContents"/>
              <w:bidi w:val="0"/>
              <w:spacing w:before="0" w:after="0"/>
              <w:jc w:val="center"/>
              <w:rPr/>
            </w:pPr>
            <w:r>
              <w:rPr/>
            </w:r>
          </w:p>
        </w:tc>
      </w:tr>
    </w:tbl>
    <w:tbl>
      <w:tblPr>
        <w:tblW w:w="10205" w:type="dxa"/>
        <w:jc w:val="left"/>
        <w:tblInd w:w="0" w:type="dxa"/>
        <w:tblLayout w:type="fixed"/>
        <w:tblCellMar>
          <w:top w:w="28" w:type="dxa"/>
          <w:left w:w="28" w:type="dxa"/>
          <w:bottom w:w="28" w:type="dxa"/>
          <w:right w:w="28" w:type="dxa"/>
        </w:tblCellMar>
      </w:tblPr>
      <w:tblGrid>
        <w:gridCol w:w="2752"/>
        <w:gridCol w:w="2391"/>
        <w:gridCol w:w="2396"/>
        <w:gridCol w:w="211"/>
        <w:gridCol w:w="826"/>
        <w:gridCol w:w="109"/>
        <w:gridCol w:w="109"/>
        <w:gridCol w:w="109"/>
        <w:gridCol w:w="109"/>
        <w:gridCol w:w="211"/>
        <w:gridCol w:w="826"/>
        <w:gridCol w:w="156"/>
      </w:tblGrid>
      <w:tr>
        <w:trPr/>
        <w:tc>
          <w:tcPr>
            <w:tcW w:w="275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20,000,000 shares authorized as of December 31, 2023, and 2022; 0 shares issued and outstanding as of December 31, 2023, and 2022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1,000,000,000 shares authorized as of December 31, 2023 and 2022; 150,274,107 and 142,249,619, shares issued as of December 31, 2023 and 2022, respectively; 142,588,917 and 134,564,429 shares outstanding as of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7,685,190 shares of common stock, $0.0001 par value per share, as of December 31, 2023 and 2022</w:t>
            </w:r>
          </w:p>
          <w:p>
            <w:pPr>
              <w:pStyle w:val="TableContents"/>
              <w:bidi w:val="0"/>
              <w:spacing w:before="0" w:after="0"/>
              <w:jc w:val="left"/>
              <w:rPr/>
            </w:pPr>
            <w:r>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stockholders'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35915"/>
                <wp:effectExtent l="0" t="0" r="0" b="0"/>
                <wp:wrapNone/>
                <wp:docPr id="93" name="Frame9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769" w:type="dxa"/>
        <w:jc w:val="left"/>
        <w:tblInd w:w="0" w:type="dxa"/>
        <w:tblLayout w:type="fixed"/>
        <w:tblCellMar>
          <w:top w:w="28" w:type="dxa"/>
          <w:left w:w="28" w:type="dxa"/>
          <w:bottom w:w="28" w:type="dxa"/>
          <w:right w:w="28" w:type="dxa"/>
        </w:tblCellMar>
      </w:tblPr>
      <w:tblGrid>
        <w:gridCol w:w="828"/>
        <w:gridCol w:w="725"/>
        <w:gridCol w:w="725"/>
        <w:gridCol w:w="725"/>
        <w:gridCol w:w="725"/>
        <w:gridCol w:w="1041"/>
      </w:tblGrid>
      <w:tr>
        <w:trPr/>
        <w:tc>
          <w:tcPr>
            <w:tcW w:w="8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4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tc>
      </w:tr>
      <w:tr>
        <w:trPr/>
        <w:tc>
          <w:tcPr>
            <w:tcW w:w="4769"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48"/>
        <w:gridCol w:w="1693"/>
        <w:gridCol w:w="1706"/>
        <w:gridCol w:w="109"/>
        <w:gridCol w:w="109"/>
        <w:gridCol w:w="109"/>
        <w:gridCol w:w="211"/>
        <w:gridCol w:w="826"/>
        <w:gridCol w:w="109"/>
        <w:gridCol w:w="109"/>
        <w:gridCol w:w="109"/>
        <w:gridCol w:w="109"/>
        <w:gridCol w:w="241"/>
        <w:gridCol w:w="945"/>
        <w:gridCol w:w="109"/>
        <w:gridCol w:w="109"/>
        <w:gridCol w:w="109"/>
        <w:gridCol w:w="109"/>
        <w:gridCol w:w="219"/>
        <w:gridCol w:w="862"/>
        <w:gridCol w:w="155"/>
      </w:tblGrid>
      <w:tr>
        <w:trPr/>
        <w:tc>
          <w:tcPr>
            <w:tcW w:w="214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accretion and cumulative undeclared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138,237,017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130,366,385 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71,073,052 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35915"/>
                <wp:effectExtent l="0" t="0" r="0" b="0"/>
                <wp:wrapNone/>
                <wp:docPr id="94" name="Frame9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5400" w:type="dxa"/>
        <w:jc w:val="left"/>
        <w:tblInd w:w="0" w:type="dxa"/>
        <w:tblLayout w:type="fixed"/>
        <w:tblCellMar>
          <w:top w:w="28" w:type="dxa"/>
          <w:left w:w="28" w:type="dxa"/>
          <w:bottom w:w="28" w:type="dxa"/>
          <w:right w:w="28" w:type="dxa"/>
        </w:tblCellMar>
      </w:tblPr>
      <w:tblGrid>
        <w:gridCol w:w="938"/>
        <w:gridCol w:w="821"/>
        <w:gridCol w:w="821"/>
        <w:gridCol w:w="821"/>
        <w:gridCol w:w="821"/>
        <w:gridCol w:w="1178"/>
      </w:tblGrid>
      <w:tr>
        <w:trPr/>
        <w:tc>
          <w:tcPr>
            <w:tcW w:w="93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54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54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LOSS</w:t>
            </w:r>
          </w:p>
        </w:tc>
      </w:tr>
      <w:tr>
        <w:trPr/>
        <w:tc>
          <w:tcPr>
            <w:tcW w:w="54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dollars in thousands)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78"/>
        <w:gridCol w:w="1808"/>
        <w:gridCol w:w="184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6"/>
      </w:tblGrid>
      <w:tr>
        <w:trPr/>
        <w:tc>
          <w:tcPr>
            <w:tcW w:w="20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available-for-sale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35915"/>
                <wp:effectExtent l="0" t="0" r="0" b="0"/>
                <wp:wrapNone/>
                <wp:docPr id="95" name="Frame9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13"/>
        <w:gridCol w:w="1544"/>
        <w:gridCol w:w="1544"/>
        <w:gridCol w:w="1544"/>
        <w:gridCol w:w="1544"/>
        <w:gridCol w:w="2216"/>
      </w:tblGrid>
      <w:tr>
        <w:trPr/>
        <w:tc>
          <w:tcPr>
            <w:tcW w:w="181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CONVERTIBLE AND REDEEMABLE CONVERTIBLE PREFERRED STOCK AND STOCKHOLDERS' EQUITY</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data)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9241" w:type="dxa"/>
        <w:jc w:val="left"/>
        <w:tblInd w:w="0" w:type="dxa"/>
        <w:tblLayout w:type="fixed"/>
        <w:tblCellMar>
          <w:top w:w="28" w:type="dxa"/>
          <w:left w:w="28" w:type="dxa"/>
          <w:bottom w:w="28" w:type="dxa"/>
          <w:right w:w="28" w:type="dxa"/>
        </w:tblCellMar>
      </w:tblPr>
      <w:tblGrid>
        <w:gridCol w:w="644"/>
        <w:gridCol w:w="263"/>
        <w:gridCol w:w="264"/>
        <w:gridCol w:w="109"/>
        <w:gridCol w:w="109"/>
        <w:gridCol w:w="109"/>
        <w:gridCol w:w="442"/>
        <w:gridCol w:w="444"/>
        <w:gridCol w:w="231"/>
        <w:gridCol w:w="109"/>
        <w:gridCol w:w="109"/>
        <w:gridCol w:w="109"/>
        <w:gridCol w:w="196"/>
        <w:gridCol w:w="556"/>
        <w:gridCol w:w="109"/>
        <w:gridCol w:w="109"/>
        <w:gridCol w:w="109"/>
        <w:gridCol w:w="109"/>
        <w:gridCol w:w="487"/>
        <w:gridCol w:w="489"/>
        <w:gridCol w:w="231"/>
        <w:gridCol w:w="109"/>
        <w:gridCol w:w="109"/>
        <w:gridCol w:w="109"/>
        <w:gridCol w:w="196"/>
        <w:gridCol w:w="736"/>
        <w:gridCol w:w="109"/>
        <w:gridCol w:w="109"/>
        <w:gridCol w:w="109"/>
        <w:gridCol w:w="109"/>
        <w:gridCol w:w="109"/>
        <w:gridCol w:w="109"/>
        <w:gridCol w:w="109"/>
        <w:gridCol w:w="524"/>
        <w:gridCol w:w="527"/>
        <w:gridCol w:w="231"/>
        <w:gridCol w:w="109"/>
        <w:gridCol w:w="109"/>
        <w:gridCol w:w="109"/>
        <w:gridCol w:w="212"/>
        <w:gridCol w:w="359"/>
        <w:gridCol w:w="120"/>
        <w:gridCol w:w="109"/>
        <w:gridCol w:w="109"/>
        <w:gridCol w:w="109"/>
        <w:gridCol w:w="435"/>
        <w:gridCol w:w="436"/>
        <w:gridCol w:w="231"/>
        <w:gridCol w:w="109"/>
        <w:gridCol w:w="109"/>
        <w:gridCol w:w="109"/>
        <w:gridCol w:w="196"/>
        <w:gridCol w:w="571"/>
        <w:gridCol w:w="109"/>
        <w:gridCol w:w="109"/>
        <w:gridCol w:w="109"/>
        <w:gridCol w:w="109"/>
        <w:gridCol w:w="250"/>
        <w:gridCol w:w="556"/>
        <w:gridCol w:w="140"/>
        <w:gridCol w:w="109"/>
        <w:gridCol w:w="109"/>
        <w:gridCol w:w="109"/>
        <w:gridCol w:w="196"/>
        <w:gridCol w:w="736"/>
        <w:gridCol w:w="109"/>
        <w:gridCol w:w="327"/>
        <w:gridCol w:w="266"/>
        <w:gridCol w:w="756"/>
        <w:gridCol w:w="149"/>
        <w:gridCol w:w="327"/>
        <w:gridCol w:w="196"/>
        <w:gridCol w:w="751"/>
        <w:gridCol w:w="109"/>
        <w:gridCol w:w="327"/>
        <w:gridCol w:w="196"/>
        <w:gridCol w:w="75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 on account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Balance as of 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1,043,778 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15,779,322 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25,467,922 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7,685,190 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stock upon exercise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forgiveness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Accretion of redeemable convertible 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redeemable convertible preferred stock upon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and redeemable convertible preferred stock to common stock upon initial public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(1,043,778)</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(15,806,333)</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76,262,942 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initial public offering, net of underwriting discounts and commissions and other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warrants to common stock upon initial public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7,067,699 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and release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876,541 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126,925,104 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and release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7,026,070 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warrants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613,255 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Balance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134,564,429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and release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8,024,488 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142,588,917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471,635 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1,047 </w:t>
            </w:r>
          </w:p>
        </w:tc>
        <w:tc>
          <w:tcPr>
            <w:tcW w:w="1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(437,495)</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35915"/>
                <wp:effectExtent l="0" t="0" r="0" b="0"/>
                <wp:wrapNone/>
                <wp:docPr id="96" name="Frame9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before="0" w:after="0"/>
        <w:jc w:val="left"/>
        <w:rPr/>
      </w:pPr>
      <w:r>
        <w:rPr/>
      </w:r>
    </w:p>
    <w:tbl>
      <w:tblPr>
        <w:tblW w:w="4467" w:type="dxa"/>
        <w:jc w:val="left"/>
        <w:tblInd w:w="0" w:type="dxa"/>
        <w:tblLayout w:type="fixed"/>
        <w:tblCellMar>
          <w:top w:w="28" w:type="dxa"/>
          <w:left w:w="28" w:type="dxa"/>
          <w:bottom w:w="28" w:type="dxa"/>
          <w:right w:w="28" w:type="dxa"/>
        </w:tblCellMar>
      </w:tblPr>
      <w:tblGrid>
        <w:gridCol w:w="776"/>
        <w:gridCol w:w="679"/>
        <w:gridCol w:w="679"/>
        <w:gridCol w:w="679"/>
        <w:gridCol w:w="679"/>
        <w:gridCol w:w="975"/>
      </w:tblGrid>
      <w:tr>
        <w:trPr/>
        <w:tc>
          <w:tcPr>
            <w:tcW w:w="7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dollars in thousands</w:t>
            </w:r>
          </w:p>
        </w:tc>
      </w:tr>
    </w:tbl>
    <w:tbl>
      <w:tblPr>
        <w:tblW w:w="10205" w:type="dxa"/>
        <w:jc w:val="center"/>
        <w:tblInd w:w="0" w:type="dxa"/>
        <w:tblLayout w:type="fixed"/>
        <w:tblCellMar>
          <w:top w:w="28" w:type="dxa"/>
          <w:left w:w="28" w:type="dxa"/>
          <w:bottom w:w="28" w:type="dxa"/>
          <w:right w:w="28" w:type="dxa"/>
        </w:tblCellMar>
      </w:tblPr>
      <w:tblGrid>
        <w:gridCol w:w="2312"/>
        <w:gridCol w:w="1895"/>
        <w:gridCol w:w="1911"/>
        <w:gridCol w:w="109"/>
        <w:gridCol w:w="109"/>
        <w:gridCol w:w="109"/>
        <w:gridCol w:w="196"/>
        <w:gridCol w:w="704"/>
        <w:gridCol w:w="109"/>
        <w:gridCol w:w="109"/>
        <w:gridCol w:w="109"/>
        <w:gridCol w:w="109"/>
        <w:gridCol w:w="196"/>
        <w:gridCol w:w="704"/>
        <w:gridCol w:w="109"/>
        <w:gridCol w:w="109"/>
        <w:gridCol w:w="109"/>
        <w:gridCol w:w="109"/>
        <w:gridCol w:w="196"/>
        <w:gridCol w:w="736"/>
        <w:gridCol w:w="156"/>
      </w:tblGrid>
      <w:tr>
        <w:trPr/>
        <w:tc>
          <w:tcPr>
            <w:tcW w:w="231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(59,351)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and fulfillment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valuation of warrants to purchase preferred and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expenses with respect to stockholders’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sale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on 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prepaid expenses and other current assets and other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deferred contract acquisition and fulfillment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employees and payroll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and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available-for-sale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available-for-sale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restricted bank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initial public offering, net of underwriting discounts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related to the conversion of Series F redeemable convertible preferred stock upon initial public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long-term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offering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the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the 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144,371 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35915"/>
                <wp:effectExtent l="0" t="0" r="0" b="0"/>
                <wp:wrapNone/>
                <wp:docPr id="97" name="Frame9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before="0" w:after="0"/>
        <w:jc w:val="left"/>
        <w:rPr/>
      </w:pPr>
      <w:r>
        <w:rPr/>
      </w:r>
    </w:p>
    <w:tbl>
      <w:tblPr>
        <w:tblW w:w="4467" w:type="dxa"/>
        <w:jc w:val="left"/>
        <w:tblInd w:w="0" w:type="dxa"/>
        <w:tblLayout w:type="fixed"/>
        <w:tblCellMar>
          <w:top w:w="28" w:type="dxa"/>
          <w:left w:w="28" w:type="dxa"/>
          <w:bottom w:w="28" w:type="dxa"/>
          <w:right w:w="28" w:type="dxa"/>
        </w:tblCellMar>
      </w:tblPr>
      <w:tblGrid>
        <w:gridCol w:w="776"/>
        <w:gridCol w:w="679"/>
        <w:gridCol w:w="679"/>
        <w:gridCol w:w="679"/>
        <w:gridCol w:w="679"/>
        <w:gridCol w:w="975"/>
      </w:tblGrid>
      <w:tr>
        <w:trPr/>
        <w:tc>
          <w:tcPr>
            <w:tcW w:w="7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dollars in thousands</w:t>
            </w:r>
          </w:p>
        </w:tc>
      </w:tr>
    </w:tbl>
    <w:tbl>
      <w:tblPr>
        <w:tblW w:w="10205" w:type="dxa"/>
        <w:jc w:val="left"/>
        <w:tblInd w:w="0" w:type="dxa"/>
        <w:tblLayout w:type="fixed"/>
        <w:tblCellMar>
          <w:top w:w="28" w:type="dxa"/>
          <w:left w:w="28" w:type="dxa"/>
          <w:bottom w:w="28" w:type="dxa"/>
          <w:right w:w="28" w:type="dxa"/>
        </w:tblCellMar>
      </w:tblPr>
      <w:tblGrid>
        <w:gridCol w:w="2179"/>
        <w:gridCol w:w="1883"/>
        <w:gridCol w:w="1888"/>
        <w:gridCol w:w="109"/>
        <w:gridCol w:w="109"/>
        <w:gridCol w:w="109"/>
        <w:gridCol w:w="211"/>
        <w:gridCol w:w="721"/>
        <w:gridCol w:w="109"/>
        <w:gridCol w:w="109"/>
        <w:gridCol w:w="109"/>
        <w:gridCol w:w="109"/>
        <w:gridCol w:w="211"/>
        <w:gridCol w:w="721"/>
        <w:gridCol w:w="109"/>
        <w:gridCol w:w="109"/>
        <w:gridCol w:w="109"/>
        <w:gridCol w:w="109"/>
        <w:gridCol w:w="211"/>
        <w:gridCol w:w="826"/>
        <w:gridCol w:w="155"/>
      </w:tblGrid>
      <w:tr>
        <w:trPr/>
        <w:tc>
          <w:tcPr>
            <w:tcW w:w="217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Supplemental disclosure of 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equipment, internal-use software, and intangible asset in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stock-based compensation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Pending proceeds from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incentive recognized as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warrants to common stock upon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convertible and redeemable convertible preferred stock to common stock upon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Reconciliation of cash, cash equivalents, and restricted cash to the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36,784 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45,833 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144,371 </w:t>
            </w:r>
          </w:p>
        </w:tc>
        <w:tc>
          <w:tcPr>
            <w:tcW w:w="15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35915"/>
                <wp:effectExtent l="0" t="0" r="0" b="0"/>
                <wp:wrapNone/>
                <wp:docPr id="98" name="Frame9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1: GENERAL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Kaltura, Inc. (together with its subsidiaries, the “Company”) was incorporated in October 2006 and commenced operations in January 2007. The Company’s business operations are allocated between two main segments, Enterprise, Education, and Technology (“EE&amp;T”) and Media and Telecom (“M&amp;T”). The Company has developed a platform for video creation, management, and collaboration. The Company's platform enables companies, educational institutions, and other organizations to cost-effectively launch advanced online video experiences, including for Over-the-top (“OTT”) Television, Cloud TV, web video publishing, video-based teaching, learning, and training, video-based marketing, and video-based collaboration. The Company’s core offerings consist of various Software-as-a-Service (“SaaS”) products and solutions and a Platform-as-a-Service (“PaaS”).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2: SIGNIFICANT ACCOUNTING POLICIES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have been prepared in accordance with accounting principles generally accepted in the United States ("U.S.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incremental borrowing rate for operating leases, fair value of financial assets and liabilities, including fair value of derivatives, fair value and useful life of intangible assets, as well as in estimates used in applying the revenue recognition policy. The Company bases these estimates on historical and anticipated results, trends and various other assumptions that it believes are reasonable under the circumstances, including assumptions as to future events. Actual results could differ from those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Financial Statements in U.S. Dollars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currency of the primary economic environment in which the operations of Kaltura Inc. and its subsidiaries are conducted is the U.S. dollar; thus, the dollar is the functional currency of Kaltura Inc. and its subsidiaries.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monetary accounts maintained in currencies other than the U.S. dollar are remeasured into U.S. dollars in accordance with Statement of the Accounting Standard Codification ("ASC") 830 "Foreign Currency Matters" ("ASC 830"). All transaction gains and losses of the remeasured monetary balance sheet items are reflected in the statements of operations as financial income or expenses,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 owned subsidiaries. Intercompany transactions and balances have been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are short term, highly liquid investments that are readily convertible to cash with original maturities of three months or less, at the date acquired.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is primarily invested in deposits held to maturity, stated at cost, which also approximates their fair value, and are used as security for the Company's liabilities. These deposits are used mainly as security for rent payments, and the Company's credit cards. Restricted cash is presented in the balance sheet as part of other assets, noncurrent.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marketable securities in accordance with ASC No. 320, “Investments - Debt Securities”. Management determines the appropriate classification of its investments at the time of purchase and reevaluates such determinations at each balance sheet date. The Company classifies all of its debt securities as available-for-sale.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are carried at fair value, with the unrealized gains and losses, net of tax, reported in accumulated other comprehensive income (loss) in shareholders’ equity. Realized gains and losses on sale of investments are included in financial expenses (income), net and are derived using the specific identification method for determining the cost of securities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35915"/>
                <wp:effectExtent l="0" t="0" r="0" b="0"/>
                <wp:wrapNone/>
                <wp:docPr id="99" name="Frame9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debt securities is adjusted for amortization of premiums and accretion of discounts to maturity. Such amortization together with interest on securities is included in financial income, net.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its available-for-sale debt securities for impairment.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financial expenses (income), net in the Consolidated Statements of Operations. If neither of these criteria are met, the Company determines whether credit loss exists. Credit loss is estimated by considering changes to the rating of the security by a rating agency, any adverse conditions specifically related to the security, as well as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Trade Receivables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receivables are recorded at the invoiced amount and includes also amounts for which revenue has been recognized but not invoiced. The allowance for credit losses is based on the Company's assessments of factors that may affect a customer's ability to pay. The Company regularly reviews the adequacy of the allowance for credit losses based on a combination of factors, including an assessment of the current customer's aging balance, the nature and size of the customer, the financial condition of the customer, and the amount of any receivables in dispute. There were no material write-offs for allowance of doubtful accounts recognized in the periods presented. The Company does not have any off-balance sheet credit exposure related to its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Derivatives and Hedging</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recognized at fair value as either assets or liabilities in the consolidated balance sheets in accordance with ASC Topic 815, “Derivatives and Hedging.” The gain or loss of derivatives that are designated and qualify as hedging instruments in a cash flow hedge, is recorded under accumulated other comprehensive income (loss) and reclassified into earnings in the same period or periods during which the hedged transaction affects earnings. Derivatives are classified within Level 2 of the fair value hierarchy as the valuation inputs are based on quoted prices and market observable data of similar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net of accumulated depreciation. Depreciation is calculated using the straight-line method over the estimated useful lives of the assets:</w:t>
      </w:r>
    </w:p>
    <w:p>
      <w:pPr>
        <w:pStyle w:val="TextBody"/>
        <w:bidi w:val="0"/>
        <w:spacing w:lineRule="auto" w:line="288" w:before="0" w:after="180"/>
        <w:ind w:left="0" w:right="0" w:firstLine="490"/>
        <w:jc w:val="both"/>
        <w:rPr>
          <w:color w:val="000000"/>
        </w:rPr>
      </w:pPr>
      <w:r>
        <w:rPr>
          <w:color w:val="000000"/>
        </w:rPr>
        <w:t>    </w:t>
      </w:r>
    </w:p>
    <w:tbl>
      <w:tblPr>
        <w:tblW w:w="9539" w:type="dxa"/>
        <w:jc w:val="left"/>
        <w:tblInd w:w="0" w:type="dxa"/>
        <w:tblLayout w:type="fixed"/>
        <w:tblCellMar>
          <w:top w:w="28" w:type="dxa"/>
          <w:left w:w="28" w:type="dxa"/>
          <w:bottom w:w="28" w:type="dxa"/>
          <w:right w:w="28" w:type="dxa"/>
        </w:tblCellMar>
      </w:tblPr>
      <w:tblGrid>
        <w:gridCol w:w="1313"/>
        <w:gridCol w:w="1153"/>
        <w:gridCol w:w="1158"/>
        <w:gridCol w:w="192"/>
        <w:gridCol w:w="192"/>
        <w:gridCol w:w="192"/>
        <w:gridCol w:w="1560"/>
        <w:gridCol w:w="1560"/>
        <w:gridCol w:w="2219"/>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33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339"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firstLine="490"/>
              <w:jc w:val="both"/>
              <w:rPr/>
            </w:pPr>
            <w:r>
              <w:rPr/>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Computers and peripheral equipment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624"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7-15</w:t>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the shorter of the related lease period or the life of the asset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long-lived assets of the Company are reviewed for impairment in accordance with ASC 360, “Property, Plant and Equipment” (“ASC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There were no impairment charges to long-lived assets during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Intangible ass</w:t>
      </w:r>
      <w:r>
        <w:rPr>
          <w:rFonts w:ascii="Times New Roman;sans-serif" w:hAnsi="Times New Roman;sans-serif"/>
          <w:b w:val="false"/>
          <w:color w:val="000000"/>
          <w:sz w:val="22"/>
        </w:rPr>
        <w:t>ets con</w:t>
      </w:r>
      <w:r>
        <w:rPr>
          <w:rFonts w:ascii="Times New Roman;sans-serif" w:hAnsi="Times New Roman;sans-serif"/>
          <w:b w:val="false"/>
          <w:color w:val="000000"/>
          <w:sz w:val="20"/>
        </w:rPr>
        <w:t xml:space="preserve">sist primarily of customer relationships, technology and trade name. The intangible assets are amortized over their estimated useful lives in proportion to the economic benefits realized. Intangible assets consist primarily of customer relationships, technology, and trade name.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for the intangible assets was recognized over the following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35915"/>
                <wp:effectExtent l="0" t="0" r="0" b="0"/>
                <wp:wrapNone/>
                <wp:docPr id="100" name="Frame9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tbl>
      <w:tblPr>
        <w:tblW w:w="3970" w:type="dxa"/>
        <w:jc w:val="left"/>
        <w:tblInd w:w="0" w:type="dxa"/>
        <w:tblLayout w:type="fixed"/>
        <w:tblCellMar>
          <w:top w:w="28" w:type="dxa"/>
          <w:left w:w="28" w:type="dxa"/>
          <w:bottom w:w="28" w:type="dxa"/>
          <w:right w:w="28" w:type="dxa"/>
        </w:tblCellMar>
      </w:tblPr>
      <w:tblGrid>
        <w:gridCol w:w="901"/>
        <w:gridCol w:w="791"/>
        <w:gridCol w:w="793"/>
        <w:gridCol w:w="192"/>
        <w:gridCol w:w="192"/>
        <w:gridCol w:w="192"/>
        <w:gridCol w:w="265"/>
        <w:gridCol w:w="265"/>
        <w:gridCol w:w="379"/>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48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2485"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Goodwill</w:t>
      </w:r>
      <w:r>
        <w:rPr>
          <w:color w:val="000000"/>
        </w:rPr>
        <w:t xml:space="preserve"> </w:t>
      </w:r>
      <w:r>
        <w:rPr>
          <w:rFonts w:ascii="Times New Roman;sans-serif" w:hAnsi="Times New Roman;sans-serif"/>
          <w:b w:val="false"/>
          <w:color w:val="000000"/>
          <w:sz w:val="22"/>
        </w:rPr>
        <w:t>re</w:t>
      </w:r>
      <w:r>
        <w:rPr>
          <w:rFonts w:ascii="Times New Roman;sans-serif" w:hAnsi="Times New Roman;sans-serif"/>
          <w:b w:val="false"/>
          <w:color w:val="000000"/>
          <w:sz w:val="20"/>
        </w:rPr>
        <w:t>presents the excess of the purchase price over the fair value of net assets acquired in business combinations using the acquisition method of accounting, which requires that the assets acquired and liabilities assumed be recorded at the date of acquisition at their respective fair values.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subject to an impairment test at the reporting unit level at least annually in the fourth quarter, or more frequently if events or changes in circumstances indicate that goodwill may be impaired. The Company identified two reporting units - EE&amp;T and M&amp;T. Goodwill impairment is deemed to exist if the net book value of a reporting unit exceeds its estimated fair value. An impairment loss is recognized in an amount equal to the excess. There were no impairment charges to goodwill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The Company currently does not have any finance leases.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(“ROU”) assets and liabilities are recognized at the present value of the future lease payments at the lease commencement date. The Company combines its lease payments and fixed payments for non-lease components and account for them together as a single lease component. Operating lease ROU assets also include any prepaid lease payments and lease incentives. Certain lease agreements include rental payments adjusted periodically for the consumer price index (“CPI”). The ROU and lease liability were calculated using the initial CPI and will not be subsequently adjusted, unless the liability is reassessed for other reasons. Payments for variable lease costs are expensed as incurred and not included in the operating lease ROU assets and liabilities. For short-term leases with a term of 12 months or less, operating lease ROU assets and liabilities are not recognized and the Company records lease payments in the Consolidated Statements of Operations on a straight-line basis over the lease term.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used to determine the present value of the future lease payments is the Company’s incremental borrowing rate, because the interest rate implicit in the Company’s leases is not readily determinable. The Company’s incremental borrowing rate is estimated to approximate the interest rate on a collateralized basis with similar terms and payments, and in economic environments where the leased asset is located. Many of the Company’s lease agreements provide one or more options to renew. When determining lease terms, the Company uses the non-cancellable period of the leases and do not assume renewals unless it is reasonably certain that the Company will exercise that option. Operating lease expense is recognized on a straight-line basis over the lease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Severance Pay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Kaltura Israel's agreements with its employees in Israel are in accordance with section 14 of the Israeli Severance Pay Law. Upon contribution of the full amount of the employee's monthly salary and release of the policy to the employee, no additional legal obligation exists between the parties and no additional payments are made by the Company to the employee; therefore, related assets and liabilities are not presented in the balance sheet.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For Kaltura Israel employees who are not subject to section 14, the Company calculated the liability for severance pay pursuant to the Severance Pay Law based on the most recent salary of these employees multiplied by the number of years of employment as of the balance sheet date. Kaltura Israel's liability for these employees is fully provided for via monthly deposits with severance pay funds, insurance policies and an accrual. The value of these deposits is recorded as an asset on the Company's balance sheet in other assets, noncurrent.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Severance expenses recorded in Kaltura Israel for the years ended December 31, 2023, 2022 and 2021 amounted to $3,194, $3,976 and $3,937,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35915"/>
                <wp:effectExtent l="0" t="0" r="0" b="0"/>
                <wp:wrapNone/>
                <wp:docPr id="101" name="Frame9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employees in the U.S. receive severance benefits in the event of an involuntary termination that increase in accordance with their tenure and base salary. The Company accounts for post-employment benefits in accordance with ASC Topic No. 712, Compensation – Nonretirement Post-employment Benefits. These benefits, primarily severance, are not accrued until the amount can be reasonably estimated.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Severance expenses recorded in the U.S. for the years ended December 31, 2023, 2022 and 2021, other than one-time termination benefits detailed in Note 18,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Israeli Employees Defined Contribution Plan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a pension contribution plan with respect to Kaltura Israel's employees. Under the plan, Kaltura Israel contributed up to 6.5% of each employee's monthly salary toward the plan. Employees are entitled to amounts accumulated in the plan upon reaching retirement age, subject to any applicable law.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Defined contribution pension plan expenses for the years ended December 31, 2023, 2022 and 2021 amounted to $2,397, $3,099 and $3,108,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under Accounting Standards Codification Topic 606, Revenue from Contracts with Customers (“ASC 606”). Under ASC 606, the Company recognizes revenue when its customer obtains control of promised goods or services in an amount that reflects the consideration that the Company expects to receive in exchange for those goods or services. The Company applies judgment in identifying and evaluating terms and conditions in contracts which may impact revenue recognition. To determine the appropriate amount of revenue to be recognized as it fulfills its obligations under each of its agreements, the Company performs the following steps:</w:t>
      </w:r>
    </w:p>
    <w:p>
      <w:pPr>
        <w:pStyle w:val="TextBody"/>
        <w:bidi w:val="0"/>
        <w:spacing w:lineRule="auto" w:line="288" w:before="0" w:after="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1. Identify the contract with a customer</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The Company engages in formal, written, and binding contracts with its customers that create enforceable rights and obligations between the parties and state each party’s rights regarding the license and services to be transferred and the terms of payment. The Company evaluates the probability of collection of the consideration that it is entitled to receive in exchange for the subscriptions and professional services it transfers to the customer. The Company records trade receivables and related contract liabilities for non-cancelable contracts with customers when the right to consideration is unconditional.</w:t>
      </w:r>
    </w:p>
    <w:p>
      <w:pPr>
        <w:pStyle w:val="TextBody"/>
        <w:bidi w:val="0"/>
        <w:spacing w:lineRule="auto" w:line="288" w:before="0" w:after="60"/>
        <w:ind w:left="0" w:right="0" w:firstLine="450"/>
        <w:jc w:val="left"/>
        <w:rPr/>
      </w:pPr>
      <w:r>
        <w:rPr>
          <w:rFonts w:ascii="Times New Roman;sans-serif" w:hAnsi="Times New Roman;sans-serif"/>
          <w:b w:val="false"/>
          <w:i/>
          <w:color w:val="000000"/>
          <w:sz w:val="20"/>
        </w:rPr>
        <w:t>2. Identify the performance obligations in the contract</w:t>
      </w:r>
      <w:r>
        <w:rPr>
          <w:color w:val="000000"/>
        </w:rPr>
        <w:t xml:space="preserv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promised in a contract are identified based on the goods or services that will be transferred to the customer that are both capable of being distinct, whereby the customer can benefit from the goods or service either on its own or together with other resources that are readily available from the Company or from third-parties, and are distinct in the context of the contract, whereby the transfer of the goods or services is separately identifiable from other promises in the contract.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subscriptions and post-contract services ("PCS") to its Video Experience Cloud, which powers live, real-time, and on-demand video experiences. The Company provides access to its platform either as a cloud-based service ("SaaS" or "PaaS") or, less commonly, as a license to software installed on the customer's premises ("On-Prem") all together defined as subscriptions in the statement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(“PS”) consist of integration, configuration and customization activities. In some of the Company's arrangements, PS are accounted for as a separate performance obligation. However, in some of the Company’s SaaS and PaaS arrangements the Company determined that the PS are solely set up activities that do not transfer goods or services to the customer and therefore are not accounted for as a separate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35915"/>
                <wp:effectExtent l="0" t="0" r="0" b="0"/>
                <wp:wrapNone/>
                <wp:docPr id="102" name="Frame10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3. Determine the transaction price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determined based on the consideration which the Company is expected to be entitled to in exchange for transferring the promised goods or services to the customer. This transaction price is exclusive of amounts collected on behalf of third parties, such as sales tax and value-added tax. The Company rarely provides its customers with price concessions.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rarely has contracts for which the difference between the payment date and the revenue recognition timing is more than 12 months. The primary purpose of the Company’s payment terms is to provide customers with a simple and predictable way to purchase the Company’s subscriptions, not to provide customers with financing.    </w:t>
      </w:r>
    </w:p>
    <w:p>
      <w:pPr>
        <w:pStyle w:val="TextBody"/>
        <w:bidi w:val="0"/>
        <w:spacing w:lineRule="auto" w:line="288" w:before="0" w:after="180"/>
        <w:ind w:left="0" w:right="0" w:firstLine="490"/>
        <w:jc w:val="both"/>
        <w:rPr/>
      </w:pPr>
      <w:r>
        <w:rPr>
          <w:rFonts w:ascii="Times New Roman;sans-serif" w:hAnsi="Times New Roman;sans-serif"/>
          <w:b w:val="false"/>
          <w:color w:val="000000"/>
          <w:sz w:val="20"/>
        </w:rPr>
        <w:t>In addition, the Company has elected to apply the practical expedient for financing component for transactions in which the difference between the payment date and the revenue recognition timing is up to 12 months.</w:t>
      </w:r>
      <w:r>
        <w:rPr>
          <w:color w:val="000000"/>
        </w:rPr>
        <w:t xml:space="preserve"> </w:t>
      </w:r>
    </w:p>
    <w:p>
      <w:pPr>
        <w:pStyle w:val="TextBody"/>
        <w:bidi w:val="0"/>
        <w:spacing w:lineRule="auto" w:line="288" w:before="0" w:after="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4. Allocate the transaction price to performance obligations in the contract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When applicable, the Company allocates the transaction price between the separate performance obligations according to their SSP, which is based on the price at which the performance obligation is sold separately. If the SSP is not observable through past transactions, the Company estimates the SSP taking into account available information, including, but not limited to, pricing practices, market conditions, and the economic life of the software.</w:t>
      </w:r>
    </w:p>
    <w:p>
      <w:pPr>
        <w:pStyle w:val="TextBody"/>
        <w:bidi w:val="0"/>
        <w:spacing w:lineRule="auto" w:line="288" w:before="0" w:after="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5. Recognize revenue when or as the Company satisfies a performance obligation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at the time the related performance obligation is satisfied by transferring the promised good or service to the customer. Revenue is recognized when control of the good or services is transferred to the customer, in an amount that reflects the consideration expected to be received in exchange for those services. A customer obtains control of a good or service if it has the ability to direct the use of and obtain substantially all of the remaining benefits from the good or service.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SaaS and PaaS subscriptions is recognized ratably over the time of the subscription, beginning from the date in which the customer is granted access to the subscription. Revenue from the sale of a term license in On-Prem deals is recognized at a point in time in which the license is delivered to the customer.</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post-contract services included in On-Prem projects is recognized ratably over the time of the PCS.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PS that is accounted for as a separate performance obligation is recognized upon rendering of the service. </w:t>
      </w:r>
    </w:p>
    <w:p>
      <w:pPr>
        <w:pStyle w:val="TextBody"/>
        <w:bidi w:val="0"/>
        <w:spacing w:lineRule="auto" w:line="288" w:before="0" w:after="180"/>
        <w:ind w:left="0" w:right="0" w:firstLine="49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Costs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sales commissions and bonuses earned by the Company's employees and management are considered incremental and recoverable costs of obtaining a contract with a customer. Sales commissions and bonuses for new contracts are deferred and then amortized consistently with the pattern of revenue recognition for each performance obligation for contracts for which the commissions were earned, mainly on a straight-line basis, over a period of benefit that the Company has estimated to be mainly five years. This period of benefit was determined by taking into consideration the technology's useful life.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bonuses for renewal contracts are deferred and then amortized on a straight-line basis over the related contractual renewal period.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deferred costs as current or noncurrent based on the timing of when the Company expects to recognize the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35915"/>
                <wp:effectExtent l="0" t="0" r="0" b="0"/>
                <wp:wrapNone/>
                <wp:docPr id="103" name="Frame10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sales commissions are consistent with the pattern of revenue recognition of each performance obligation and are included in sales and marketing expense in the consolidated statements of operations.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costs incurred to fulfill its contracts when the costs relate directly to a contract and are expected to generate resources that will be used to satisfy the performance obligation under the contract and are expected to be recovered through revenues generated under the contract. Costs to fulfill contracts are expensed to cost of revenue on a straight-line basis over a period of five years which reflects the technological useful life.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ind w:left="0" w:right="0" w:firstLine="490"/>
        <w:jc w:val="both"/>
        <w:rPr/>
      </w:pPr>
      <w:r>
        <w:rPr>
          <w:rFonts w:ascii="Times New Roman;sans-serif" w:hAnsi="Times New Roman;sans-serif"/>
          <w:b w:val="false"/>
          <w:color w:val="000000"/>
          <w:sz w:val="22"/>
        </w:rPr>
        <w:t>C</w:t>
      </w:r>
      <w:r>
        <w:rPr>
          <w:rFonts w:ascii="Times New Roman;sans-serif" w:hAnsi="Times New Roman;sans-serif"/>
          <w:b w:val="false"/>
          <w:color w:val="000000"/>
          <w:sz w:val="20"/>
        </w:rPr>
        <w:t>ost of subscription revenue consists primarily of employee-related costs including payroll, benefits and stock-based compensation expense for operations and customer support teams, costs of cloud hosting providers and other third-party service providers, amortization of capitalized software development costs and acquired technology and allocated overhead costs.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consists primarily of personnel costs of our professional services organization, including payroll, benefits, and stock-based compensation expense, allocated overhead costs and other third-party service providers.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charged to the statements of operations as incurred, except to the extent that such costs are associated with internal-use software that qualifies for 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Internal-Use Software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to develop internal-use software are capitalized and amortized over the estimated useful life of the software, which is generally five years. In accordance with ASC Topic, 350-40, "Internal-Use Software," capitalization of costs to develop internal-use software begins when preliminary development efforts are successfully completed, the Company has committed project funding and it is probable that the project will be completed and the software will be used as intended. Costs related to the maintenance of internal-use software are expensed as incurred.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 Capitalized internal-use software costs are recorded under property and equipment, net.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When events or changes in circumstances require, the Company assesses the likelihood of recovering the cost of internal-use software. If the net book value is not expected to be fully recoverable, internal-use software would be impaired to its fair value. During the years ended December 31, 2023, 2022 and 2021, the Company capitalized $1,660, $5,115 and $4,838 of software development costs, respectively. No impairment was recorded for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include marketing activities, demand generation, events, public relations and brand-building activities. Advertising costs for the years ended December 31, 2023, 2022 and 2021, amounted to $3,951, $5,767 and $5,057, respectively, and are included in sales and marketing expenses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stock-based compensation in accordance with ASC 718,"Compensation - Stock Compensation" ("ASC 718"). ASC 718 requires companies to estimate the fair value of equity-based payment awards on the date of grant using an option-pricing model. The value of the portion of the award is recognized as an expense over the requisite service periods in the Company's consolidated statements of operations.</w:t>
      </w: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35915"/>
                <wp:effectExtent l="0" t="0" r="0" b="0"/>
                <wp:wrapNone/>
                <wp:docPr id="104" name="Frame10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60"/>
        <w:jc w:val="left"/>
        <w:rPr>
          <w:rFonts w:ascii="Times New Roman;sans-serif" w:hAnsi="Times New Roman;sans-serif"/>
          <w:b w:val="false"/>
          <w:i/>
          <w:color w:val="000000"/>
          <w:sz w:val="22"/>
        </w:rPr>
      </w:pPr>
      <w:r>
        <w:rPr>
          <w:rFonts w:ascii="Times New Roman;sans-serif" w:hAnsi="Times New Roman;sans-serif"/>
          <w:b w:val="false"/>
          <w:i/>
          <w:color w:val="000000"/>
          <w:sz w:val="22"/>
        </w:rPr>
        <w:t>Service-Based Awards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stock option awards and restricted stock units (“RSUs”), that vest only based upon the satisfaction of a service condition. For RSUs with performance conditions, expenses are recognized when it is probable that the performance condition will be achieved. The probability of achievement is assessed periodically to determine whether the performance metric continues to be probable. When there is a change in the probability of achievement, any cumulative effect of the change is recognized in the period of the change and the remaining unrecognized compensation will be amortized prospectively over the respective vesting period. The Company selected the Black-Scholes option-pricing model as the most appropriate fair value method for its option awards. The option-pricing model requires a number of assumptions, of which the most significant are the fair value of its common stock, the expected stock price volatility, expected option term, risk-free interest rates and expected dividend yield.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used to determine the fair value of the option awards represent management’s best estimates. These estimates involve inherent uncertainties and the application of management’s judgment. For RSUs, the Company determines the grant-date fair value of the RSUs as the fair value of the Company’s common stock on the grant date.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 for options and stock awards that have a graded vesting schedule and contain only service condition on a straight-line basis over the requisite service period for the entire award. Forfeitures are accounted for as they occur instead of estimating the number of awards expected to be forfeited.</w:t>
      </w:r>
    </w:p>
    <w:p>
      <w:pPr>
        <w:pStyle w:val="TextBody"/>
        <w:bidi w:val="0"/>
        <w:spacing w:lineRule="auto" w:line="288" w:before="0" w:after="60"/>
        <w:jc w:val="left"/>
        <w:rPr>
          <w:rFonts w:ascii="Times New Roman;sans-serif" w:hAnsi="Times New Roman;sans-serif"/>
          <w:b w:val="false"/>
          <w:i/>
          <w:color w:val="000000"/>
          <w:sz w:val="22"/>
        </w:rPr>
      </w:pPr>
      <w:r>
        <w:rPr>
          <w:rFonts w:ascii="Times New Roman;sans-serif" w:hAnsi="Times New Roman;sans-serif"/>
          <w:b w:val="false"/>
          <w:i/>
          <w:color w:val="000000"/>
          <w:sz w:val="22"/>
        </w:rPr>
        <w:t>Market-Based Awards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granted three of its executives stock options that vest only upon the satisfaction of market-based conditions. The market-based conditions reflect specific prices for the Company’s common stock, which must be exceeded for each tranche of the grant to vest.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For market-based awards, the Company determined the grant-date fair value utilizing a Monte Carlo simulation model, which incorporates various assumptions including expected stock price volatility, risk-free interest rates, expected exercise behavior for vested options, expected date of a qualifying event and expected form and timing of a liquidity event. The Company estimated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expenses for the value of its market-based awards based on the accelerated attribution method over the estimated requisite service period of each of the awards. The Company has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business combination in accordance with ASC 805, "Business combinations". ASC 805 requires recognition of assets acquired, liabilities assumed, and any non-controlling interest at the acquisition date, measured at fair values as of that date. Any excess of the fair value of net assets acquired over purchase price and any subsequent changes in estimated contingencies are to be recorded in earnings.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are expensed to the statement of operations in the period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in accordance with ASC 740, "Income Taxes". This codification prescribes the use of the asset and liability method whereby deferred tax asset and liability account balances are determined based on differences between financial reporting and tax bases of assets and liabilities and for carry-forward tax losses.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taxes are measured using the enacted tax rates and laws that will be in effect when the differences are expected to reverse.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valuation allowance, if necessary, to reduce deferred tax assets to their estimated realizable value if it is more likely than not that some portion or all of the deferred tax asset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35915"/>
                <wp:effectExtent l="0" t="0" r="0" b="0"/>
                <wp:wrapNone/>
                <wp:docPr id="105" name="Frame10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uncertain tax positions in accordance with the provisions of ASC 740,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tax benefits recognized in the consolidated financial statements from such a position should be measured based on the largest benefit that has a greater than fifty percent likelihood of being realized upon ultimate settlement. Accordingly, the Company reports a liability for unrecognized tax benefits resulting from uncertain tax positions taken or expected to be taken in a tax return (see also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net loss per share is calculated by dividing net loss attributable to common stockholders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common stock are anti-dilutive.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the Company's initial public offering in July 2021 (“IPO”), the Company computed net loss per share using the two-class method required for participating securities. The two-class method requires income available to common stockholder for the period to be allocated between common stock and participating securities based upon their respective rights to receive dividends as if all income for the period had been distributed. The Company considered its convertible preferred stock to be participating securities as the holders of the convertible preferred stock would be entitled to dividends that would be distributed to the holders of common stock, on a pro-rata basis, assuming the conversion of all outstanding shares of convertible preferred stock into common stock. These participating securities did not contractually require the holders of such stock to participate in the Company’s losses. As such, net loss for the periods presented was not allocated to the Company’s participating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marketable securities, restricted cash and trade receivables.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trade receivables are geographically dispersed and derived from sales to customers mainly in the United States, Europe and Asia. Concentration of credit risk with respect to trade receivables is limited by credit limits, ongoing credit evaluation and account monitoring procedures.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Major customer data as a percentage of total revenues: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customer that represented 10% or more of the Company’s total revenue in each of the periods set forth below:</w:t>
      </w:r>
    </w:p>
    <w:tbl>
      <w:tblPr>
        <w:tblW w:w="6370" w:type="dxa"/>
        <w:jc w:val="left"/>
        <w:tblInd w:w="0" w:type="dxa"/>
        <w:tblLayout w:type="fixed"/>
        <w:tblCellMar>
          <w:top w:w="28" w:type="dxa"/>
          <w:left w:w="28" w:type="dxa"/>
          <w:bottom w:w="28" w:type="dxa"/>
          <w:right w:w="28" w:type="dxa"/>
        </w:tblCellMar>
      </w:tblPr>
      <w:tblGrid>
        <w:gridCol w:w="1037"/>
        <w:gridCol w:w="909"/>
        <w:gridCol w:w="918"/>
        <w:gridCol w:w="109"/>
        <w:gridCol w:w="109"/>
        <w:gridCol w:w="109"/>
        <w:gridCol w:w="308"/>
        <w:gridCol w:w="308"/>
        <w:gridCol w:w="292"/>
        <w:gridCol w:w="109"/>
        <w:gridCol w:w="109"/>
        <w:gridCol w:w="109"/>
        <w:gridCol w:w="271"/>
        <w:gridCol w:w="406"/>
        <w:gridCol w:w="109"/>
        <w:gridCol w:w="109"/>
        <w:gridCol w:w="109"/>
        <w:gridCol w:w="109"/>
        <w:gridCol w:w="271"/>
        <w:gridCol w:w="40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179" w:type="dxa"/>
            <w:gridSpan w:val="15"/>
            <w:tcBorders/>
            <w:tcMar>
              <w:top w:w="0" w:type="dxa"/>
              <w:left w:w="0" w:type="dxa"/>
              <w:bottom w:w="0" w:type="dxa"/>
              <w:right w:w="0" w:type="dxa"/>
            </w:tcMar>
            <w:vAlign w:val="center"/>
          </w:tcPr>
          <w:p>
            <w:pPr>
              <w:pStyle w:val="TableContents"/>
              <w:bidi w:val="0"/>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0"/>
              <w:ind w:left="0" w:right="0" w:hanging="17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9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61"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0"/>
              <w:jc w:val="center"/>
              <w:rPr/>
            </w:pPr>
            <w:r>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61"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908"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61" w:before="0" w:after="0"/>
              <w:ind w:left="0" w:right="0" w:hanging="227"/>
              <w:jc w:val="left"/>
              <w:rPr>
                <w:rFonts w:ascii="Times New Roman;sans-serif" w:hAnsi="Times New Roman;sans-serif"/>
                <w:b w:val="false"/>
                <w:color w:val="000000"/>
                <w:sz w:val="20"/>
              </w:rPr>
            </w:pPr>
            <w:r>
              <w:rPr>
                <w:rFonts w:ascii="Times New Roman;sans-serif" w:hAnsi="Times New Roman;sans-serif"/>
                <w:b w:val="false"/>
                <w:color w:val="000000"/>
                <w:sz w:val="20"/>
              </w:rPr>
              <w:t>Customer A (Media and Telecom)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Represents an amount that is lower than 10% of the Company’s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35915"/>
                <wp:effectExtent l="0" t="0" r="0" b="0"/>
                <wp:wrapNone/>
                <wp:docPr id="106" name="Frame10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"Fair Value Measurements and Disclosures", defines fair value as the price that would be received to sell an asset or paid to transfer a liability (i.e., the "exit price") in an orderly transaction between market participants at the measurement date.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Unobservable inputs are inputs that reflect the Company's assumptions about the assumptions market participants would use in pricing the asset or liability developed based on the best information available in the circumstances.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a basis for considering such assumptions, ASC 820 establishes a three-tier value hierarchy, which prioritizes the inputs used in the valuation methodologies in measuring fair value: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Level 1 -    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Level 2 -    Valuations based on one or more quoted prices in markets that are not active or for which all significant inputs are observable, either directly or indirectly.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Valuations based on inputs that are unobservable and significant to the overall fair value measurement.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restricted cash, trade receivables, prepaid expenses and other current assets, employees and payroll accruals, trade payables, accrued expenses and other current liabilities, current portion of long-term loans and current portion of long-term lease approximate their fair value due to the short-term maturities of such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or one of its subsidiaries become involved in legal proceedings or is subject to claims arising in its ordinary course of business. Such matters are generally subject to many uncertainties and outcomes and are not predictable with assurance. Specifically, the Company might be subject to contractual penalties, including liquidated damages, as well as breach of contract claims, which could result in litigation and cause the Company to incur additional costs, including in the form of additional damages or settlement payments. The Company accrues for contingencies when the loss is probable and it can reasonably estimate the amount of any such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this guidance using modified retrospective approach, effective on January 1, 2023. The adoption did not have a material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Guidance Not Yet Adopted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(FASB) issued Accounting Standard Update (ASU) No. 2023-07, Segment Reporting (Topic 280): Improvements to Reportable Segment Disclosures, which requires to disclose significant segment expenses and other segment items on an annual and interim basis and provide in interim periods all disclosures about a reportable segment’s profit or loss and assets that are currently required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35915"/>
                <wp:effectExtent l="0" t="0" r="0" b="0"/>
                <wp:wrapNone/>
                <wp:docPr id="107" name="Frame10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standard is effective for fiscal years beginning after December 15, 2023, and interim periods within fiscal years beginning after December 15, 2024, with early adoption permitted. The Company is currently evaluating the impact of the adoption of this standard.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issued Accounting Standards Update (“ASU”) 2023-09, “Income Taxes - Improvements to Income Tax Disclosures”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The Company is currently evaluating the impact of the adoption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3: REVENUES FROM CONTRACTS WITH CUSTOMERS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disaggregated revenue by category: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1"/>
        <w:gridCol w:w="563"/>
        <w:gridCol w:w="564"/>
        <w:gridCol w:w="109"/>
        <w:gridCol w:w="109"/>
        <w:gridCol w:w="109"/>
        <w:gridCol w:w="356"/>
        <w:gridCol w:w="1394"/>
        <w:gridCol w:w="183"/>
        <w:gridCol w:w="183"/>
        <w:gridCol w:w="183"/>
        <w:gridCol w:w="183"/>
        <w:gridCol w:w="433"/>
        <w:gridCol w:w="431"/>
        <w:gridCol w:w="1075"/>
        <w:gridCol w:w="109"/>
        <w:gridCol w:w="109"/>
        <w:gridCol w:w="109"/>
        <w:gridCol w:w="211"/>
        <w:gridCol w:w="721"/>
        <w:gridCol w:w="109"/>
        <w:gridCol w:w="109"/>
        <w:gridCol w:w="109"/>
        <w:gridCol w:w="109"/>
        <w:gridCol w:w="406"/>
        <w:gridCol w:w="403"/>
        <w:gridCol w:w="1185"/>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Enterprise, Education and 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Media and Telecom</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revenue</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125,154 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07" w:before="0" w:after="0"/>
        <w:ind w:left="0" w:right="0" w:hanging="1134"/>
        <w:jc w:val="both"/>
        <w:rPr>
          <w:rFonts w:ascii="Times New Roman;sans-serif" w:hAnsi="Times New Roman;sans-serif"/>
          <w:b/>
          <w:color w:val="000000"/>
          <w:sz w:val="22"/>
        </w:rPr>
      </w:pPr>
      <w:r>
        <w:rPr>
          <w:rFonts w:ascii="Times New Roman;sans-serif" w:hAnsi="Times New Roman;sans-serif"/>
          <w:b/>
          <w:color w:val="000000"/>
          <w:sz w:val="22"/>
        </w:rPr>
      </w:r>
    </w:p>
    <w:tbl>
      <w:tblPr>
        <w:tblW w:w="10205" w:type="dxa"/>
        <w:jc w:val="left"/>
        <w:tblInd w:w="0" w:type="dxa"/>
        <w:tblLayout w:type="fixed"/>
        <w:tblCellMar>
          <w:top w:w="28" w:type="dxa"/>
          <w:left w:w="28" w:type="dxa"/>
          <w:bottom w:w="28" w:type="dxa"/>
          <w:right w:w="28" w:type="dxa"/>
        </w:tblCellMar>
      </w:tblPr>
      <w:tblGrid>
        <w:gridCol w:w="641"/>
        <w:gridCol w:w="563"/>
        <w:gridCol w:w="564"/>
        <w:gridCol w:w="109"/>
        <w:gridCol w:w="109"/>
        <w:gridCol w:w="109"/>
        <w:gridCol w:w="356"/>
        <w:gridCol w:w="1394"/>
        <w:gridCol w:w="183"/>
        <w:gridCol w:w="183"/>
        <w:gridCol w:w="183"/>
        <w:gridCol w:w="183"/>
        <w:gridCol w:w="433"/>
        <w:gridCol w:w="431"/>
        <w:gridCol w:w="1075"/>
        <w:gridCol w:w="109"/>
        <w:gridCol w:w="109"/>
        <w:gridCol w:w="109"/>
        <w:gridCol w:w="211"/>
        <w:gridCol w:w="721"/>
        <w:gridCol w:w="109"/>
        <w:gridCol w:w="109"/>
        <w:gridCol w:w="109"/>
        <w:gridCol w:w="109"/>
        <w:gridCol w:w="406"/>
        <w:gridCol w:w="403"/>
        <w:gridCol w:w="1185"/>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Enterprise, Education and 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Media and Telecom</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revenue</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1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120,190 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0"/>
        <w:jc w:val="left"/>
        <w:rPr/>
      </w:pPr>
      <w:r>
        <w:rPr/>
      </w:r>
    </w:p>
    <w:tbl>
      <w:tblPr>
        <w:tblW w:w="10205" w:type="dxa"/>
        <w:jc w:val="left"/>
        <w:tblInd w:w="0" w:type="dxa"/>
        <w:tblLayout w:type="fixed"/>
        <w:tblCellMar>
          <w:top w:w="28" w:type="dxa"/>
          <w:left w:w="28" w:type="dxa"/>
          <w:bottom w:w="28" w:type="dxa"/>
          <w:right w:w="28" w:type="dxa"/>
        </w:tblCellMar>
      </w:tblPr>
      <w:tblGrid>
        <w:gridCol w:w="641"/>
        <w:gridCol w:w="563"/>
        <w:gridCol w:w="564"/>
        <w:gridCol w:w="109"/>
        <w:gridCol w:w="109"/>
        <w:gridCol w:w="109"/>
        <w:gridCol w:w="356"/>
        <w:gridCol w:w="1394"/>
        <w:gridCol w:w="183"/>
        <w:gridCol w:w="183"/>
        <w:gridCol w:w="183"/>
        <w:gridCol w:w="183"/>
        <w:gridCol w:w="433"/>
        <w:gridCol w:w="431"/>
        <w:gridCol w:w="1075"/>
        <w:gridCol w:w="109"/>
        <w:gridCol w:w="109"/>
        <w:gridCol w:w="109"/>
        <w:gridCol w:w="211"/>
        <w:gridCol w:w="721"/>
        <w:gridCol w:w="109"/>
        <w:gridCol w:w="109"/>
        <w:gridCol w:w="109"/>
        <w:gridCol w:w="109"/>
        <w:gridCol w:w="406"/>
        <w:gridCol w:w="403"/>
        <w:gridCol w:w="1185"/>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Enterprise, Education and 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Media and Telecom</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revenue</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1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118,932 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60" w:after="12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35915"/>
                <wp:effectExtent l="0" t="0" r="0" b="0"/>
                <wp:wrapNone/>
                <wp:docPr id="108" name="Frame10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deferred revenue. Revenue is deferred when the Company invoices in advance of performance under a contract. The current portion of the deferred revenue balance is recognized as revenue during the 12-month period after the balance sheet date.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noncurrent portion of the deferred revenue balance is recognized as revenue following the 12-month period after the balance sheet date.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the revenue that was included in the deferred revenue, current as of January 1, 2023, was recognized as revenue during 2023.</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amount of contracted future revenue that has not yet been recognized, including both deferred revenue and contracted amounts that will be invoiced and recognized as revenue in future periods. As of December 31, 2023, the aggregate amount of the transaction price allocated to remaining performance obligations was $185,305, which consists of both billed consideration in the amount of $62,733 and unbilled consideration in the amount of $122,572 that the Company expects to recognize as revenue and was not yet recognized on the balance sheet. The Company expects to recognize 59% of its remaining performance obligations as revenue in the year ending December 31, 2024, and the remainder thereafter.</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Costs to Obtain a Contract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costs to obtain a contract:</w:t>
      </w:r>
    </w:p>
    <w:p>
      <w:pPr>
        <w:pStyle w:val="TextBody"/>
        <w:bidi w:val="0"/>
        <w:spacing w:before="0" w:after="0"/>
        <w:jc w:val="both"/>
        <w:rPr/>
      </w:pPr>
      <w:r>
        <w:rPr/>
      </w:r>
    </w:p>
    <w:tbl>
      <w:tblPr>
        <w:tblW w:w="9563" w:type="dxa"/>
        <w:jc w:val="left"/>
        <w:tblInd w:w="0" w:type="dxa"/>
        <w:tblLayout w:type="fixed"/>
        <w:tblCellMar>
          <w:top w:w="28" w:type="dxa"/>
          <w:left w:w="28" w:type="dxa"/>
          <w:bottom w:w="28" w:type="dxa"/>
          <w:right w:w="28" w:type="dxa"/>
        </w:tblCellMar>
      </w:tblPr>
      <w:tblGrid>
        <w:gridCol w:w="1961"/>
        <w:gridCol w:w="1720"/>
        <w:gridCol w:w="173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contract acquisition costs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costs to obtain a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34"/>
        <w:jc w:val="both"/>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Costs to Fulfill a Contract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costs to fulfill a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35915"/>
                <wp:effectExtent l="0" t="0" r="0" b="0"/>
                <wp:wrapNone/>
                <wp:docPr id="109" name="Frame10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tbl>
      <w:tblPr>
        <w:tblW w:w="9143" w:type="dxa"/>
        <w:jc w:val="left"/>
        <w:tblInd w:w="0" w:type="dxa"/>
        <w:tblLayout w:type="fixed"/>
        <w:tblCellMar>
          <w:top w:w="28" w:type="dxa"/>
          <w:left w:w="28" w:type="dxa"/>
          <w:bottom w:w="28" w:type="dxa"/>
          <w:right w:w="28" w:type="dxa"/>
        </w:tblCellMar>
      </w:tblPr>
      <w:tblGrid>
        <w:gridCol w:w="1924"/>
        <w:gridCol w:w="1688"/>
        <w:gridCol w:w="1697"/>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costs to fulfill a contract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to fulfill a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fulfillment costs,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fulfillment costs,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costs to fulfill a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4: MARKETABLE SECURITIES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available-for-sale marketable securities as of December 31, 2023 and December 31, 2022, respectively:</w:t>
      </w:r>
    </w:p>
    <w:tbl>
      <w:tblPr>
        <w:tblW w:w="10205" w:type="dxa"/>
        <w:jc w:val="left"/>
        <w:tblInd w:w="0" w:type="dxa"/>
        <w:tblLayout w:type="fixed"/>
        <w:tblCellMar>
          <w:top w:w="28" w:type="dxa"/>
          <w:left w:w="28" w:type="dxa"/>
          <w:bottom w:w="28" w:type="dxa"/>
          <w:right w:w="28" w:type="dxa"/>
        </w:tblCellMar>
      </w:tblPr>
      <w:tblGrid>
        <w:gridCol w:w="1115"/>
        <w:gridCol w:w="980"/>
        <w:gridCol w:w="982"/>
        <w:gridCol w:w="109"/>
        <w:gridCol w:w="109"/>
        <w:gridCol w:w="109"/>
        <w:gridCol w:w="259"/>
        <w:gridCol w:w="886"/>
        <w:gridCol w:w="133"/>
        <w:gridCol w:w="109"/>
        <w:gridCol w:w="109"/>
        <w:gridCol w:w="109"/>
        <w:gridCol w:w="527"/>
        <w:gridCol w:w="904"/>
        <w:gridCol w:w="275"/>
        <w:gridCol w:w="109"/>
        <w:gridCol w:w="109"/>
        <w:gridCol w:w="109"/>
        <w:gridCol w:w="506"/>
        <w:gridCol w:w="975"/>
        <w:gridCol w:w="262"/>
        <w:gridCol w:w="109"/>
        <w:gridCol w:w="109"/>
        <w:gridCol w:w="109"/>
        <w:gridCol w:w="211"/>
        <w:gridCol w:w="721"/>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 matures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 matures after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5"/>
        <w:gridCol w:w="981"/>
        <w:gridCol w:w="982"/>
        <w:gridCol w:w="109"/>
        <w:gridCol w:w="109"/>
        <w:gridCol w:w="109"/>
        <w:gridCol w:w="259"/>
        <w:gridCol w:w="886"/>
        <w:gridCol w:w="133"/>
        <w:gridCol w:w="109"/>
        <w:gridCol w:w="109"/>
        <w:gridCol w:w="109"/>
        <w:gridCol w:w="495"/>
        <w:gridCol w:w="954"/>
        <w:gridCol w:w="256"/>
        <w:gridCol w:w="109"/>
        <w:gridCol w:w="109"/>
        <w:gridCol w:w="109"/>
        <w:gridCol w:w="458"/>
        <w:gridCol w:w="1047"/>
        <w:gridCol w:w="239"/>
        <w:gridCol w:w="109"/>
        <w:gridCol w:w="109"/>
        <w:gridCol w:w="109"/>
        <w:gridCol w:w="211"/>
        <w:gridCol w:w="721"/>
        <w:gridCol w:w="160"/>
      </w:tblGrid>
      <w:tr>
        <w:trPr/>
        <w:tc>
          <w:tcPr>
            <w:tcW w:w="111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 matures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did not record an allowance for credit losses for its available-for-sale marketable debt securities and all of the gross unrealized losses of the Company's marketable securities have been in a continuous loss position for less than 12 months. There were no gains or losses from available-for-sale marketable securities that were reclassified out of accumulated other comprehensive loss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NOTE 5: FAIR VALUE MEASUREMENTS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 the Company measures its cash equivalents and marketable securities at fair value using the market approach valuation technique. Cash equivalents and marketable securities are classified within Level 1 or Level 2 because these assets are valued using quoted market prices or alternative pricing sources and models utilizing market observable inputs. Foreign currency derivative contracts are classified within the Level 2 value hierarchy, as the valuation inputs are based on quoted prices and market observable data of similar instruments.</w:t>
      </w:r>
    </w:p>
    <w:tbl>
      <w:tblPr>
        <w:tblW w:w="10205" w:type="dxa"/>
        <w:jc w:val="left"/>
        <w:tblInd w:w="0" w:type="dxa"/>
        <w:tblLayout w:type="fixed"/>
        <w:tblCellMar>
          <w:top w:w="28" w:type="dxa"/>
          <w:left w:w="28" w:type="dxa"/>
          <w:bottom w:w="28" w:type="dxa"/>
          <w:right w:w="28" w:type="dxa"/>
        </w:tblCellMar>
      </w:tblPr>
      <w:tblGrid>
        <w:gridCol w:w="1720"/>
        <w:gridCol w:w="1506"/>
        <w:gridCol w:w="1510"/>
        <w:gridCol w:w="109"/>
        <w:gridCol w:w="109"/>
        <w:gridCol w:w="109"/>
        <w:gridCol w:w="513"/>
        <w:gridCol w:w="513"/>
        <w:gridCol w:w="515"/>
        <w:gridCol w:w="109"/>
        <w:gridCol w:w="109"/>
        <w:gridCol w:w="109"/>
        <w:gridCol w:w="291"/>
        <w:gridCol w:w="993"/>
        <w:gridCol w:w="149"/>
        <w:gridCol w:w="118"/>
        <w:gridCol w:w="118"/>
        <w:gridCol w:w="118"/>
        <w:gridCol w:w="287"/>
        <w:gridCol w:w="982"/>
        <w:gridCol w:w="218"/>
      </w:tblGrid>
      <w:tr>
        <w:trPr/>
        <w:tc>
          <w:tcPr>
            <w:tcW w:w="172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0"/>
              </w:rPr>
              <w:br/>
            </w:r>
            <w:r>
              <w:rPr>
                <w:rFonts w:ascii="Times New Roman;sans-serif" w:hAnsi="Times New Roman;sans-serif"/>
                <w:b/>
                <w:color w:val="000000"/>
                <w:sz w:val="20"/>
              </w:rPr>
              <w:t>Fair Value Measurements As Of</w:t>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Measured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bank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forward contracts designated as hedging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bank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liability included in 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forward contracts designated as hedging instruments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35915"/>
                <wp:effectExtent l="0" t="0" r="0" b="0"/>
                <wp:wrapNone/>
                <wp:docPr id="110" name="Frame10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6: DERIVATIVES AND HEDGING</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forward, put and call option contracts to hedge certain forecasted payroll costs denominated in NIS against exchange rate fluctuations of the U.S. dollar for a period of up to twelve months. The Company recorded the cash flows associated with these derivatives under operating activities. The Company does not use derivative instruments for trading or speculative purposes.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Notional Amount of Foreign Currency Contracts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outstanding contracts designated as hedging instruments in the aggregate notional amount of $15,093 and $8,345 as of December 31, 2023 and December 31, 2022, respectively. The fair value of the Company’s outstanding contracts amounted to an asset of $998 as of December 31, 2023 and a liability of $120 as of December 31, 2022. These assets and liabilities were recorded under prepaid expenses and other current assets and accrued expenses and other current liabilities. Losses of $2,241 and $1,418 was reclassified from accumulated other comprehensive income (loss) during the year ended December 31, 2023 and 2022, respectively. Such losses was reclassified from accumulated other comprehensive income (loss) when the related expenses were incurred. The Company did not enter into hedging contracts during the year ended December 31, 2021.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Effect of Foreign Currency Contracts on the Consolidated Statements of Operations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foreign currency contracts on the consolidated statements of operations during the year ended December 31, 2023 and 2022 was as follows:</w:t>
      </w:r>
    </w:p>
    <w:tbl>
      <w:tblPr>
        <w:tblW w:w="9276"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623"/>
        <w:gridCol w:w="1825"/>
        <w:gridCol w:w="326"/>
        <w:gridCol w:w="109"/>
        <w:gridCol w:w="109"/>
        <w:gridCol w:w="109"/>
        <w:gridCol w:w="605"/>
        <w:gridCol w:w="1769"/>
        <w:gridCol w:w="445"/>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4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35915"/>
                <wp:effectExtent l="0" t="0" r="0" b="0"/>
                <wp:wrapNone/>
                <wp:docPr id="111" name="Frame10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7: LEASES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office facilities under agreements that expire at various dates through July 2032.</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operating lease expense were as follows:</w:t>
      </w:r>
    </w:p>
    <w:tbl>
      <w:tblPr>
        <w:tblW w:w="8046"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623"/>
        <w:gridCol w:w="1825"/>
        <w:gridCol w:w="326"/>
        <w:gridCol w:w="109"/>
        <w:gridCol w:w="109"/>
        <w:gridCol w:w="109"/>
        <w:gridCol w:w="605"/>
        <w:gridCol w:w="1769"/>
        <w:gridCol w:w="445"/>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4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Supplementary cash flow information related to operating leases was as follows:</w:t>
      </w:r>
    </w:p>
    <w:tbl>
      <w:tblPr>
        <w:tblW w:w="8797"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623"/>
        <w:gridCol w:w="1825"/>
        <w:gridCol w:w="326"/>
        <w:gridCol w:w="109"/>
        <w:gridCol w:w="109"/>
        <w:gridCol w:w="109"/>
        <w:gridCol w:w="605"/>
        <w:gridCol w:w="1769"/>
        <w:gridCol w:w="445"/>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weighted-average discount rate is 4.8% and the weighted-average remaining term is 8.1 years. Maturities of the Company’s operating lease liabilities as of December 31, 2023 were as follows:</w:t>
      </w:r>
    </w:p>
    <w:tbl>
      <w:tblPr>
        <w:tblW w:w="4067"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35915"/>
                <wp:effectExtent l="0" t="0" r="0" b="0"/>
                <wp:wrapNone/>
                <wp:docPr id="112" name="Frame1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8: COMMITMENTS AND CONTINGENCIES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non-cancelable agreements with third-party providers for use of mainly cloud and other services, under which it committed to minimum and fixed purchases through the year ending December 31, 2026.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the aggregate future non-cancelable purchase commitments under such agreements as of December 31, 2023:</w:t>
      </w:r>
    </w:p>
    <w:tbl>
      <w:tblPr>
        <w:tblW w:w="5004" w:type="dxa"/>
        <w:jc w:val="left"/>
        <w:tblInd w:w="0" w:type="dxa"/>
        <w:tblLayout w:type="fixed"/>
        <w:tblCellMar>
          <w:top w:w="28" w:type="dxa"/>
          <w:left w:w="28" w:type="dxa"/>
          <w:bottom w:w="28" w:type="dxa"/>
          <w:right w:w="28" w:type="dxa"/>
        </w:tblCellMar>
      </w:tblPr>
      <w:tblGrid>
        <w:gridCol w:w="1041"/>
        <w:gridCol w:w="916"/>
        <w:gridCol w:w="918"/>
        <w:gridCol w:w="192"/>
        <w:gridCol w:w="192"/>
        <w:gridCol w:w="192"/>
        <w:gridCol w:w="211"/>
        <w:gridCol w:w="721"/>
        <w:gridCol w:w="621"/>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490"/>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287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26,745 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28,471 </w:t>
            </w:r>
          </w:p>
        </w:tc>
        <w:tc>
          <w:tcPr>
            <w:tcW w:w="621" w:type="dxa"/>
            <w:tcBorders/>
            <w:shd w:fill="CCEEFF"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1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86,529 </w:t>
            </w:r>
          </w:p>
        </w:tc>
        <w:tc>
          <w:tcPr>
            <w:tcW w:w="6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occasionally a party to claims or litigation in the normal course of the business. The Company does not believe that it is a party to any pending legal proceeding that is likely to have a material adverse effect on its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9: CONSOLIDATED BALANCE SHEET COMPONENTS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12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p>
      <w:pPr>
        <w:pStyle w:val="TextBody"/>
        <w:bidi w:val="0"/>
        <w:spacing w:before="0" w:after="0"/>
        <w:jc w:val="left"/>
        <w:rPr/>
      </w:pPr>
      <w:r>
        <w:rPr/>
      </w:r>
    </w:p>
    <w:tbl>
      <w:tblPr>
        <w:tblW w:w="4686" w:type="dxa"/>
        <w:jc w:val="left"/>
        <w:tblInd w:w="0" w:type="dxa"/>
        <w:tblLayout w:type="fixed"/>
        <w:tblCellMar>
          <w:top w:w="28" w:type="dxa"/>
          <w:left w:w="28" w:type="dxa"/>
          <w:bottom w:w="28" w:type="dxa"/>
          <w:right w:w="28" w:type="dxa"/>
        </w:tblCellMar>
      </w:tblPr>
      <w:tblGrid>
        <w:gridCol w:w="766"/>
        <w:gridCol w:w="672"/>
        <w:gridCol w:w="677"/>
        <w:gridCol w:w="109"/>
        <w:gridCol w:w="109"/>
        <w:gridCol w:w="109"/>
        <w:gridCol w:w="211"/>
        <w:gridCol w:w="616"/>
        <w:gridCol w:w="109"/>
        <w:gridCol w:w="109"/>
        <w:gridCol w:w="109"/>
        <w:gridCol w:w="109"/>
        <w:gridCol w:w="211"/>
        <w:gridCol w:w="61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bank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35915"/>
                <wp:effectExtent l="0" t="0" r="0" b="0"/>
                <wp:wrapNone/>
                <wp:docPr id="113" name="Frame1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Composition of property and equipment is as follows:</w:t>
      </w:r>
    </w:p>
    <w:p>
      <w:pPr>
        <w:pStyle w:val="TextBody"/>
        <w:bidi w:val="0"/>
        <w:spacing w:before="0" w:after="0"/>
        <w:jc w:val="both"/>
        <w:rPr/>
      </w:pPr>
      <w:r>
        <w:rPr/>
      </w:r>
    </w:p>
    <w:tbl>
      <w:tblPr>
        <w:tblW w:w="7295" w:type="dxa"/>
        <w:jc w:val="left"/>
        <w:tblInd w:w="0" w:type="dxa"/>
        <w:tblLayout w:type="fixed"/>
        <w:tblCellMar>
          <w:top w:w="28" w:type="dxa"/>
          <w:left w:w="28" w:type="dxa"/>
          <w:bottom w:w="28" w:type="dxa"/>
          <w:right w:w="28" w:type="dxa"/>
        </w:tblCellMar>
      </w:tblPr>
      <w:tblGrid>
        <w:gridCol w:w="1629"/>
        <w:gridCol w:w="1436"/>
        <w:gridCol w:w="1449"/>
        <w:gridCol w:w="109"/>
        <w:gridCol w:w="109"/>
        <w:gridCol w:w="109"/>
        <w:gridCol w:w="211"/>
        <w:gridCol w:w="721"/>
        <w:gridCol w:w="109"/>
        <w:gridCol w:w="109"/>
        <w:gridCol w:w="109"/>
        <w:gridCol w:w="109"/>
        <w:gridCol w:w="211"/>
        <w:gridCol w:w="721"/>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peripheral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leases of computers and peripheral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expenses for the years ended December 31, 2023, 2022 and 2021 were $4,162, $2,042 and $2,791, respectively.</w:t>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Other assets, noncurrent</w:t>
      </w:r>
    </w:p>
    <w:tbl>
      <w:tblPr>
        <w:tblW w:w="428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1"/>
        <w:gridCol w:w="616"/>
        <w:gridCol w:w="109"/>
        <w:gridCol w:w="109"/>
        <w:gridCol w:w="109"/>
        <w:gridCol w:w="109"/>
        <w:gridCol w:w="211"/>
        <w:gridCol w:w="61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tbl>
      <w:tblPr>
        <w:tblW w:w="4791" w:type="dxa"/>
        <w:jc w:val="left"/>
        <w:tblInd w:w="0" w:type="dxa"/>
        <w:tblLayout w:type="fixed"/>
        <w:tblCellMar>
          <w:top w:w="28" w:type="dxa"/>
          <w:left w:w="28" w:type="dxa"/>
          <w:bottom w:w="28" w:type="dxa"/>
          <w:right w:w="28" w:type="dxa"/>
        </w:tblCellMar>
      </w:tblPr>
      <w:tblGrid>
        <w:gridCol w:w="728"/>
        <w:gridCol w:w="638"/>
        <w:gridCol w:w="644"/>
        <w:gridCol w:w="109"/>
        <w:gridCol w:w="109"/>
        <w:gridCol w:w="109"/>
        <w:gridCol w:w="211"/>
        <w:gridCol w:w="721"/>
        <w:gridCol w:w="109"/>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35915"/>
                <wp:effectExtent l="0" t="0" r="0" b="0"/>
                <wp:wrapNone/>
                <wp:docPr id="114" name="Frame11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00" w:after="180"/>
        <w:jc w:val="left"/>
        <w:rPr>
          <w:rFonts w:ascii="Times New Roman;sans-serif" w:hAnsi="Times New Roman;sans-serif"/>
          <w:b/>
          <w:color w:val="000000"/>
          <w:sz w:val="22"/>
        </w:rPr>
      </w:pPr>
      <w:r>
        <w:rPr>
          <w:rFonts w:ascii="Times New Roman;sans-serif" w:hAnsi="Times New Roman;sans-serif"/>
          <w:b/>
          <w:color w:val="000000"/>
          <w:sz w:val="22"/>
        </w:rPr>
        <w:t>NOTE 10: GOODWILL AND INTANGIBLE ASSETS, NET</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accumulated amortization expenses of the intangible assets, as of December 31, 2023, and December 31, 2022, were as follows:</w:t>
      </w:r>
    </w:p>
    <w:tbl>
      <w:tblPr>
        <w:tblW w:w="9959"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1423"/>
        <w:gridCol w:w="1423"/>
        <w:gridCol w:w="1428"/>
        <w:gridCol w:w="112"/>
        <w:gridCol w:w="112"/>
        <w:gridCol w:w="112"/>
        <w:gridCol w:w="218"/>
        <w:gridCol w:w="715"/>
        <w:gridCol w:w="15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useful life (in years)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Gross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Accumulated amortization and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67"/>
        <w:jc w:val="both"/>
        <w:rPr/>
      </w:pPr>
      <w:r>
        <w:rPr/>
      </w:r>
    </w:p>
    <w:tbl>
      <w:tblPr>
        <w:tblW w:w="10205" w:type="dxa"/>
        <w:jc w:val="left"/>
        <w:tblInd w:w="0" w:type="dxa"/>
        <w:tblLayout w:type="fixed"/>
        <w:tblCellMar>
          <w:top w:w="28" w:type="dxa"/>
          <w:left w:w="28" w:type="dxa"/>
          <w:bottom w:w="28" w:type="dxa"/>
          <w:right w:w="28" w:type="dxa"/>
        </w:tblCellMar>
      </w:tblPr>
      <w:tblGrid>
        <w:gridCol w:w="1389"/>
        <w:gridCol w:w="1218"/>
        <w:gridCol w:w="1227"/>
        <w:gridCol w:w="109"/>
        <w:gridCol w:w="109"/>
        <w:gridCol w:w="109"/>
        <w:gridCol w:w="1423"/>
        <w:gridCol w:w="1423"/>
        <w:gridCol w:w="1428"/>
        <w:gridCol w:w="147"/>
        <w:gridCol w:w="147"/>
        <w:gridCol w:w="147"/>
        <w:gridCol w:w="284"/>
        <w:gridCol w:w="833"/>
        <w:gridCol w:w="212"/>
      </w:tblGrid>
      <w:tr>
        <w:trPr/>
        <w:tc>
          <w:tcPr>
            <w:tcW w:w="138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9"/>
            <w:tcBorders/>
            <w:tcMar>
              <w:top w:w="0" w:type="dxa"/>
              <w:left w:w="0" w:type="dxa"/>
              <w:bottom w:w="0" w:type="dxa"/>
              <w:right w:w="0" w:type="dxa"/>
            </w:tcMar>
            <w:vAlign w:val="center"/>
          </w:tcPr>
          <w:p>
            <w:pPr>
              <w:pStyle w:val="TableContents"/>
              <w:bidi w:val="0"/>
              <w:spacing w:lineRule="auto" w:line="240"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remaining useful life (in years)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Gross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Accumulated amortization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21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2022 and 2021, the Company recorded amortization expenses in the amount of $555, $665 and $1,005, respectively, included in cost of revenue and sales and marketing expenses in the consolidated statements of operations.</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35915"/>
                <wp:effectExtent l="0" t="0" r="0" b="0"/>
                <wp:wrapNone/>
                <wp:docPr id="115" name="Frame1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amortization expense of intangible assets as of December 31, 2023, is as follows:</w:t>
      </w:r>
    </w:p>
    <w:p>
      <w:pPr>
        <w:pStyle w:val="TextBody"/>
        <w:bidi w:val="0"/>
        <w:spacing w:before="0" w:after="0"/>
        <w:ind w:left="0" w:right="0" w:hanging="567"/>
        <w:jc w:val="both"/>
        <w:rPr/>
      </w:pPr>
      <w:r>
        <w:rPr/>
      </w:r>
    </w:p>
    <w:tbl>
      <w:tblPr>
        <w:tblW w:w="2173"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331"/>
        <w:gridCol w:w="732"/>
        <w:gridCol w:w="24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34"/>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$11,070 at December 31, 2023 and December 31, 2022 with $9,381 allocated to the M&amp;T segment and $1,689 to the EE&amp;T segment. There were no changes in the carrying amount of goodwill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11: INCOME TAXES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subsidiaries are separately taxed under the domestic tax laws of the jurisdiction of incorporation of each entity.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Loss (income) before taxes on income is comprised as follows:</w:t>
      </w:r>
    </w:p>
    <w:p>
      <w:pPr>
        <w:pStyle w:val="TextBody"/>
        <w:bidi w:val="0"/>
        <w:spacing w:before="0" w:after="0"/>
        <w:ind w:left="0" w:right="0" w:hanging="567"/>
        <w:jc w:val="both"/>
        <w:rPr/>
      </w:pPr>
      <w:r>
        <w:rPr/>
      </w:r>
    </w:p>
    <w:tbl>
      <w:tblPr>
        <w:tblW w:w="6563" w:type="dxa"/>
        <w:jc w:val="left"/>
        <w:tblInd w:w="0" w:type="dxa"/>
        <w:tblLayout w:type="fixed"/>
        <w:tblCellMar>
          <w:top w:w="28" w:type="dxa"/>
          <w:left w:w="28" w:type="dxa"/>
          <w:bottom w:w="28" w:type="dxa"/>
          <w:right w:w="28" w:type="dxa"/>
        </w:tblCellMar>
      </w:tblPr>
      <w:tblGrid>
        <w:gridCol w:w="875"/>
        <w:gridCol w:w="768"/>
        <w:gridCol w:w="77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37,455 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60,627 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52,781 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67"/>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35915"/>
                <wp:effectExtent l="0" t="0" r="0" b="0"/>
                <wp:wrapNone/>
                <wp:docPr id="116" name="Frame1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was as follows:</w:t>
      </w:r>
    </w:p>
    <w:p>
      <w:pPr>
        <w:pStyle w:val="TextBody"/>
        <w:bidi w:val="0"/>
        <w:spacing w:before="0" w:after="0"/>
        <w:ind w:left="0" w:right="0" w:hanging="567"/>
        <w:jc w:val="both"/>
        <w:rPr/>
      </w:pPr>
      <w:r>
        <w:rPr/>
      </w:r>
    </w:p>
    <w:tbl>
      <w:tblPr>
        <w:tblW w:w="6593"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As of December 31, 2023 and 2022, the Company has provided a full valuation allowance in respect of deferred tax assets. Management currently believes that it is more likely than not that the deferred tax regarding the tax loss carry forwards and other temporary differences will not be realized in the foreseeable future in the U.S.</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35915"/>
                <wp:effectExtent l="0" t="0" r="0" b="0"/>
                <wp:wrapNone/>
                <wp:docPr id="117" name="Frame1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are as follows:</w:t>
      </w:r>
    </w:p>
    <w:p>
      <w:pPr>
        <w:pStyle w:val="TextBody"/>
        <w:bidi w:val="0"/>
        <w:spacing w:before="0" w:after="0"/>
        <w:jc w:val="both"/>
        <w:rPr/>
      </w:pPr>
      <w:r>
        <w:rPr/>
      </w:r>
    </w:p>
    <w:tbl>
      <w:tblPr>
        <w:tblW w:w="7578" w:type="dxa"/>
        <w:jc w:val="left"/>
        <w:tblInd w:w="0" w:type="dxa"/>
        <w:tblLayout w:type="fixed"/>
        <w:tblCellMar>
          <w:top w:w="28" w:type="dxa"/>
          <w:left w:w="28" w:type="dxa"/>
          <w:bottom w:w="28" w:type="dxa"/>
          <w:right w:w="28" w:type="dxa"/>
        </w:tblCellMar>
      </w:tblPr>
      <w:tblGrid>
        <w:gridCol w:w="1568"/>
        <w:gridCol w:w="1373"/>
        <w:gridCol w:w="1379"/>
        <w:gridCol w:w="109"/>
        <w:gridCol w:w="109"/>
        <w:gridCol w:w="109"/>
        <w:gridCol w:w="211"/>
        <w:gridCol w:w="796"/>
        <w:gridCol w:w="109"/>
        <w:gridCol w:w="109"/>
        <w:gridCol w:w="109"/>
        <w:gridCol w:w="109"/>
        <w:gridCol w:w="211"/>
        <w:gridCol w:w="796"/>
        <w:gridCol w:w="109"/>
        <w:gridCol w:w="109"/>
        <w:gridCol w:w="109"/>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business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&amp;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before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and fulfillment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U.S. parent company had a net U.S. operating loss carry forward ("NOLs") for federal income tax purposes of approximately $258,007 and U.S. state NOLs of approximately $183,555. Out of the operating losses attributed to the U.S. parent company, $143,229 were generated before January 1, 2018, and are subject to the 20-year carryforward period. The remaining $114,778 can be carried forward indefinitely but are subject to the 80% taxable income limitation.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Utilization of the U.S. net operating losses above may be subject to substantial annual limitations due to the "change in ownership" provisions of the Internal Revenue Code of 1986 and similar state provisions. The annual limitation may result in the expiration of substantial net operating losses before utilization (the 80% limitation was waived for NOLs utilized in 2019 and 2020 under the CARES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35915"/>
                <wp:effectExtent l="0" t="0" r="0" b="0"/>
                <wp:wrapNone/>
                <wp:docPr id="118" name="Frame1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analyzed the impact of Section 382 on its NOLs through 2020 and believes that the NOLs are not materially limited by Section 382. However, any future changes of ownership could impact the Company’s ability to utilize NOLs.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Company's theoretical income tax expense to actual income tax expense is as follows:</w:t>
      </w:r>
    </w:p>
    <w:p>
      <w:pPr>
        <w:pStyle w:val="TextBody"/>
        <w:bidi w:val="0"/>
        <w:spacing w:before="0" w:after="0"/>
        <w:ind w:left="0" w:right="0" w:hanging="567"/>
        <w:jc w:val="both"/>
        <w:rPr/>
      </w:pPr>
      <w:r>
        <w:rPr/>
      </w:r>
    </w:p>
    <w:p>
      <w:pPr>
        <w:pStyle w:val="TextBody"/>
        <w:bidi w:val="0"/>
        <w:spacing w:before="0" w:after="0"/>
        <w:ind w:left="0" w:right="0" w:hanging="567"/>
        <w:jc w:val="both"/>
        <w:rPr/>
      </w:pPr>
      <w:r>
        <w:rPr/>
      </w:r>
    </w:p>
    <w:tbl>
      <w:tblPr>
        <w:tblW w:w="10205" w:type="dxa"/>
        <w:jc w:val="left"/>
        <w:tblInd w:w="0" w:type="dxa"/>
        <w:tblLayout w:type="fixed"/>
        <w:tblCellMar>
          <w:top w:w="28" w:type="dxa"/>
          <w:left w:w="28" w:type="dxa"/>
          <w:bottom w:w="28" w:type="dxa"/>
          <w:right w:w="28" w:type="dxa"/>
        </w:tblCellMar>
      </w:tblPr>
      <w:tblGrid>
        <w:gridCol w:w="1979"/>
        <w:gridCol w:w="1723"/>
        <w:gridCol w:w="1727"/>
        <w:gridCol w:w="109"/>
        <w:gridCol w:w="109"/>
        <w:gridCol w:w="109"/>
        <w:gridCol w:w="211"/>
        <w:gridCol w:w="721"/>
        <w:gridCol w:w="271"/>
        <w:gridCol w:w="109"/>
        <w:gridCol w:w="109"/>
        <w:gridCol w:w="109"/>
        <w:gridCol w:w="211"/>
        <w:gridCol w:w="790"/>
        <w:gridCol w:w="271"/>
        <w:gridCol w:w="109"/>
        <w:gridCol w:w="109"/>
        <w:gridCol w:w="109"/>
        <w:gridCol w:w="211"/>
        <w:gridCol w:w="790"/>
        <w:gridCol w:w="319"/>
      </w:tblGrid>
      <w:tr>
        <w:trPr/>
        <w:tc>
          <w:tcPr>
            <w:tcW w:w="197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 as reported at the consolidated 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Theoretical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(11,084)</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and other 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warrants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at rate other than the U.S. statutory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3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2017, the U.S. enacted the Tax Cuts and Jobs Act, a comprehensive tax law that includes significant changes to the taxation of business entities. These changes include several key tax provisions, among others: (i) a permanent reduction to the statutory federal corporate income tax rate from 35% to 21% effective for tax years beginning after December 31, 2017; (ii) a partial limitation on the tax deductibility of business interest expenses; (iii) a shift of the U.S. taxation of multinational corporations from a tax on worldwide income to a territorial system (along with certain rules designed to prevent erosion of the U.S. income tax base) and (iv) a one-time deemed repatriation tax on accumulated offshore earnings held in cash and illiquid assets, with the latter taxed at a lower rate. In addition, begging in 2022, U.S research and experimental expenditures should be capitalized and amortized ratably over a five-year period, Any such expenditures attributable to research conducted outside of the U.S must be capitalized and amortized over a-15 year period.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Israeli corporate tax rate was 23% for the years ended December 31, 2023, 2022 and 2021. However, the effective tax rate payable by a company that derives income from a "Benefited Enterprise" or a "Preferred Enterprise" (as discussed below) may be considerably less. Capital gains derived by an Israeli company are generally subject to the prevailing corporate tax rate.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benefits by virtue of the Law for the Encouragement of Capital Investments, 1959 ("the Investment Law"):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Until tax year 2014, Kaltura Israel utilized various tax benefits by virtue of the "Benefited Enterprise" status granted to its enterprise, pursuant to the Investment Law.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Kaltura Israel elected benefits under the alternative track of benefits according to which it was exempt from income tax in the first two years (from the date Kaltura Israel earned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35915"/>
                <wp:effectExtent l="0" t="0" r="0" b="0"/>
                <wp:wrapNone/>
                <wp:docPr id="119" name="Frame11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a dividend is distributed out of tax exempt income earned by a Benefited Enterprise the amount distributed will be subject to corporate tax at the rate that would have otherwise been applicable on the Benefited Enterprise income. Dividends paid out of income attributed to a Beneficiary Enterprise are generally subject to withholding tax at source at the rate of 15% or such lower rate as may be provided in an applicable tax treaty.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approximately $520 was derived from tax exempt profits earned by Kaltura Israel's "Beneficiary Enterprise." The Company and its Board of Directors have determined that such tax-exempt income will not be distributed as dividends and intends to reinvest the amount of its tax-exempt income earned by Kaltura Israel. Accordingly, no provision for deferred income taxes has been provided on income attributable to Kaltura Israel's "Beneficiary Enterprise" as such income is essentially permanently reinvested.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Kaltura Israel's retained tax-exempt income is distributed, the income would be taxed at the applicable corporate tax rate as if it had not elected the alternative tax benefits under the Investment Law and an income tax liability of up to $130 would be incurred as of December 31, 2023.</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2011, new legislation amending the Investment Law was adopted. Under this new legislation, a unified corporate tax rate applied to all qualifying income generated by a "Preferred Company" through its Preferred Enterprise (as such terms are defined in the Investment Law) as of January 1, 2011.</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Industrial Companies under the Preferred Enterprise status according to the new law as amended in July 2013, and starting January 1, 2014 are entitled to a uniform reduced corporate tax rate of 9% in areas in Israel designated as Development Zone A and 16% elsewhere in Israel.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2011 Amendment also provided transitional provisions to address companies already enjoying current benefits under the Investment Law. Under the transition provisions, the Company decided to irrevocably implement the new law, effective January 1, 2015.</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Dividends distributed from income which is attributed to a “Preferred Enterprise” will be subject to withholding tax at source at the rate of 20% or such lower rate as may be provided in an applicable tax treaty.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Kaltura Israel's income from other sources is subject to tax at the regular Corporate Income rate.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indefinitely reinvests earnings from its foreign subsidiaries and therefore no deferred tax liability has been recognized on the basis difference created by such earnings. The Company has not provided foreign withholding taxes for any undistributed earnings of its foreign subsidiaries.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Generally, in U.S. federal and state taxing jurisdictions, tax periods in which certain loss and credit carryovers are generated remain open for audit until such time as the limitation period ends for the year in which such losses or credits are utilized. Kaltura Israel received final tax assessments through 2016 while the rest of the Company's subsidiaries did not have any final tax assessments as of December 31, 2023.</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35915"/>
                <wp:effectExtent l="0" t="0" r="0" b="0"/>
                <wp:wrapNone/>
                <wp:docPr id="120" name="Frame11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before="0" w:after="180"/>
        <w:ind w:left="0" w:right="0" w:firstLine="49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opening and closing amounts of total unrecognized tax benefits is as follows:</w:t>
      </w:r>
    </w:p>
    <w:tbl>
      <w:tblPr>
        <w:tblW w:w="6625" w:type="dxa"/>
        <w:jc w:val="left"/>
        <w:tblInd w:w="0" w:type="dxa"/>
        <w:tblLayout w:type="fixed"/>
        <w:tblCellMar>
          <w:top w:w="28" w:type="dxa"/>
          <w:left w:w="28" w:type="dxa"/>
          <w:bottom w:w="28" w:type="dxa"/>
          <w:right w:w="28" w:type="dxa"/>
        </w:tblCellMar>
      </w:tblPr>
      <w:tblGrid>
        <w:gridCol w:w="1401"/>
        <w:gridCol w:w="1230"/>
        <w:gridCol w:w="1238"/>
        <w:gridCol w:w="109"/>
        <w:gridCol w:w="109"/>
        <w:gridCol w:w="109"/>
        <w:gridCol w:w="522"/>
        <w:gridCol w:w="1525"/>
        <w:gridCol w:w="382"/>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Tax Benefits</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years'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years'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years'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years'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years'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years'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38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of unrecognized tax benefits that would affect the effective tax rate, if recognized, was $7,141 and $5,326 as of December 31, 2023 and 2022.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uncertain tax positions in income tax expense. As of December 31, 2023 and 2022, the Company had accrued $373 and $467 for the payment of interest and penalties relating to unrecognized tax benefits, respectively.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subject to the continuous examination of its income tax returns by the IRS and other tax authorities. The Company’s federal and state income tax returns for years subsequent to 2007 remain open to examination. In the Company’s foreign jurisdictions – Israel and the United Kingdom – the tax years subsequent to 2016 remain open to examination. The Company is currently under audit in Israel.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an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the Company could be required to adjust its provision for income taxes in the period such resolution occurs. The Company currently does not expect uncertain tax positions to change significantly over the next 12 months, except in the case of settlements with tax authorities, the likelihood and timing of which is difficult to estimate.</w:t>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35915"/>
                <wp:effectExtent l="0" t="0" r="0" b="0"/>
                <wp:wrapNone/>
                <wp:docPr id="121" name="Frame1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12: NET LOSS PER SHARE ATTRIBUTABLE TO COMMON STOCKHOLDERS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for the periods presented:</w:t>
      </w:r>
    </w:p>
    <w:p>
      <w:pPr>
        <w:pStyle w:val="TextBody"/>
        <w:bidi w:val="0"/>
        <w:spacing w:before="0" w:after="0"/>
        <w:ind w:left="0" w:right="0" w:hanging="1134"/>
        <w:jc w:val="both"/>
        <w:rPr/>
      </w:pPr>
      <w:r>
        <w:rPr/>
      </w:r>
    </w:p>
    <w:tbl>
      <w:tblPr>
        <w:tblW w:w="10205" w:type="dxa"/>
        <w:jc w:val="left"/>
        <w:tblInd w:w="0" w:type="dxa"/>
        <w:tblLayout w:type="fixed"/>
        <w:tblCellMar>
          <w:top w:w="28" w:type="dxa"/>
          <w:left w:w="28" w:type="dxa"/>
          <w:bottom w:w="28" w:type="dxa"/>
          <w:right w:w="28" w:type="dxa"/>
        </w:tblCellMar>
      </w:tblPr>
      <w:tblGrid>
        <w:gridCol w:w="2280"/>
        <w:gridCol w:w="1782"/>
        <w:gridCol w:w="1792"/>
        <w:gridCol w:w="109"/>
        <w:gridCol w:w="109"/>
        <w:gridCol w:w="109"/>
        <w:gridCol w:w="231"/>
        <w:gridCol w:w="790"/>
        <w:gridCol w:w="120"/>
        <w:gridCol w:w="109"/>
        <w:gridCol w:w="109"/>
        <w:gridCol w:w="109"/>
        <w:gridCol w:w="231"/>
        <w:gridCol w:w="790"/>
        <w:gridCol w:w="120"/>
        <w:gridCol w:w="109"/>
        <w:gridCol w:w="109"/>
        <w:gridCol w:w="109"/>
        <w:gridCol w:w="211"/>
        <w:gridCol w:w="721"/>
        <w:gridCol w:w="156"/>
      </w:tblGrid>
      <w:tr>
        <w:trPr/>
        <w:tc>
          <w:tcPr>
            <w:tcW w:w="228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accretion and cumulative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138,237,017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130,366,385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71,073,052</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Instruments potentially exercisable for common stock that were excluded from the computation of diluted net loss per share attributable to common stockholders for the periods presented because including them would have been anti-dilutive are as follows:</w:t>
      </w:r>
    </w:p>
    <w:p>
      <w:pPr>
        <w:pStyle w:val="TextBody"/>
        <w:bidi w:val="0"/>
        <w:spacing w:before="0" w:after="0"/>
        <w:jc w:val="both"/>
        <w:rPr/>
      </w:pPr>
      <w:r>
        <w:rPr/>
      </w:r>
    </w:p>
    <w:tbl>
      <w:tblPr>
        <w:tblW w:w="7497" w:type="dxa"/>
        <w:jc w:val="left"/>
        <w:tblInd w:w="0" w:type="dxa"/>
        <w:tblLayout w:type="fixed"/>
        <w:tblCellMar>
          <w:top w:w="28" w:type="dxa"/>
          <w:left w:w="28" w:type="dxa"/>
          <w:bottom w:w="28" w:type="dxa"/>
          <w:right w:w="28" w:type="dxa"/>
        </w:tblCellMar>
      </w:tblPr>
      <w:tblGrid>
        <w:gridCol w:w="1125"/>
        <w:gridCol w:w="987"/>
        <w:gridCol w:w="993"/>
        <w:gridCol w:w="109"/>
        <w:gridCol w:w="109"/>
        <w:gridCol w:w="109"/>
        <w:gridCol w:w="344"/>
        <w:gridCol w:w="344"/>
        <w:gridCol w:w="348"/>
        <w:gridCol w:w="152"/>
        <w:gridCol w:w="152"/>
        <w:gridCol w:w="152"/>
        <w:gridCol w:w="344"/>
        <w:gridCol w:w="344"/>
        <w:gridCol w:w="348"/>
        <w:gridCol w:w="152"/>
        <w:gridCol w:w="152"/>
        <w:gridCol w:w="152"/>
        <w:gridCol w:w="316"/>
        <w:gridCol w:w="316"/>
        <w:gridCol w:w="449"/>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34,132,323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33,457,465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37,627,380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34,132,323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33,457,465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37,627,380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13: REPORTABLE SEGMENTS AND GEOGRAPHICAL INFORMATION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its Chief Executive Officer ("CODM"). The Company's CODM does not regularly review asset information by segments and, therefore, the Company does not report asset information by segment.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organizes its operations in two segments: Enterprise, Education and Technology and Media and Telecom. The Enterprise, Education and Technology segment represents products related to industry solutions for education customers, and media services (except for Media and Telecom customers). The Media and Telecom segment primarily represents TV solutions that are sold to media and telecom operators.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of the reportable operating segments is based on the same accounting principles applied in these financial statements, which includes certain corporate overhead allocations.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35915"/>
                <wp:effectExtent l="0" t="0" r="0" b="0"/>
                <wp:wrapNone/>
                <wp:docPr id="122" name="Frame12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721"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621"/>
        <w:gridCol w:w="2433"/>
        <w:gridCol w:w="321"/>
        <w:gridCol w:w="109"/>
        <w:gridCol w:w="109"/>
        <w:gridCol w:w="109"/>
        <w:gridCol w:w="362"/>
        <w:gridCol w:w="1236"/>
        <w:gridCol w:w="187"/>
        <w:gridCol w:w="109"/>
        <w:gridCol w:w="109"/>
        <w:gridCol w:w="109"/>
        <w:gridCol w:w="211"/>
        <w:gridCol w:w="826"/>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ableContents"/>
              <w:bidi w:val="0"/>
              <w:spacing w:before="0" w:after="0"/>
              <w:ind w:left="0" w:right="0" w:firstLine="45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Enterprise, Education and Technology</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Media and Telecom</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337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78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720" w:type="dxa"/>
        <w:jc w:val="left"/>
        <w:tblInd w:w="0" w:type="dxa"/>
        <w:tblLayout w:type="fixed"/>
        <w:tblCellMar>
          <w:top w:w="28" w:type="dxa"/>
          <w:left w:w="28" w:type="dxa"/>
          <w:bottom w:w="28" w:type="dxa"/>
          <w:right w:w="28" w:type="dxa"/>
        </w:tblCellMar>
      </w:tblPr>
      <w:tblGrid>
        <w:gridCol w:w="825"/>
        <w:gridCol w:w="726"/>
        <w:gridCol w:w="728"/>
        <w:gridCol w:w="109"/>
        <w:gridCol w:w="109"/>
        <w:gridCol w:w="109"/>
        <w:gridCol w:w="621"/>
        <w:gridCol w:w="2433"/>
        <w:gridCol w:w="321"/>
        <w:gridCol w:w="109"/>
        <w:gridCol w:w="109"/>
        <w:gridCol w:w="109"/>
        <w:gridCol w:w="362"/>
        <w:gridCol w:w="1236"/>
        <w:gridCol w:w="187"/>
        <w:gridCol w:w="109"/>
        <w:gridCol w:w="109"/>
        <w:gridCol w:w="109"/>
        <w:gridCol w:w="211"/>
        <w:gridCol w:w="826"/>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Enterprise, Education and Technology</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Media and Telecom</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337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78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3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35915"/>
                <wp:effectExtent l="0" t="0" r="0" b="0"/>
                <wp:wrapNone/>
                <wp:docPr id="123" name="Frame12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tbl>
      <w:tblPr>
        <w:tblW w:w="9720" w:type="dxa"/>
        <w:jc w:val="left"/>
        <w:tblInd w:w="0" w:type="dxa"/>
        <w:tblLayout w:type="fixed"/>
        <w:tblCellMar>
          <w:top w:w="28" w:type="dxa"/>
          <w:left w:w="28" w:type="dxa"/>
          <w:bottom w:w="28" w:type="dxa"/>
          <w:right w:w="28" w:type="dxa"/>
        </w:tblCellMar>
      </w:tblPr>
      <w:tblGrid>
        <w:gridCol w:w="825"/>
        <w:gridCol w:w="726"/>
        <w:gridCol w:w="728"/>
        <w:gridCol w:w="109"/>
        <w:gridCol w:w="109"/>
        <w:gridCol w:w="109"/>
        <w:gridCol w:w="621"/>
        <w:gridCol w:w="2433"/>
        <w:gridCol w:w="321"/>
        <w:gridCol w:w="109"/>
        <w:gridCol w:w="109"/>
        <w:gridCol w:w="109"/>
        <w:gridCol w:w="362"/>
        <w:gridCol w:w="1236"/>
        <w:gridCol w:w="187"/>
        <w:gridCol w:w="109"/>
        <w:gridCol w:w="109"/>
        <w:gridCol w:w="109"/>
        <w:gridCol w:w="211"/>
        <w:gridCol w:w="826"/>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7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Enterprise, Education and Technology</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Media and Telecom</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337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78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34"/>
        <w:jc w:val="both"/>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Geographical information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location is determined by the billing address of the customer. Total revenues from external customers on the basis of the Company's geographical areas are as follows:</w:t>
      </w:r>
    </w:p>
    <w:p>
      <w:pPr>
        <w:pStyle w:val="TextBody"/>
        <w:bidi w:val="0"/>
        <w:spacing w:before="0" w:after="0"/>
        <w:jc w:val="both"/>
        <w:rPr/>
      </w:pPr>
      <w:r>
        <w:rPr/>
      </w:r>
    </w:p>
    <w:tbl>
      <w:tblPr>
        <w:tblW w:w="8006" w:type="dxa"/>
        <w:jc w:val="left"/>
        <w:tblInd w:w="0" w:type="dxa"/>
        <w:tblLayout w:type="fixed"/>
        <w:tblCellMar>
          <w:top w:w="28" w:type="dxa"/>
          <w:left w:w="28" w:type="dxa"/>
          <w:bottom w:w="28" w:type="dxa"/>
          <w:right w:w="28" w:type="dxa"/>
        </w:tblCellMar>
      </w:tblPr>
      <w:tblGrid>
        <w:gridCol w:w="1398"/>
        <w:gridCol w:w="1230"/>
        <w:gridCol w:w="1241"/>
        <w:gridCol w:w="211"/>
        <w:gridCol w:w="826"/>
        <w:gridCol w:w="109"/>
        <w:gridCol w:w="109"/>
        <w:gridCol w:w="109"/>
        <w:gridCol w:w="109"/>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United States (“US”)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 (“EMEA”)</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165,016 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 other individual country accounted for more than 10% of the Company’s revenue for all periods presented.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long-lived assets as of December 31, 2023 and 2022, based on geographical areas which consist of property and equipment, net and operating lease right-of-use assets:</w:t>
      </w:r>
    </w:p>
    <w:p>
      <w:pPr>
        <w:pStyle w:val="TextBody"/>
        <w:bidi w:val="0"/>
        <w:spacing w:before="0" w:after="180"/>
        <w:ind w:left="0" w:right="0" w:firstLine="490"/>
        <w:jc w:val="both"/>
        <w:rPr/>
      </w:pPr>
      <w:r>
        <w:rPr/>
      </w:r>
    </w:p>
    <w:p>
      <w:pPr>
        <w:pStyle w:val="TextBody"/>
        <w:bidi w:val="0"/>
        <w:spacing w:before="0" w:after="0"/>
        <w:jc w:val="both"/>
        <w:rPr/>
      </w:pPr>
      <w:r>
        <w:rPr/>
      </w:r>
    </w:p>
    <w:tbl>
      <w:tblPr>
        <w:tblW w:w="3654" w:type="dxa"/>
        <w:jc w:val="left"/>
        <w:tblInd w:w="0" w:type="dxa"/>
        <w:tblLayout w:type="fixed"/>
        <w:tblCellMar>
          <w:top w:w="28" w:type="dxa"/>
          <w:left w:w="28" w:type="dxa"/>
          <w:bottom w:w="28" w:type="dxa"/>
          <w:right w:w="28" w:type="dxa"/>
        </w:tblCellMar>
      </w:tblPr>
      <w:tblGrid>
        <w:gridCol w:w="430"/>
        <w:gridCol w:w="381"/>
        <w:gridCol w:w="389"/>
        <w:gridCol w:w="211"/>
        <w:gridCol w:w="721"/>
        <w:gridCol w:w="109"/>
        <w:gridCol w:w="109"/>
        <w:gridCol w:w="109"/>
        <w:gridCol w:w="109"/>
        <w:gridCol w:w="211"/>
        <w:gridCol w:w="721"/>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35915"/>
                <wp:effectExtent l="0" t="0" r="0" b="0"/>
                <wp:wrapNone/>
                <wp:docPr id="124" name="Frame12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NOTE 14: LONG-TERM LOAN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which subsequently and has been amended according to the Company's needs and other developments. In May 2023, the Company entered into an amendment (the "Fourth Amendment") to the then-existing Credit Agreement to replace the London Interbank Offered Rate (“LIBOR”) with the Secured Overnight Financing Rate (“SOFR”) as the benchmark rate under the Credit Agreement. Prior to the Fourth Amendment, borrowings under the Credit Agreement would bear interest, at the Company's election, at (a) the Eurodollar Rate (as defined in the Credit Agreement as in effect prior to the Fourth Amendment) plus a margin of 3.50% or (b) Alternative Base Rate (“ABR”) (as defined in the Credit Agreement) plus a margin of 2.50%.</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entered into a new amendment to the then-existing Credit Agreement (the “Fifth Amendment”), which provides for a new term loan facility in the aggregate principal amount of $35,000. Commitments under the Revolving Credit Facility decreased to $25,000.</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effectiveness of the Fifth Amendment, borrowings under the Credit Facilities bear interest, determined as follows: (a) SOFR loans accrue interest at a rate per annum equal to Term SOFR (as defined in the Credit Agreement) plus 0.10% per annum plus a margin of 2.50% (the Adjusted Term SOFR (as defined in the Credit Agreement) is subject to a 1.00% floor), and (b) ABR loans accrue interest at a rate per annum equal to the ABR plus a margin of 1.50% (ABR is equal to the highest of (i) the prime rate and (ii) the Federal Funds Effective Rate plus 0.50%, subject to a 2.00% floor). As of December 31, 2023, the current rate of interest under the Credit Facilities was equal to a rate per annum of 7.98%, consisting of 5.38% (the 3-month SOFR rate as of December 31, 2023), 0.10% credit spread adjustment and the margin of 2.50%.</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Facility is payable in consecutive quarterly installments on the last day of each fiscal quarter in an amount equal to (i) $438 for installments payable on December 31, 2023 (deferred to January 9, 2024), through September 30, 2024, (ii) $656 for installments payable on December 31, 2024 through September 30, 2025, and (iii) $1,313 for installments payable on and after December 31, 2025. The remaining unpaid balance on the Term Loan Facility is due and payable on December 21, 2026, together with accrued and unpaid interest on the principal amount to be paid to, but excluding, the payment date. Amounts outstanding under the Credit Facilities may be voluntarily prepaid at any time and from time to time, in whole or in part, without premium or penalty.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Credit Facilities, the Company is obligated to maintain compliance with certain financial covenants as defined therein. As of December 31, 2023, the Company met these covenants.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principal annual maturities according to the Credit Facilities agreements are as follows:</w:t>
      </w:r>
    </w:p>
    <w:p>
      <w:pPr>
        <w:pStyle w:val="TextBody"/>
        <w:bidi w:val="0"/>
        <w:spacing w:before="0" w:after="0"/>
        <w:ind w:left="0" w:right="0" w:hanging="567"/>
        <w:jc w:val="both"/>
        <w:rPr/>
      </w:pPr>
      <w:r>
        <w:rPr/>
      </w:r>
    </w:p>
    <w:tbl>
      <w:tblPr>
        <w:tblW w:w="3692" w:type="dxa"/>
        <w:jc w:val="left"/>
        <w:tblInd w:w="0" w:type="dxa"/>
        <w:tblLayout w:type="fixed"/>
        <w:tblCellMar>
          <w:top w:w="28" w:type="dxa"/>
          <w:left w:w="28" w:type="dxa"/>
          <w:bottom w:w="28" w:type="dxa"/>
          <w:right w:w="28" w:type="dxa"/>
        </w:tblCellMar>
      </w:tblPr>
      <w:tblGrid>
        <w:gridCol w:w="824"/>
        <w:gridCol w:w="726"/>
        <w:gridCol w:w="729"/>
        <w:gridCol w:w="109"/>
        <w:gridCol w:w="109"/>
        <w:gridCol w:w="109"/>
        <w:gridCol w:w="211"/>
        <w:gridCol w:w="72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67"/>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loans approximate their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5915"/>
                <wp:effectExtent l="0" t="0" r="0" b="0"/>
                <wp:wrapNone/>
                <wp:docPr id="125" name="Frame12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15: STOCKHOLDERS' EQUITY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the Company amended and restated its Certificate of Incorporation to change the authorized preferred stock to 20,000,000 shares of preferred stock, all with a par value of $0.0001 per share.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of common stock confer upon their holders the right to receive notice to participate and vote in general stockholders meetings of the Company, and the right to receive dividends, if declared, and to participate in the distribution of the surplus assets of the Company upon liquidation of the Company, as more fully described in the Company's Certificate of Incorporation.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the Company amended and restated its Certificate of Incorporation to change the authorized common stock to 1,000,000,000 shares of common stock, all with a par value of $0.0001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common stock reserved for future issuance as of December 31, 2023:</w:t>
      </w:r>
    </w:p>
    <w:tbl>
      <w:tblPr>
        <w:tblW w:w="4888" w:type="dxa"/>
        <w:jc w:val="left"/>
        <w:tblInd w:w="0" w:type="dxa"/>
        <w:tblLayout w:type="fixed"/>
        <w:tblCellMar>
          <w:top w:w="28" w:type="dxa"/>
          <w:left w:w="28" w:type="dxa"/>
          <w:bottom w:w="28" w:type="dxa"/>
          <w:right w:w="28" w:type="dxa"/>
        </w:tblCellMar>
      </w:tblPr>
      <w:tblGrid>
        <w:gridCol w:w="995"/>
        <w:gridCol w:w="872"/>
        <w:gridCol w:w="878"/>
        <w:gridCol w:w="109"/>
        <w:gridCol w:w="109"/>
        <w:gridCol w:w="109"/>
        <w:gridCol w:w="540"/>
        <w:gridCol w:w="541"/>
        <w:gridCol w:w="735"/>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22,933,058 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11,199,265 </w:t>
            </w:r>
          </w:p>
        </w:tc>
        <w:tc>
          <w:tcPr>
            <w:tcW w:w="7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under 2021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3,521,137 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37,653,460 </w:t>
            </w:r>
          </w:p>
        </w:tc>
        <w:tc>
          <w:tcPr>
            <w:tcW w:w="7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2007 U.S. and Israeli Stock Option Plans ("the 2007 Plans"), options were granted to officers, directors, employees, advisors and consultants of the Company or its subsidiaries.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2017, the Company adopted a new equity incentive plan, the "2017 Equity Incentive Plan" (the "2017 Plan" and together with the 2007 Plans, the "Old Plans"), and extended the term of the 2007 Israeli Stock Option Plan and the term of the options already granted thereunder for an additional ten-year period.</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Each option granted under the Old Plans is exercisable until the earlier of ten years (or 20 years if granted under the 2007 Israeli Stock Option Plan) from the date of the grant of the option. The options vest primarily over a four-year period. Any options that are forfeited or not exercised before expiration become available for future grants.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granted to three of its officers, market-based options at an exercise price of $13.34 per share. The options vest based on the achievement of specific share price targets such that 25% of the award will vest upon the fair market value of a share of common stock increasing fifty percent (50%) above the exercise price; an additional 25% of such award will vest upon the fair market value of a share increasing one-hundred percent (100%) above the exercise price; an additional 25% will vest upon the fair market value of a share increasing one-hundred and fifty percent (150%) above the exercise price; and the remaining 25% of the award will vest upon the fair market value increasing two-hundred percent (200%) above the exercise price.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IPO, no additional awards will be granted under the Old Plans. However, the Old Plans will continue to govern the terms and conditions of the outstanding awards previously granted under the Old Plans.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upon the effectiveness of the registration statement for the IPO, the Company adopted the 2021 Incentive Award Plan (the “2021 Plan”, and together with the Old Plans, the "Plans"). The 2021 Plan provides for the grant of stock options, stock appreciation rights, restricted stock, RSUs, and other stock or cash-based awards to the Company’s officers, directors, employees, advisors, and consultants. The number of shares of common stock initially reserved for issuance under the 2021 Plan was 8,500,000 shares. in addition, certain shares of common stock subject to awards under the Old Plans, such as those subject to expirations, terminations, exercise and tax-related withholding, or failures to vest, will become available for issuance under the 2021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35915"/>
                <wp:effectExtent l="0" t="0" r="0" b="0"/>
                <wp:wrapNone/>
                <wp:docPr id="126" name="Frame12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available for issuance under the 2021 Plan will also include an annual increase on the first day of each fiscal year beginning on January 1, 2022, equal to the lesser of:</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5% of the aggregate number of shares of common stock outstanding on the final day of the immediately preceding calendar year;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Such smaller number of shares of common stock as is determined by the Board of Directors.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2021 Plan, the exercise price of options granted is generally at least equal to the fair market value of the Company’s common stock on the date of grant. The term of the options generally may not exceed ten years. Additionally, the exercise price of any options granted to a 10% stockholder shall not be less than 110% of the fair market value of the common stock on the date of grant, and the term of such option grant shall not exceed five years.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the number of shares of common stock authorized for issuance under the 2021 Plan automatically increased by 6,728,221 shares pursuant to the terms of the 2021 Plan.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granted to its officers RSUs under the 2021 Plan which shall vest based upon achievement of certain performance targets set forth in the 2023 Executive Compensation Plan, and additional RSUs that vest in quarterly installments over a period of up to three years commencing as of January 1, 2023 with the first quarterly vesting date on April 1, 2023, subject to continued employment through the vesting dates.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with respect to options granted under the Plans is as follows:</w:t>
      </w:r>
    </w:p>
    <w:tbl>
      <w:tblPr>
        <w:tblW w:w="10205" w:type="dxa"/>
        <w:jc w:val="left"/>
        <w:tblInd w:w="0" w:type="dxa"/>
        <w:tblLayout w:type="fixed"/>
        <w:tblCellMar>
          <w:top w:w="28" w:type="dxa"/>
          <w:left w:w="28" w:type="dxa"/>
          <w:bottom w:w="28" w:type="dxa"/>
          <w:right w:w="28" w:type="dxa"/>
        </w:tblCellMar>
      </w:tblPr>
      <w:tblGrid>
        <w:gridCol w:w="845"/>
        <w:gridCol w:w="698"/>
        <w:gridCol w:w="702"/>
        <w:gridCol w:w="109"/>
        <w:gridCol w:w="109"/>
        <w:gridCol w:w="109"/>
        <w:gridCol w:w="569"/>
        <w:gridCol w:w="499"/>
        <w:gridCol w:w="426"/>
        <w:gridCol w:w="109"/>
        <w:gridCol w:w="109"/>
        <w:gridCol w:w="109"/>
        <w:gridCol w:w="387"/>
        <w:gridCol w:w="941"/>
        <w:gridCol w:w="202"/>
        <w:gridCol w:w="109"/>
        <w:gridCol w:w="109"/>
        <w:gridCol w:w="109"/>
        <w:gridCol w:w="861"/>
        <w:gridCol w:w="861"/>
        <w:gridCol w:w="863"/>
        <w:gridCol w:w="109"/>
        <w:gridCol w:w="109"/>
        <w:gridCol w:w="109"/>
        <w:gridCol w:w="222"/>
        <w:gridCol w:w="650"/>
        <w:gridCol w:w="171"/>
      </w:tblGrid>
      <w:tr>
        <w:trPr/>
        <w:tc>
          <w:tcPr>
            <w:tcW w:w="84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2245" w:type="dxa"/>
            <w:gridSpan w:val="3"/>
            <w:tcBorders/>
            <w:tcMar>
              <w:top w:w="0" w:type="dxa"/>
              <w:left w:w="0" w:type="dxa"/>
              <w:bottom w:w="0" w:type="dxa"/>
              <w:right w:w="0" w:type="dxa"/>
            </w:tcMar>
            <w:vAlign w:val="center"/>
          </w:tcPr>
          <w:p>
            <w:pPr>
              <w:pStyle w:val="TableContents"/>
              <w:bidi w:val="0"/>
              <w:spacing w:before="0" w:after="0"/>
              <w:ind w:left="0" w:right="0" w:hanging="17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49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530" w:type="dxa"/>
            <w:gridSpan w:val="3"/>
            <w:tcBorders>
              <w:top w:val="single" w:sz="6"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585" w:type="dxa"/>
            <w:gridSpan w:val="3"/>
            <w:tcBorders>
              <w:top w:val="single" w:sz="6"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0"/>
              <w:jc w:val="center"/>
              <w:rPr/>
            </w:pPr>
            <w:r>
              <w:rPr/>
            </w:r>
          </w:p>
        </w:tc>
        <w:tc>
          <w:tcPr>
            <w:tcW w:w="1043" w:type="dxa"/>
            <w:gridSpan w:val="3"/>
            <w:tcBorders>
              <w:top w:val="single" w:sz="6" w:space="0" w:color="000000"/>
            </w:tcBorders>
            <w:tcMar>
              <w:left w:w="0" w:type="dxa"/>
              <w:bottom w:w="0" w:type="dxa"/>
              <w:right w:w="0" w:type="dxa"/>
            </w:tcMar>
            <w:vAlign w:val="center"/>
          </w:tcPr>
          <w:p>
            <w:pPr>
              <w:pStyle w:val="TableContents"/>
              <w:bidi w:val="0"/>
              <w:spacing w:before="0" w:after="0"/>
              <w:jc w:val="center"/>
              <w:rPr/>
            </w:pPr>
            <w:r>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25,988,465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0"/>
              <w:ind w:left="0" w:right="0" w:hanging="17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(2,345,199)</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(710,208)</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before="0" w:after="0"/>
              <w:ind w:left="0" w:right="0" w:hanging="17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4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options at 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49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the service-based awards granted in the year ended December 31, 2021, was $2.45 per option. The total grant-date fair value of the service-based awards that vested during the years ended December 31, 2023, 2022 and 2021, was $11,409, $12,763 and $13,152, respectively. The aggregate intrinsic value of options exercised during the years ended December 31, 2023, 2022 and 2021, was $3,169, $5,272 and $5,437, respectively.</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35915"/>
                <wp:effectExtent l="0" t="0" r="0" b="0"/>
                <wp:wrapNone/>
                <wp:docPr id="127" name="Frame12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for the year ended December 31, 2023:</w:t>
      </w:r>
    </w:p>
    <w:tbl>
      <w:tblPr>
        <w:tblW w:w="7840" w:type="dxa"/>
        <w:jc w:val="left"/>
        <w:tblInd w:w="0" w:type="dxa"/>
        <w:tblLayout w:type="fixed"/>
        <w:tblCellMar>
          <w:top w:w="28" w:type="dxa"/>
          <w:left w:w="28" w:type="dxa"/>
          <w:bottom w:w="28" w:type="dxa"/>
          <w:right w:w="28" w:type="dxa"/>
        </w:tblCellMar>
      </w:tblPr>
      <w:tblGrid>
        <w:gridCol w:w="1565"/>
        <w:gridCol w:w="1376"/>
        <w:gridCol w:w="1378"/>
        <w:gridCol w:w="109"/>
        <w:gridCol w:w="109"/>
        <w:gridCol w:w="109"/>
        <w:gridCol w:w="380"/>
        <w:gridCol w:w="380"/>
        <w:gridCol w:w="381"/>
        <w:gridCol w:w="109"/>
        <w:gridCol w:w="109"/>
        <w:gridCol w:w="109"/>
        <w:gridCol w:w="505"/>
        <w:gridCol w:w="505"/>
        <w:gridCol w:w="716"/>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0"/>
              <w:ind w:left="0" w:right="0" w:hanging="17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4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RSUs</w:t>
              <w:br/>
              <w:t>Outstanding</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726"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Weighted Average</w:t>
              <w:br/>
              <w:t>Grant Date Fair</w:t>
              <w:br/>
              <w:t>Value per Share</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1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4319" w:type="dxa"/>
            <w:gridSpan w:val="3"/>
            <w:tcBorders/>
            <w:tcMar>
              <w:top w:w="0" w:type="dxa"/>
              <w:left w:w="0" w:type="dxa"/>
              <w:bottom w:w="0" w:type="dxa"/>
              <w:right w:w="0" w:type="dxa"/>
            </w:tcMar>
            <w:vAlign w:val="center"/>
          </w:tcPr>
          <w:p>
            <w:pPr>
              <w:pStyle w:val="TableContents"/>
              <w:bidi w:val="0"/>
              <w:spacing w:lineRule="auto" w:line="261"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10,315,608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61"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(5,679,289)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c>
      </w:tr>
      <w:tr>
        <w:trPr/>
        <w:tc>
          <w:tcPr>
            <w:tcW w:w="4319" w:type="dxa"/>
            <w:gridSpan w:val="3"/>
            <w:tcBorders/>
            <w:tcMar>
              <w:top w:w="0" w:type="dxa"/>
              <w:left w:w="0" w:type="dxa"/>
              <w:bottom w:w="0" w:type="dxa"/>
              <w:right w:w="0" w:type="dxa"/>
            </w:tcMar>
            <w:vAlign w:val="center"/>
          </w:tcPr>
          <w:p>
            <w:pPr>
              <w:pStyle w:val="TableContents"/>
              <w:bidi w:val="0"/>
              <w:spacing w:lineRule="auto" w:line="261" w:before="0" w:after="0"/>
              <w:ind w:left="0" w:right="0" w:hanging="170"/>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(906,054)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11,199,265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c>
      </w:tr>
    </w:tbl>
    <w:p>
      <w:pPr>
        <w:pStyle w:val="TextBody"/>
        <w:bidi w:val="0"/>
        <w:spacing w:before="0" w:after="0"/>
        <w:jc w:val="both"/>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by line item in the accompanying consolidated statement of operations is summarized as follows:</w:t>
      </w:r>
    </w:p>
    <w:p>
      <w:pPr>
        <w:pStyle w:val="TextBody"/>
        <w:bidi w:val="0"/>
        <w:spacing w:before="120" w:after="283"/>
        <w:jc w:val="left"/>
        <w:rPr/>
      </w:pPr>
      <w:r>
        <w:rPr/>
      </w:r>
    </w:p>
    <w:tbl>
      <w:tblPr>
        <w:tblW w:w="6459"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23,645 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3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$28,713 of total unrecognized compensation cost related to non-vested stock-based compensation arrangements granted under the Plans. These costs are expected to be recognized over a weighted-average period of approximately two years.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Rights Agreement</w:t>
      </w:r>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2022, the Board of Directors of the Company approved and declared a dividend distribution of one preferred stock purchase right (each, a “Right”) for each share of common stock of the Company outstanding at the close of business on August 22, 2022. The Rights expired in accordance with their terms on August 6, 2023.</w:t>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35915"/>
                <wp:effectExtent l="0" t="0" r="0" b="0"/>
                <wp:wrapNone/>
                <wp:docPr id="128" name="Frame12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NOTE 16: SELECTED STATEMENT OF OPERATIONS DATA</w:t>
      </w:r>
    </w:p>
    <w:tbl>
      <w:tblPr>
        <w:tblW w:w="7794" w:type="dxa"/>
        <w:jc w:val="left"/>
        <w:tblInd w:w="0" w:type="dxa"/>
        <w:tblLayout w:type="fixed"/>
        <w:tblCellMar>
          <w:top w:w="28" w:type="dxa"/>
          <w:left w:w="28" w:type="dxa"/>
          <w:bottom w:w="28" w:type="dxa"/>
          <w:right w:w="28" w:type="dxa"/>
        </w:tblCellMar>
      </w:tblPr>
      <w:tblGrid>
        <w:gridCol w:w="1369"/>
        <w:gridCol w:w="1203"/>
        <w:gridCol w:w="1208"/>
        <w:gridCol w:w="109"/>
        <w:gridCol w:w="109"/>
        <w:gridCol w:w="109"/>
        <w:gridCol w:w="211"/>
        <w:gridCol w:w="691"/>
        <w:gridCol w:w="109"/>
        <w:gridCol w:w="109"/>
        <w:gridCol w:w="109"/>
        <w:gridCol w:w="109"/>
        <w:gridCol w:w="211"/>
        <w:gridCol w:w="616"/>
        <w:gridCol w:w="109"/>
        <w:gridCol w:w="109"/>
        <w:gridCol w:w="109"/>
        <w:gridCol w:w="109"/>
        <w:gridCol w:w="211"/>
        <w:gridCol w:w="72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warrants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3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7" w:before="180" w:after="180"/>
        <w:jc w:val="both"/>
        <w:rPr>
          <w:rFonts w:ascii="Times New Roman;sans-serif" w:hAnsi="Times New Roman;sans-serif"/>
          <w:b/>
          <w:color w:val="000000"/>
          <w:sz w:val="22"/>
        </w:rPr>
      </w:pPr>
      <w:r>
        <w:rPr>
          <w:rFonts w:ascii="Times New Roman;sans-serif" w:hAnsi="Times New Roman;sans-serif"/>
          <w:b/>
          <w:color w:val="000000"/>
          <w:sz w:val="22"/>
        </w:rPr>
        <w:t>NOTE 17: ACCUMULATED OTHER COMPREHENSIVE INCOME (LOSS)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accumulated other comprehensive loss by component, net of tax, during the year ended December 31, 2023:</w:t>
      </w:r>
    </w:p>
    <w:p>
      <w:pPr>
        <w:pStyle w:val="TextBody"/>
        <w:bidi w:val="0"/>
        <w:spacing w:before="0" w:after="180"/>
        <w:ind w:left="0" w:right="0" w:firstLine="490"/>
        <w:jc w:val="both"/>
        <w:rPr/>
      </w:pPr>
      <w:r>
        <w:rPr/>
      </w:r>
    </w:p>
    <w:tbl>
      <w:tblPr>
        <w:tblW w:w="10205" w:type="dxa"/>
        <w:jc w:val="left"/>
        <w:tblInd w:w="0" w:type="dxa"/>
        <w:tblLayout w:type="fixed"/>
        <w:tblCellMar>
          <w:top w:w="28" w:type="dxa"/>
          <w:left w:w="28" w:type="dxa"/>
          <w:bottom w:w="28" w:type="dxa"/>
          <w:right w:w="28" w:type="dxa"/>
        </w:tblCellMar>
      </w:tblPr>
      <w:tblGrid>
        <w:gridCol w:w="1219"/>
        <w:gridCol w:w="746"/>
        <w:gridCol w:w="751"/>
        <w:gridCol w:w="109"/>
        <w:gridCol w:w="109"/>
        <w:gridCol w:w="109"/>
        <w:gridCol w:w="763"/>
        <w:gridCol w:w="1743"/>
        <w:gridCol w:w="397"/>
        <w:gridCol w:w="109"/>
        <w:gridCol w:w="109"/>
        <w:gridCol w:w="109"/>
        <w:gridCol w:w="688"/>
        <w:gridCol w:w="1573"/>
        <w:gridCol w:w="358"/>
        <w:gridCol w:w="109"/>
        <w:gridCol w:w="109"/>
        <w:gridCol w:w="109"/>
        <w:gridCol w:w="211"/>
        <w:gridCol w:w="616"/>
        <w:gridCol w:w="159"/>
      </w:tblGrid>
      <w:tr>
        <w:trPr/>
        <w:tc>
          <w:tcPr>
            <w:tcW w:w="121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Unrealized Income (Losses) on Available-for-Sale Securities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Unrealized Income (Losses) on 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realized losses reclassified from 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35915"/>
                <wp:effectExtent l="0" t="0" r="0" b="0"/>
                <wp:wrapNone/>
                <wp:docPr id="129" name="Frame12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tbl>
      <w:tblPr>
        <w:tblW w:w="4994" w:type="dxa"/>
        <w:jc w:val="left"/>
        <w:tblInd w:w="0" w:type="dxa"/>
        <w:tblLayout w:type="fixed"/>
        <w:tblCellMar>
          <w:top w:w="28" w:type="dxa"/>
          <w:left w:w="28" w:type="dxa"/>
          <w:bottom w:w="28" w:type="dxa"/>
          <w:right w:w="28" w:type="dxa"/>
        </w:tblCellMar>
      </w:tblPr>
      <w:tblGrid>
        <w:gridCol w:w="595"/>
        <w:gridCol w:w="521"/>
        <w:gridCol w:w="521"/>
        <w:gridCol w:w="521"/>
        <w:gridCol w:w="521"/>
        <w:gridCol w:w="521"/>
        <w:gridCol w:w="521"/>
        <w:gridCol w:w="521"/>
        <w:gridCol w:w="752"/>
      </w:tblGrid>
      <w:tr>
        <w:trPr/>
        <w:tc>
          <w:tcPr>
            <w:tcW w:w="59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KALTURA, INC. AND SUBSIDIARIES</w:t>
            </w:r>
          </w:p>
        </w:tc>
      </w:tr>
      <w:tr>
        <w:trPr/>
        <w:tc>
          <w:tcPr>
            <w:tcW w:w="4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tc>
      </w:tr>
      <w:tr>
        <w:trPr/>
        <w:tc>
          <w:tcPr>
            <w:tcW w:w="4994"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U.S. dollars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1251"/>
        <w:gridCol w:w="784"/>
        <w:gridCol w:w="789"/>
        <w:gridCol w:w="109"/>
        <w:gridCol w:w="109"/>
        <w:gridCol w:w="109"/>
        <w:gridCol w:w="733"/>
        <w:gridCol w:w="1674"/>
        <w:gridCol w:w="381"/>
        <w:gridCol w:w="109"/>
        <w:gridCol w:w="109"/>
        <w:gridCol w:w="109"/>
        <w:gridCol w:w="721"/>
        <w:gridCol w:w="1649"/>
        <w:gridCol w:w="375"/>
        <w:gridCol w:w="109"/>
        <w:gridCol w:w="109"/>
        <w:gridCol w:w="109"/>
        <w:gridCol w:w="211"/>
        <w:gridCol w:w="497"/>
        <w:gridCol w:w="159"/>
      </w:tblGrid>
      <w:tr>
        <w:trPr/>
        <w:tc>
          <w:tcPr>
            <w:tcW w:w="125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Unrealized Losses on Available-for-Sale Securities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Unrealized Income (Losses) on 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realized losses reclassified from 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accumulated other comprehensive income (loss) activity during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7" w:before="180" w:after="180"/>
        <w:jc w:val="both"/>
        <w:rPr>
          <w:rFonts w:ascii="Times New Roman;sans-serif" w:hAnsi="Times New Roman;sans-serif"/>
          <w:b/>
          <w:color w:val="000000"/>
          <w:sz w:val="22"/>
        </w:rPr>
      </w:pPr>
      <w:r>
        <w:rPr>
          <w:rFonts w:ascii="Times New Roman;sans-serif" w:hAnsi="Times New Roman;sans-serif"/>
          <w:b/>
          <w:color w:val="000000"/>
          <w:sz w:val="22"/>
        </w:rPr>
        <w:t>NOTE 18: RESTRUCTURING ACTIVITIES</w:t>
      </w:r>
    </w:p>
    <w:p>
      <w:pPr>
        <w:pStyle w:val="TextBody"/>
        <w:bidi w:val="0"/>
        <w:spacing w:lineRule="auto" w:line="288" w:before="60" w:after="12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2022 Restructuring Plan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2022, the Board of Directors of the Company approved a cost-reduction and re-organization plan (the "2022 Restructuring Plan") that included, among other things, downsizing around 10% of the Company's employees. During the year ended December 31, 2022, in connection with the 2022 Restructuring Plan, the Company recorded expenses of $1,238, all for one time employee termination benefits. The Company does not expect to incur additional costs related to the 2022 Restructuring Plan.</w:t>
      </w:r>
    </w:p>
    <w:p>
      <w:pPr>
        <w:pStyle w:val="TextBody"/>
        <w:bidi w:val="0"/>
        <w:spacing w:lineRule="auto" w:line="288" w:before="60" w:after="12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2023 Reorganization Plan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the Board of Directors of the Company approved a re-organization plan (the “2023 Reorganization Plan”) that included, among other things, downsizing approximately 11% of the Company’s workforce and adapting the Company's organizational structure, roles, and responsibilities accordingly.</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in connection with the 2023 Reorganization Plan, the Company recorded expenses of $973, all for one time employee termination benefits. The Company does not expect to incur additional costs related to the 2023 Reorganization Plan.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paid its full obligations regarding all restructuring activities and therefore there is no additional balance to be paid.</w:t>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35915"/>
                <wp:effectExtent l="0" t="0" r="0" b="0"/>
                <wp:wrapNone/>
                <wp:docPr id="130" name="Frame12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Item 9. Changes in and Disagreements with Accountants on Accounting and Financial Disclosure.</w:t>
      </w:r>
    </w:p>
    <w:p>
      <w:pPr>
        <w:pStyle w:val="TextBody"/>
        <w:bidi w:val="0"/>
        <w:spacing w:lineRule="auto" w:line="288" w:before="240" w:after="283"/>
        <w:ind w:left="0" w:right="0" w:firstLine="49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9A. Controls and Procedures.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our Chief Financial Officer have concluded that, as of December 31, 2023, such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Rules 13a-15(f) and 15d-15(f) of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(“COSO”). Based on this assessment, our management concluded that our internal control over financial reporting was effective as of December 31, 2023.</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accounting firm will not be required to opine on the effectiveness of our internal control over financial reporting pursuant to Section 404 until we are no longer an “emerging growth company” as defined in the JOBS Act.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9B. Other Information.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On February 20, 2024, the Company and Ron Yekutiel, the Company’s Chairman, Chief Executive Officer and President, entered into amendments (each, an “Amendment” and collectively, the “Amendments”) to (i) the Employment Agreement, dated as of May 1, 2012, as amended, by and between Kaltura Ltd. and Mr. Yekutiel (the “Yekutiel Employment Agreement”), (ii) the Consulting Agreement, dated as of January 1, 2018, as amended, by and between the Company and Mr. Yekutiel (the “Yekutiel US Consulting Agreement”) and (iii) the Consulting Agreement, dated as of May 1, 2014, as amended, by and between Kaltura Europe Limited and Mr. Yekutiel (the “Yekutiel UK Consulting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35915"/>
                <wp:effectExtent l="0" t="0" r="0" b="0"/>
                <wp:wrapNone/>
                <wp:docPr id="131" name="Frame1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Amendments, under the Company’s 2024 Executive Compensation Plan, Mr. Yekutiel will receive up to 326,000 restricted stock units (the “MBO RSUs”) under the Company’s 2021 Incentive Award Plan (the “2021 Plan”), which shall vest in full based upon achievement of 100% of certain performance targets set forth in the 2024 Executive Compensation Plan, and be eligible to earn additional annual “stretch” bonuses of up to $220,500, which shall be paid in cash upon achievement of such performance targets above 100% attainment, subject to and in accordance with the satisfaction of the aforementioned performance targets. Following the end of the applicable year, the Compensation Committee of the Board of Directors of the Company will evaluate achievement of the performance targets and determine the number of MBO RSUs that will vest, and the amount of annual “stretch” bonuses that will be paid to Mr. Yekutiel.</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under the 2024 Executive Compensation Plan and the 2021 Plan, Mr. Yekutiel will be entitled to receive 2,746,000, restricted stock units (the “LTI RSUs”). The LTI RSUs vest in quarterly installments over a three-year period commencing as of January 1, 2024 with the first quarterly vesting date on March 1, 2024, subject to continued employment through the vesting date. In the event of a termination of service of Mr. Yekutiel without Cause or by Mr. Yekutiel for Good Reason (each as defined in the applicable award agreement) during the twelve (12) month period immediately following a Change in Control (as defined in the 2021 Plan), the LTI RSUs held by him will become vested in full on the date of such termination.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Amendment to the Yekutiel Employment Agreement, effective as of January 1, 2024, Mr. Yekutiel’s annual base salary shall be increased by NIS 110,670 to an aggregate amount of NIS 659,598.</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descriptions of the Amendments are not complete and are qualified in their entirety by reference to the full and complete terms contained in the respective Amendment, copies of which are filed as Exhibits 10.20, 10.21 and 10.22 respectively, to this Annual Report on Form 10-K and are incorporated herein by reference.</w:t>
      </w:r>
    </w:p>
    <w:p>
      <w:pPr>
        <w:pStyle w:val="TextBody"/>
        <w:bidi w:val="0"/>
        <w:spacing w:lineRule="auto" w:line="288" w:before="0" w:after="0"/>
        <w:ind w:left="0" w:right="0" w:firstLine="180"/>
        <w:jc w:val="both"/>
        <w:rPr/>
      </w:pPr>
      <w:r>
        <w:rPr>
          <w:rFonts w:ascii="Times New Roman;sans-serif" w:hAnsi="Times New Roman;sans-serif"/>
          <w:b w:val="false"/>
          <w:color w:val="000000"/>
          <w:sz w:val="20"/>
        </w:rPr>
        <w:t xml:space="preserve">(b) During the three months ended December 31, 2023, the following directors and officers of the Company adopted or terminated a “Rule 10b5-1 trading arrangement” or “non-Rule 10b5-1 trading arrangement,” as each term is defined in Item in Item 408(a) of Regulation </w:t>
      </w:r>
      <w:r>
        <w:rPr>
          <w:rFonts w:ascii="Times New Roman;sans-serif" w:hAnsi="Times New Roman;sans-serif"/>
          <w:b w:val="false"/>
          <w:color w:val="000000"/>
          <w:sz w:val="24"/>
        </w:rPr>
        <w:t>S-K</w:t>
      </w:r>
      <w:r>
        <w:rPr>
          <w:rFonts w:ascii="Times New Roman;sans-serif" w:hAnsi="Times New Roman;sans-serif"/>
          <w:b w:val="false"/>
          <w:color w:val="000000"/>
          <w:sz w:val="20"/>
        </w:rPr>
        <w:t>:</w:t>
      </w:r>
    </w:p>
    <w:p>
      <w:pPr>
        <w:pStyle w:val="TextBody"/>
        <w:bidi w:val="0"/>
        <w:spacing w:before="0" w:after="180"/>
        <w:ind w:left="0" w:right="0" w:firstLine="490"/>
        <w:jc w:val="both"/>
        <w:rPr/>
      </w:pPr>
      <w:r>
        <w:rPr/>
      </w:r>
    </w:p>
    <w:tbl>
      <w:tblPr>
        <w:tblW w:w="10205" w:type="dxa"/>
        <w:jc w:val="left"/>
        <w:tblInd w:w="0" w:type="dxa"/>
        <w:tblLayout w:type="fixed"/>
        <w:tblCellMar>
          <w:top w:w="28" w:type="dxa"/>
          <w:left w:w="28" w:type="dxa"/>
          <w:bottom w:w="28" w:type="dxa"/>
          <w:right w:w="28" w:type="dxa"/>
        </w:tblCellMar>
      </w:tblPr>
      <w:tblGrid>
        <w:gridCol w:w="662"/>
        <w:gridCol w:w="581"/>
        <w:gridCol w:w="583"/>
        <w:gridCol w:w="383"/>
        <w:gridCol w:w="383"/>
        <w:gridCol w:w="385"/>
        <w:gridCol w:w="337"/>
        <w:gridCol w:w="337"/>
        <w:gridCol w:w="339"/>
        <w:gridCol w:w="469"/>
        <w:gridCol w:w="444"/>
        <w:gridCol w:w="389"/>
        <w:gridCol w:w="412"/>
        <w:gridCol w:w="391"/>
        <w:gridCol w:w="394"/>
        <w:gridCol w:w="847"/>
        <w:gridCol w:w="583"/>
        <w:gridCol w:w="553"/>
        <w:gridCol w:w="223"/>
        <w:gridCol w:w="223"/>
        <w:gridCol w:w="1287"/>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182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Director/Sec. 16 Officer</w:t>
            </w:r>
          </w:p>
        </w:tc>
        <w:tc>
          <w:tcPr>
            <w:tcW w:w="115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0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249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198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Total Shares to be Sold</w:t>
            </w:r>
          </w:p>
        </w:tc>
        <w:tc>
          <w:tcPr>
            <w:tcW w:w="17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Rule 10b5-1*</w:t>
            </w:r>
          </w:p>
        </w:tc>
        <w:tc>
          <w:tcPr>
            <w:tcW w:w="1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Non-Rule 10b5-1**</w:t>
            </w:r>
          </w:p>
        </w:tc>
        <w:tc>
          <w:tcPr>
            <w:tcW w:w="198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1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Michal Tsur</w:t>
            </w:r>
          </w:p>
        </w:tc>
        <w:tc>
          <w:tcPr>
            <w:tcW w:w="11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Adopt</w:t>
            </w:r>
          </w:p>
        </w:tc>
        <w:tc>
          <w:tcPr>
            <w:tcW w:w="1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12/13/2023</w:t>
            </w:r>
          </w:p>
        </w:tc>
        <w:tc>
          <w:tcPr>
            <w:tcW w:w="13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11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19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1,800,000.00</w:t>
            </w:r>
          </w:p>
        </w:tc>
        <w:tc>
          <w:tcPr>
            <w:tcW w:w="17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12/31/2024</w:t>
            </w:r>
          </w:p>
        </w:tc>
      </w:tr>
      <w:tr>
        <w:trPr/>
        <w:tc>
          <w:tcPr>
            <w:tcW w:w="182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 Intended to satisfy the affirmative defense of Rule 10b5-1(c)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Not intended to satisfy the affirmative defense of Rule 10b5-1(c)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Item 9C. Disclosure Regarding Foreign Jurisdictions that Prevent Inspections</w:t>
      </w:r>
    </w:p>
    <w:p>
      <w:pPr>
        <w:pStyle w:val="TextBody"/>
        <w:bidi w:val="0"/>
        <w:spacing w:lineRule="auto" w:line="240" w:before="0" w:after="240"/>
        <w:ind w:left="0" w:right="0" w:firstLine="54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35915"/>
                <wp:effectExtent l="0" t="0" r="0" b="0"/>
                <wp:wrapNone/>
                <wp:docPr id="132" name="Frame13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10. Directors, Executive Officers and Corporate Governance.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executive officers and members of our board of directors as of the date of this Annual Report on Form 10-K:</w:t>
      </w:r>
    </w:p>
    <w:tbl>
      <w:tblPr>
        <w:tblW w:w="7441" w:type="dxa"/>
        <w:jc w:val="left"/>
        <w:tblInd w:w="0" w:type="dxa"/>
        <w:tblLayout w:type="fixed"/>
        <w:tblCellMar>
          <w:top w:w="28" w:type="dxa"/>
          <w:left w:w="28" w:type="dxa"/>
          <w:bottom w:w="28" w:type="dxa"/>
          <w:right w:w="28" w:type="dxa"/>
        </w:tblCellMar>
      </w:tblPr>
      <w:tblGrid>
        <w:gridCol w:w="781"/>
        <w:gridCol w:w="687"/>
        <w:gridCol w:w="692"/>
        <w:gridCol w:w="145"/>
        <w:gridCol w:w="145"/>
        <w:gridCol w:w="146"/>
        <w:gridCol w:w="1413"/>
        <w:gridCol w:w="1413"/>
        <w:gridCol w:w="201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Ron Yekutiel</w:t>
            </w:r>
          </w:p>
        </w:tc>
        <w:tc>
          <w:tcPr>
            <w:tcW w:w="436"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845" w:type="dxa"/>
            <w:gridSpan w:val="3"/>
            <w:tcBorders/>
            <w:tcMar>
              <w:top w:w="0" w:type="dxa"/>
              <w:left w:w="0" w:type="dxa"/>
              <w:bottom w:w="0" w:type="dxa"/>
              <w:right w:w="0" w:type="dxa"/>
            </w:tcMar>
            <w:vAlign w:val="center"/>
          </w:tcPr>
          <w:p>
            <w:pPr>
              <w:pStyle w:val="TableContents"/>
              <w:bidi w:val="0"/>
              <w:spacing w:lineRule="auto" w:line="19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President and Director</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Yaron Garmazi</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845"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Eynav Azaria </w:t>
            </w:r>
          </w:p>
        </w:tc>
        <w:tc>
          <w:tcPr>
            <w:tcW w:w="436"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845"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Revenue Officer</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Natan Israeli</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845" w:type="dxa"/>
            <w:gridSpan w:val="3"/>
            <w:tcBorders/>
            <w:shd w:fill="CCEEFF" w:val="clear"/>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Customer Officer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i/>
                <w:color w:val="000000"/>
                <w:sz w:val="20"/>
              </w:rPr>
            </w:pPr>
            <w:r>
              <w:rPr>
                <w:rFonts w:ascii="Times New Roman;sans-serif" w:hAnsi="Times New Roman;sans-serif"/>
                <w:b/>
                <w:i/>
                <w:color w:val="000000"/>
                <w:sz w:val="20"/>
              </w:rPr>
              <w:t>Non-Employee Directors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Levandov</w:t>
            </w:r>
          </w:p>
        </w:tc>
        <w:tc>
          <w:tcPr>
            <w:tcW w:w="436"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8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Shay David</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845"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Ronen Faier</w:t>
            </w:r>
          </w:p>
        </w:tc>
        <w:tc>
          <w:tcPr>
            <w:tcW w:w="436"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845" w:type="dxa"/>
            <w:gridSpan w:val="3"/>
            <w:tcBorders/>
            <w:tcMar>
              <w:top w:w="0" w:type="dxa"/>
              <w:left w:w="0" w:type="dxa"/>
              <w:bottom w:w="0" w:type="dxa"/>
              <w:right w:w="0" w:type="dxa"/>
            </w:tcMar>
            <w:vAlign w:val="center"/>
          </w:tcPr>
          <w:p>
            <w:pPr>
              <w:pStyle w:val="TableContents"/>
              <w:bidi w:val="0"/>
              <w:spacing w:lineRule="auto" w:line="19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Naama Halevi Davidov</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845" w:type="dxa"/>
            <w:gridSpan w:val="3"/>
            <w:tcBorders/>
            <w:shd w:fill="CCEEFF" w:val="clear"/>
            <w:tcMar>
              <w:top w:w="0" w:type="dxa"/>
              <w:left w:w="0" w:type="dxa"/>
              <w:bottom w:w="0" w:type="dxa"/>
              <w:right w:w="0" w:type="dxa"/>
            </w:tcMar>
            <w:vAlign w:val="center"/>
          </w:tcPr>
          <w:p>
            <w:pPr>
              <w:pStyle w:val="TableContents"/>
              <w:bidi w:val="0"/>
              <w:spacing w:lineRule="auto" w:line="19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Eyal Manor</w:t>
            </w:r>
          </w:p>
        </w:tc>
        <w:tc>
          <w:tcPr>
            <w:tcW w:w="436"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845" w:type="dxa"/>
            <w:gridSpan w:val="3"/>
            <w:tcBorders/>
            <w:tcMar>
              <w:top w:w="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lineRule="auto" w:line="288" w:before="6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0" w:after="180"/>
        <w:ind w:left="0" w:right="0" w:firstLine="490"/>
        <w:jc w:val="both"/>
        <w:rPr/>
      </w:pPr>
      <w:r>
        <w:rPr>
          <w:rFonts w:ascii="Times New Roman;sans-serif" w:hAnsi="Times New Roman;sans-serif"/>
          <w:b/>
          <w:i/>
          <w:color w:val="000000"/>
          <w:sz w:val="20"/>
        </w:rPr>
        <w:t>Ron Yekutiel</w:t>
      </w:r>
      <w:r>
        <w:rPr>
          <w:color w:val="000000"/>
        </w:rPr>
        <w:t xml:space="preserve"> </w:t>
      </w:r>
      <w:r>
        <w:rPr>
          <w:rFonts w:ascii="Times New Roman;sans-serif" w:hAnsi="Times New Roman;sans-serif"/>
          <w:b w:val="false"/>
          <w:color w:val="000000"/>
          <w:sz w:val="20"/>
        </w:rPr>
        <w:t>is one of our co-founders and has served as our Chief Executive Officer and as Chairman of our board of directors since October 2006 and as President from January 15, 2024.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was selected to serve on our board of directors because of the perspective and experience he provides as our co-founder and Chief Executive Officer, as well as his extensive experience with technology companies.</w:t>
      </w:r>
    </w:p>
    <w:p>
      <w:pPr>
        <w:pStyle w:val="TextBody"/>
        <w:bidi w:val="0"/>
        <w:spacing w:lineRule="auto" w:line="288" w:before="0" w:after="180"/>
        <w:ind w:left="0" w:right="0" w:firstLine="490"/>
        <w:jc w:val="both"/>
        <w:rPr/>
      </w:pPr>
      <w:r>
        <w:rPr>
          <w:rFonts w:ascii="Times New Roman;sans-serif" w:hAnsi="Times New Roman;sans-serif"/>
          <w:b/>
          <w:i/>
          <w:color w:val="000000"/>
          <w:sz w:val="20"/>
        </w:rPr>
        <w:t>Yaron Garmazi</w:t>
      </w:r>
      <w:r>
        <w:rPr>
          <w:color w:val="000000"/>
        </w:rPr>
        <w:t xml:space="preserve"> </w:t>
      </w:r>
      <w:r>
        <w:rPr>
          <w:rFonts w:ascii="Times New Roman;sans-serif" w:hAnsi="Times New Roman;sans-serif"/>
          <w:b w:val="false"/>
          <w:color w:val="000000"/>
          <w:sz w:val="20"/>
        </w:rPr>
        <w:t>has served as our Chief Financial Officer since May 2017. Prior to joining Kaltura, Mr. Garmazi served as the Chief Executive Officer of Milestone Sport Ltd., a sports technology company, from 2016 to 2017, and as the Chief Financial Officer of Kontera, an online advertising company, from 2007 to 2011. He is a Certified Public Accountant (ISR) and received a Bachelor of Arts in Accounting and Business Management from the Tel Aviv College of Management in 1993. Mr. Garmazi shall cease serving as Chief Financial Officer and an Executive Officer from February 29, 2024.</w:t>
      </w:r>
    </w:p>
    <w:p>
      <w:pPr>
        <w:pStyle w:val="TextBody"/>
        <w:bidi w:val="0"/>
        <w:spacing w:lineRule="auto" w:line="288" w:before="0" w:after="180"/>
        <w:ind w:left="0" w:right="0" w:firstLine="490"/>
        <w:jc w:val="both"/>
        <w:rPr/>
      </w:pPr>
      <w:r>
        <w:rPr>
          <w:rFonts w:ascii="Times New Roman;sans-serif" w:hAnsi="Times New Roman;sans-serif"/>
          <w:b/>
          <w:i/>
          <w:color w:val="000000"/>
          <w:sz w:val="20"/>
        </w:rPr>
        <w:t>Eynav Azaria</w:t>
      </w:r>
      <w:r>
        <w:rPr>
          <w:color w:val="000000"/>
        </w:rPr>
        <w:t xml:space="preserve"> </w:t>
      </w:r>
      <w:r>
        <w:rPr>
          <w:rFonts w:ascii="Times New Roman;sans-serif" w:hAnsi="Times New Roman;sans-serif"/>
          <w:b w:val="false"/>
          <w:color w:val="000000"/>
          <w:sz w:val="20"/>
        </w:rPr>
        <w:t xml:space="preserve">has served as our Chief Revenue Officer since August 2022 and as an executive officer since January 2024. Prior to that, Mr. Azaria served as Chief Executive Officer of Panorama Software Inc., a business intelligence software company, from 2004 to 2020. Before joining Panorama, Mr. Azaria was Chief Operating Officer for BrowseUp Ltd., and before that he served as campaign manager for the Israeli Labor Party and former prime minister, Mr. Ehud Barak. Mr. Azaria also served as the CEO of the International Center for Peace in the Middle East. Mr. Azaria is a member of the board of trustees of the Afeka Engineering College in Israel. </w:t>
      </w:r>
    </w:p>
    <w:p>
      <w:pPr>
        <w:pStyle w:val="TextBody"/>
        <w:bidi w:val="0"/>
        <w:spacing w:lineRule="auto" w:line="288" w:before="0" w:after="180"/>
        <w:ind w:left="0" w:right="0" w:firstLine="490"/>
        <w:jc w:val="both"/>
        <w:rPr/>
      </w:pPr>
      <w:r>
        <w:rPr>
          <w:rFonts w:ascii="Times New Roman;sans-serif" w:hAnsi="Times New Roman;sans-serif"/>
          <w:b/>
          <w:i/>
          <w:color w:val="000000"/>
          <w:sz w:val="20"/>
        </w:rPr>
        <w:t>Natan Israeli</w:t>
      </w:r>
      <w:r>
        <w:rPr>
          <w:color w:val="000000"/>
        </w:rPr>
        <w:t xml:space="preserve"> </w:t>
      </w:r>
      <w:r>
        <w:rPr>
          <w:rFonts w:ascii="Times New Roman;sans-serif" w:hAnsi="Times New Roman;sans-serif"/>
          <w:b w:val="false"/>
          <w:color w:val="000000"/>
          <w:sz w:val="20"/>
        </w:rPr>
        <w:t>has served as our Chief Customer Officer since November 2020 and as an executive officer since January 2024. Prior to joining Kaltura, throughout 2020 Mr. Israeli was the CEO for Ambar A.M. Enterprise Ltd., that was active in the Israeli energy and infrastructure industries. Prior to that Mr. Israeli served for three decades in the Israeli Air Force (IAF) as an officer and helicopter pilot. His last position was head of all IAF Human Resources from 2016 to 2020, in which capacity he was responsible for tens of thousands of people. Prior to that Mr. Israeli has hed various senior positions, including the IAF's CIO and head of its information systems from 2012 to 2014.</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35915"/>
                <wp:effectExtent l="0" t="0" r="0" b="0"/>
                <wp:wrapNone/>
                <wp:docPr id="133" name="Frame13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Non-Employee Directors</w:t>
      </w:r>
    </w:p>
    <w:p>
      <w:pPr>
        <w:pStyle w:val="TextBody"/>
        <w:bidi w:val="0"/>
        <w:spacing w:lineRule="auto" w:line="288" w:before="0" w:after="180"/>
        <w:ind w:left="0" w:right="0" w:firstLine="490"/>
        <w:jc w:val="both"/>
        <w:rPr/>
      </w:pPr>
      <w:r>
        <w:rPr>
          <w:rFonts w:ascii="Times New Roman;sans-serif" w:hAnsi="Times New Roman;sans-serif"/>
          <w:b/>
          <w:i/>
          <w:color w:val="000000"/>
          <w:sz w:val="20"/>
        </w:rPr>
        <w:t>Richard Levandov</w:t>
      </w:r>
      <w:r>
        <w:rPr>
          <w:color w:val="000000"/>
        </w:rPr>
        <w:t xml:space="preserve"> </w:t>
      </w:r>
      <w:r>
        <w:rPr>
          <w:rFonts w:ascii="Times New Roman;sans-serif" w:hAnsi="Times New Roman;sans-serif"/>
          <w:b w:val="false"/>
          <w:color w:val="000000"/>
          <w:sz w:val="20"/>
        </w:rPr>
        <w:t>has served as a member of our board of directors since 2007. Mr. Levandov has over 30 years of experience as a technology venture capitalist, operator and entrepreneur, most recently as a partner at Avalon Ventures from 2007 to date. Mr. Levandov is active in the Boston, New York City, San Francisco and Seattle venture and entrepreneurial communities. As a past judge on the MIT 100k business plan competition he remains very active in various organizations on both U.S. coasts, promoting the creation of new disruptive enterprises. He received a Bachelor of Science from Binghamton University in 1976. Mr. Levandov was selected to serve on our board of directors because of his extensive experience in the venture capital industry.</w:t>
      </w:r>
    </w:p>
    <w:p>
      <w:pPr>
        <w:pStyle w:val="TextBody"/>
        <w:bidi w:val="0"/>
        <w:spacing w:lineRule="auto" w:line="288" w:before="0" w:after="180"/>
        <w:ind w:left="0" w:right="0" w:firstLine="490"/>
        <w:jc w:val="both"/>
        <w:rPr/>
      </w:pPr>
      <w:r>
        <w:rPr>
          <w:rFonts w:ascii="Times New Roman;sans-serif" w:hAnsi="Times New Roman;sans-serif"/>
          <w:b/>
          <w:i/>
          <w:color w:val="000000"/>
          <w:sz w:val="20"/>
        </w:rPr>
        <w:t>Shay David</w:t>
      </w:r>
      <w:r>
        <w:rPr>
          <w:color w:val="000000"/>
        </w:rPr>
        <w:t xml:space="preserve"> </w:t>
      </w:r>
      <w:r>
        <w:rPr>
          <w:rFonts w:ascii="Times New Roman;sans-serif" w:hAnsi="Times New Roman;sans-serif"/>
          <w:b w:val="false"/>
          <w:color w:val="000000"/>
          <w:sz w:val="20"/>
        </w:rPr>
        <w:t>is one of our co-founders and has served as a member of our board of directors since October 2006. Dr. David previously 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w:t>
      </w:r>
    </w:p>
    <w:p>
      <w:pPr>
        <w:pStyle w:val="TextBody"/>
        <w:bidi w:val="0"/>
        <w:spacing w:lineRule="auto" w:line="288" w:before="0" w:after="180"/>
        <w:ind w:left="0" w:right="0" w:firstLine="490"/>
        <w:jc w:val="both"/>
        <w:rPr/>
      </w:pPr>
      <w:r>
        <w:rPr>
          <w:rFonts w:ascii="Times New Roman;sans-serif" w:hAnsi="Times New Roman;sans-serif"/>
          <w:b/>
          <w:i/>
          <w:color w:val="000000"/>
          <w:sz w:val="20"/>
        </w:rPr>
        <w:t>Ronen Faier</w:t>
      </w:r>
      <w:r>
        <w:rPr>
          <w:color w:val="000000"/>
        </w:rPr>
        <w:t xml:space="preserve"> </w:t>
      </w:r>
      <w:r>
        <w:rPr>
          <w:rFonts w:ascii="Times New Roman;sans-serif" w:hAnsi="Times New Roman;sans-serif"/>
          <w:b w:val="false"/>
          <w:color w:val="000000"/>
          <w:sz w:val="20"/>
        </w:rPr>
        <w:t>has served on our board of directors since July 2021. Mr. Faier has served as the Chief Financial Officer of SolarEdge Technologies, Inc., an energy management company, since January 2011. Additionally, Mr. Faier has served as a director of Monday.com since 2021 and a director of Cato Networks since February 2023. Prior to his role at SolarEdge, Mr. Faier has served in various executive positions at publicly traded technology companies such as SanDisk Corporation, a semiconductor manufacturing company, Msystems Ltd., a semiconductor memory devices manufacturing company and VocalTec Communications, Inc., a telecom equipment provider. Mr. Faier is a Certified Public Accountant in Israel. He received a Master’s of Business Administration with honors from Tel Aviv University in 2000 and a Bachelor of Arts in Accounting and Economics from the Hebrew University of Jerusalem in 1996. Mr. Faier was selected to serve on our board of directors because of his extensive financial and public company experience.</w:t>
      </w:r>
    </w:p>
    <w:p>
      <w:pPr>
        <w:pStyle w:val="TextBody"/>
        <w:bidi w:val="0"/>
        <w:spacing w:lineRule="auto" w:line="288" w:before="0" w:after="180"/>
        <w:ind w:left="0" w:right="0" w:firstLine="490"/>
        <w:jc w:val="both"/>
        <w:rPr/>
      </w:pPr>
      <w:r>
        <w:rPr>
          <w:rFonts w:ascii="Times New Roman;sans-serif" w:hAnsi="Times New Roman;sans-serif"/>
          <w:b/>
          <w:i/>
          <w:color w:val="000000"/>
          <w:sz w:val="20"/>
        </w:rPr>
        <w:t>Naama Halevi Davidov</w:t>
      </w:r>
      <w:r>
        <w:rPr>
          <w:color w:val="000000"/>
        </w:rPr>
        <w:t xml:space="preserve"> </w:t>
      </w:r>
      <w:r>
        <w:rPr>
          <w:rFonts w:ascii="Times New Roman;sans-serif" w:hAnsi="Times New Roman;sans-serif"/>
          <w:b w:val="false"/>
          <w:color w:val="000000"/>
          <w:sz w:val="20"/>
        </w:rPr>
        <w:t>has served on our board of directors since July 2021. Dr. Halevi Davidov has been the Chief Financial Officer of XM Cyber Ltd., a global cybersecurity company, since May 2022. Prior to this role, Dr. Halevi Davidov served as a consultant to several technology companies including Simply Ltd. (formerly named JuyTunes), Gloat Ltd. and Healthy.IO. Dr. Halevi Davidov is also serving as a member of the board of directors of Kornit Digital Ltd. (NASDAQ KRNT) since August 2023 and Acteils Networks (NASDAQ ASNS) since May 2022. Dr. Halevi Davidov served as our Chief Financial Officer from November 2012 to August 2017. Dr. Halevi Davidov has also served on the board of our subsidiary, Kaltura Asia Pte Ltd. since February 2015. Dr. Halevi Davidov is a Certified Public Accountant in Israel. She received a Ph.D. in Strategy from Tel Aviv University in 2012, a Master’s in Business Administration from Tel Aviv University in 2002 and Bachelor of Arts in Accounting and Economics from Tel Aviv University in 2000. Dr. Halevi Davidov was selected to serve on our board of directors because of her extensive knowledge of and experience with corporate financial strategy.</w:t>
      </w:r>
    </w:p>
    <w:p>
      <w:pPr>
        <w:pStyle w:val="TextBody"/>
        <w:bidi w:val="0"/>
        <w:spacing w:lineRule="auto" w:line="288" w:before="0" w:after="180"/>
        <w:ind w:left="0" w:right="0" w:firstLine="490"/>
        <w:jc w:val="both"/>
        <w:rPr/>
      </w:pPr>
      <w:r>
        <w:rPr>
          <w:rFonts w:ascii="Times New Roman;sans-serif" w:hAnsi="Times New Roman;sans-serif"/>
          <w:b/>
          <w:i/>
          <w:color w:val="000000"/>
          <w:sz w:val="20"/>
        </w:rPr>
        <w:t>Eyal Manor</w:t>
      </w:r>
      <w:r>
        <w:rPr>
          <w:color w:val="000000"/>
        </w:rPr>
        <w:t xml:space="preserve"> </w:t>
      </w:r>
      <w:r>
        <w:rPr>
          <w:rFonts w:ascii="Times New Roman;sans-serif" w:hAnsi="Times New Roman;sans-serif"/>
          <w:b w:val="false"/>
          <w:color w:val="000000"/>
          <w:sz w:val="20"/>
        </w:rPr>
        <w:t>has served on our board of directors since January 2023. Mr. Manor has served as Chief Product &amp; Engineering Officer at Twilio from 2021 to 2023, overseeing CPaaS and Segment's CDP. Prior to that, from 2016 to November 2021 Mr. Manor served as Vice President &amp; General Manager at Google Cloud, where he led a portfolio of technologies, including Kubernetes, Serverless Developer Platforms, Marketplace, and other products. In his previous roles with Google, Mr. Manor was VP of Engineering at YouTube and spearheaded the development of advertising products. Before joining Google, Mr. Manor founded Voice and Video SaaS streaming startup and was in an IAF Research Group. Mr. Manor graduated from Tel Aviv University in 1994. Mr. Manor was selected to serve on our board of directors because of his vast experience \ building successful SaaS products and innovative platform technologies.</w:t>
      </w:r>
    </w:p>
    <w:p>
      <w:pPr>
        <w:pStyle w:val="TextBody"/>
        <w:bidi w:val="0"/>
        <w:spacing w:lineRule="auto" w:line="288" w:before="0" w:after="180"/>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directors or executive officers.</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35915"/>
                <wp:effectExtent l="0" t="0" r="0" b="0"/>
                <wp:wrapNone/>
                <wp:docPr id="134" name="Frame1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investors.kaltura.com.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 on Form 10-K.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this item will be included under the headings “Election of Directors,” “Corporate Governance,” and, if applicable, “Delinquent Section 16(a) Reports” in our definitive proxy statement for our 2024 Annual Meeting of Stockholders, and such required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11. Executive Compensation.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headings “Executive Compensation” and, if applicable, “Compensation Committee Interlocks and Insider Participation” in our definitive proxy statement for our 2024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12. Security Ownership of Certain Beneficial Owners and Management and Related Stockholder Matters.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headings “Securities Authorized for Issuance Under Equity Compensation Plans” and “Security Ownership of Certain Beneficial Owners and Management” in our definitive proxy statement for our 2024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13. Certain Relationships and Related Transactions, and Director Independence.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headings “Certain Relationships and Related Person Transactions,” “Corporate Governance” and “Director Independence” in our definitive proxy statement for our 2024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2"/>
        </w:rPr>
      </w:pPr>
      <w:r>
        <w:rPr>
          <w:rFonts w:ascii="Times New Roman;sans-serif" w:hAnsi="Times New Roman;sans-serif"/>
          <w:b/>
          <w:color w:val="000000"/>
          <w:sz w:val="22"/>
        </w:rPr>
        <w:t xml:space="preserve">Item 14. Principal Accountant Fees and Services.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heading “Independent Registered Public Accounting Firm Fees and Other Matters” in our definitive proxy statement for our 2024 Annual Meeting of Stockholders, and such information is incorporated herein by reference.</w:t>
      </w:r>
    </w:p>
    <w:p>
      <w:pPr>
        <w:pStyle w:val="TextBody"/>
        <w:bidi w:val="0"/>
        <w:spacing w:before="0" w:after="180"/>
        <w:ind w:left="0" w:right="0" w:firstLine="490"/>
        <w:jc w:val="both"/>
        <w:rPr/>
      </w:pPr>
      <w:r>
        <w:rPr/>
      </w:r>
    </w:p>
    <w:p>
      <w:pPr>
        <w:pStyle w:val="TextBody"/>
        <w:bidi w:val="0"/>
        <w:spacing w:before="0" w:after="18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35915"/>
                <wp:effectExtent l="0" t="0" r="0" b="0"/>
                <wp:wrapNone/>
                <wp:docPr id="135" name="Frame1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15. Exhibits and Financial Statement Schedules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See Item 8 herein.</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applicable, not required or the information required is shown in the financial statements or the notes thereto.</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210"/>
        <w:gridCol w:w="1210"/>
        <w:gridCol w:w="1212"/>
        <w:gridCol w:w="109"/>
        <w:gridCol w:w="109"/>
        <w:gridCol w:w="109"/>
        <w:gridCol w:w="195"/>
        <w:gridCol w:w="195"/>
        <w:gridCol w:w="196"/>
        <w:gridCol w:w="112"/>
        <w:gridCol w:w="112"/>
        <w:gridCol w:w="112"/>
        <w:gridCol w:w="264"/>
        <w:gridCol w:w="264"/>
        <w:gridCol w:w="265"/>
        <w:gridCol w:w="112"/>
        <w:gridCol w:w="112"/>
        <w:gridCol w:w="112"/>
        <w:gridCol w:w="245"/>
        <w:gridCol w:w="245"/>
        <w:gridCol w:w="246"/>
        <w:gridCol w:w="112"/>
        <w:gridCol w:w="112"/>
        <w:gridCol w:w="112"/>
        <w:gridCol w:w="204"/>
        <w:gridCol w:w="204"/>
        <w:gridCol w:w="240"/>
        <w:gridCol w:w="109"/>
        <w:gridCol w:w="109"/>
        <w:gridCol w:w="109"/>
        <w:gridCol w:w="293"/>
        <w:gridCol w:w="293"/>
        <w:gridCol w:w="42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Furnished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8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Amended and Restated Certificate of Incorporation of Kaltura,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Certificate of Designations of Series A Junior Participating Preferred Stock of Kaltura, Inc.</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08/08/2022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Bylaws of Kaltura,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Specimen Stock Certificate of Kaltura,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333-253699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Sixth Amended and Restated Investor Rights Agreement, dated as of July 22, 2016, by and among Kaltura, Inc. and each of the investors listed on Exhibit A thereto,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333-253699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Rights Agreement, dated as of August 7, 2022, between Kaltura, Inc. and American Stock Transfer &amp; Trust Company, LLC</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Credit Agreement, dated as of January 14, 2021, by and among Kaltura, Inc., the several banks and other financial institutions or entities from time to time party thereto, Silicon Valley Bank, as the Issuing Lender and the Swingline Lender, and SVB,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333-253699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First Amendment to Credit Agreement, dated as of June 29, 2021, by and among Kaltura, Inc. (the “Borrower”), the subsidiaries of the Borrower party thereto, the several banks and other financial institutions or entities party thereto, and Silicon Valley Bank, as the Administrative Agent, the Issuing Lender and the Swingline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35915"/>
                <wp:effectExtent l="0" t="0" r="0" b="0"/>
                <wp:wrapNone/>
                <wp:docPr id="136" name="Frame1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
        <w:gridCol w:w="190"/>
        <w:gridCol w:w="193"/>
        <w:gridCol w:w="109"/>
        <w:gridCol w:w="109"/>
        <w:gridCol w:w="109"/>
        <w:gridCol w:w="1676"/>
        <w:gridCol w:w="1676"/>
        <w:gridCol w:w="1679"/>
        <w:gridCol w:w="109"/>
        <w:gridCol w:w="109"/>
        <w:gridCol w:w="109"/>
        <w:gridCol w:w="132"/>
        <w:gridCol w:w="132"/>
        <w:gridCol w:w="134"/>
        <w:gridCol w:w="109"/>
        <w:gridCol w:w="109"/>
        <w:gridCol w:w="109"/>
        <w:gridCol w:w="321"/>
        <w:gridCol w:w="229"/>
        <w:gridCol w:w="230"/>
        <w:gridCol w:w="109"/>
        <w:gridCol w:w="109"/>
        <w:gridCol w:w="109"/>
        <w:gridCol w:w="155"/>
        <w:gridCol w:w="155"/>
        <w:gridCol w:w="156"/>
        <w:gridCol w:w="109"/>
        <w:gridCol w:w="109"/>
        <w:gridCol w:w="109"/>
        <w:gridCol w:w="197"/>
        <w:gridCol w:w="197"/>
        <w:gridCol w:w="198"/>
        <w:gridCol w:w="109"/>
        <w:gridCol w:w="109"/>
        <w:gridCol w:w="109"/>
        <w:gridCol w:w="109"/>
        <w:gridCol w:w="109"/>
        <w:gridCol w:w="160"/>
      </w:tblGrid>
      <w:tr>
        <w:trPr/>
        <w:tc>
          <w:tcPr>
            <w:tcW w:w="2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Second Amendment to Credit Agreement, dated as of December 20, 2021, by and among Kaltura, Inc. (the “Borrower”), the subsidiaries of the Borrower party thereto, the several banks and other financial institutions or entities party thereto, and Silicon Valley Bank, as the Administrative Agent, the Issuing Lender and the Swingline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Third Amendment to Credit Agreement, dated as of April 19, 2022, by and among Kaltura, Inc. (the “Borrower”), the subsidiaries of the Borrower party thereto, the several banks and other financial institutions or entities party thereto, and Silicon Valley Bank, as the Administrative Agent, the Issuing Lender and the Swingline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Fourth Amendment to Credit Agreement, dated as of May 23, 2023, by and among Kaltura, Inc. (the “Borrower”), the subsidiaries of the Borrower party thereto, the several banks and other financial institutions or entities party thereto, and Silicon Valley Bank, a Division of First-Citizens Bank &amp; Trust Company, as the Administrative Agent, the Issuing Lender and the Swingline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Fifth Amendment to Credit Agreement, dated as of December 21, 2023, by and among Kaltura, Inc. (the “Borrower”), the subsidiaries of the Borrower party thereto, the several banks and other financial institutions or entities party thereto, and Silicon Valley Bank, as the Administrative Agent, the Issuing Lender and the Swingline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Guarantee and Collateral Agreement, dated as of January 14, 2021, by and among Kaltura, Inc., the other Grantors referred to therein, and Silicon Valley Bank,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Debenture, dated as of January 14, 2021, by and among Kaltura Europe Limited and Kaltura, Inc., as Original Chargors, and Silicon Valley Bank, as Administrative Agent, as supplemented.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80"/>
                  <w:sz w:val="20"/>
                  <w:u w:val="single"/>
                </w:rPr>
                <w:t>10.</w:t>
              </w:r>
            </w:hyperlink>
            <w:hyperlink r:id="rId35">
              <w:r>
                <w:rPr>
                  <w:rStyle w:val="InternetLink"/>
                  <w:rFonts w:ascii="Times New Roman;sans-serif" w:hAnsi="Times New Roman;sans-serif"/>
                  <w:b w:val="false"/>
                  <w:color w:val="000080"/>
                  <w:sz w:val="20"/>
                  <w:u w:val="single"/>
                </w:rPr>
                <w:t>9</w:t>
              </w:r>
            </w:hyperlink>
            <w:hyperlink r:id="rId3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Kaltura, Inc. 2007 Israeli Share Option Plan and form of option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80"/>
                  <w:sz w:val="20"/>
                  <w:u w:val="single"/>
                </w:rPr>
                <w:t>10.</w:t>
              </w:r>
            </w:hyperlink>
            <w:hyperlink r:id="rId39">
              <w:r>
                <w:rPr>
                  <w:rStyle w:val="InternetLink"/>
                  <w:rFonts w:ascii="Times New Roman;sans-serif" w:hAnsi="Times New Roman;sans-serif"/>
                  <w:b w:val="false"/>
                  <w:color w:val="000080"/>
                  <w:sz w:val="20"/>
                  <w:u w:val="single"/>
                </w:rPr>
                <w:t>10</w:t>
              </w:r>
            </w:hyperlink>
            <w:hyperlink r:id="rId4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Kaltura, Inc. 2007 Stock Option Plan and form of option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80"/>
                  <w:sz w:val="20"/>
                  <w:u w:val="single"/>
                </w:rPr>
                <w:t>10.</w:t>
              </w:r>
            </w:hyperlink>
            <w:hyperlink r:id="rId43">
              <w:r>
                <w:rPr>
                  <w:rStyle w:val="InternetLink"/>
                  <w:rFonts w:ascii="Times New Roman;sans-serif" w:hAnsi="Times New Roman;sans-serif"/>
                  <w:b w:val="false"/>
                  <w:color w:val="000080"/>
                  <w:sz w:val="20"/>
                  <w:u w:val="single"/>
                </w:rPr>
                <w:t>11</w:t>
              </w:r>
            </w:hyperlink>
            <w:hyperlink r:id="rId4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Kaltura, Inc. 2017 Equity Incentive Plan and form of option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10.</w:t>
              </w:r>
            </w:hyperlink>
            <w:hyperlink r:id="rId47">
              <w:r>
                <w:rPr>
                  <w:rStyle w:val="InternetLink"/>
                  <w:rFonts w:ascii="Times New Roman;sans-serif" w:hAnsi="Times New Roman;sans-serif"/>
                  <w:b w:val="false"/>
                  <w:color w:val="000080"/>
                  <w:sz w:val="20"/>
                  <w:u w:val="single"/>
                </w:rPr>
                <w:t>12</w:t>
              </w:r>
            </w:hyperlink>
            <w:hyperlink r:id="rId4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Kaltura, Inc. 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80"/>
                  <w:sz w:val="20"/>
                  <w:u w:val="single"/>
                </w:rPr>
                <w:t>10.</w:t>
              </w:r>
            </w:hyperlink>
            <w:hyperlink r:id="rId51">
              <w:r>
                <w:rPr>
                  <w:rStyle w:val="InternetLink"/>
                  <w:rFonts w:ascii="Times New Roman;sans-serif" w:hAnsi="Times New Roman;sans-serif"/>
                  <w:b w:val="false"/>
                  <w:color w:val="000080"/>
                  <w:sz w:val="20"/>
                  <w:u w:val="single"/>
                </w:rPr>
                <w:t>13</w:t>
              </w:r>
            </w:hyperlink>
            <w:hyperlink r:id="rId5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Form of Stock Option Award Agreement under the Kaltura, Inc. 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80"/>
                  <w:sz w:val="20"/>
                  <w:u w:val="single"/>
                </w:rPr>
                <w:t>10.1</w:t>
              </w:r>
            </w:hyperlink>
            <w:hyperlink r:id="rId55">
              <w:r>
                <w:rPr>
                  <w:rStyle w:val="InternetLink"/>
                  <w:rFonts w:ascii="Times New Roman;sans-serif" w:hAnsi="Times New Roman;sans-serif"/>
                  <w:b w:val="false"/>
                  <w:color w:val="000080"/>
                  <w:sz w:val="20"/>
                  <w:u w:val="single"/>
                </w:rPr>
                <w:t>4</w:t>
              </w:r>
            </w:hyperlink>
            <w:hyperlink r:id="rId5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Form of Restricted Stock Unit Award Agreement under the Kaltura, Inc. 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37"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
        <w:gridCol w:w="209"/>
        <w:gridCol w:w="211"/>
        <w:gridCol w:w="109"/>
        <w:gridCol w:w="109"/>
        <w:gridCol w:w="109"/>
        <w:gridCol w:w="1646"/>
        <w:gridCol w:w="1481"/>
        <w:gridCol w:w="1485"/>
        <w:gridCol w:w="109"/>
        <w:gridCol w:w="109"/>
        <w:gridCol w:w="109"/>
        <w:gridCol w:w="169"/>
        <w:gridCol w:w="137"/>
        <w:gridCol w:w="137"/>
        <w:gridCol w:w="109"/>
        <w:gridCol w:w="109"/>
        <w:gridCol w:w="109"/>
        <w:gridCol w:w="334"/>
        <w:gridCol w:w="266"/>
        <w:gridCol w:w="267"/>
        <w:gridCol w:w="109"/>
        <w:gridCol w:w="109"/>
        <w:gridCol w:w="109"/>
        <w:gridCol w:w="189"/>
        <w:gridCol w:w="189"/>
        <w:gridCol w:w="193"/>
        <w:gridCol w:w="109"/>
        <w:gridCol w:w="109"/>
        <w:gridCol w:w="109"/>
        <w:gridCol w:w="238"/>
        <w:gridCol w:w="238"/>
        <w:gridCol w:w="239"/>
        <w:gridCol w:w="109"/>
        <w:gridCol w:w="109"/>
        <w:gridCol w:w="109"/>
        <w:gridCol w:w="109"/>
        <w:gridCol w:w="109"/>
        <w:gridCol w:w="159"/>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80"/>
                  <w:sz w:val="20"/>
                  <w:u w:val="single"/>
                </w:rPr>
                <w:t>10.1</w:t>
              </w:r>
            </w:hyperlink>
            <w:hyperlink r:id="rId59">
              <w:r>
                <w:rPr>
                  <w:rStyle w:val="InternetLink"/>
                  <w:rFonts w:ascii="Times New Roman;sans-serif" w:hAnsi="Times New Roman;sans-serif"/>
                  <w:b w:val="false"/>
                  <w:color w:val="000080"/>
                  <w:sz w:val="20"/>
                  <w:u w:val="single"/>
                </w:rPr>
                <w:t>5</w:t>
              </w:r>
            </w:hyperlink>
            <w:hyperlink r:id="rId6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Employment Agreement, dated as of May 1, 2012, by and between Kaltura Ltd. and Ron Yekutiel,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80"/>
                  <w:sz w:val="20"/>
                  <w:u w:val="single"/>
                </w:rPr>
                <w:t>10.1</w:t>
              </w:r>
            </w:hyperlink>
            <w:hyperlink r:id="rId63">
              <w:r>
                <w:rPr>
                  <w:rStyle w:val="InternetLink"/>
                  <w:rFonts w:ascii="Times New Roman;sans-serif" w:hAnsi="Times New Roman;sans-serif"/>
                  <w:b w:val="false"/>
                  <w:color w:val="000080"/>
                  <w:sz w:val="20"/>
                  <w:u w:val="single"/>
                </w:rPr>
                <w:t>6</w:t>
              </w:r>
            </w:hyperlink>
            <w:hyperlink r:id="rId6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Consulting Agreement by and between Kaltura, Inc. and Ron Yekutiel, effective January 1, 2018,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ans-serif" w:hAnsi="Times New Roman;sans-serif"/>
                  <w:b w:val="false"/>
                  <w:color w:val="000080"/>
                  <w:sz w:val="20"/>
                  <w:u w:val="single"/>
                </w:rPr>
                <w:t>10.1</w:t>
              </w:r>
            </w:hyperlink>
            <w:hyperlink r:id="rId67">
              <w:r>
                <w:rPr>
                  <w:rStyle w:val="InternetLink"/>
                  <w:rFonts w:ascii="Times New Roman;sans-serif" w:hAnsi="Times New Roman;sans-serif"/>
                  <w:b w:val="false"/>
                  <w:color w:val="000080"/>
                  <w:sz w:val="20"/>
                  <w:u w:val="single"/>
                </w:rPr>
                <w:t>7</w:t>
              </w:r>
            </w:hyperlink>
            <w:hyperlink r:id="rId6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Consulting Agreement by and between Kaltura Europe Limited and Ron Yekutiel, effective May 1, 2014,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0ronyekutiel-202.htm">
              <w:r>
                <w:rPr>
                  <w:rStyle w:val="InternetLink"/>
                  <w:rFonts w:ascii="Times New Roman;sans-serif" w:hAnsi="Times New Roman;sans-serif"/>
                  <w:b w:val="false"/>
                  <w:color w:val="000080"/>
                  <w:sz w:val="20"/>
                  <w:u w:val="single"/>
                </w:rPr>
                <w:t>10.</w:t>
              </w:r>
            </w:hyperlink>
            <w:hyperlink w:anchor="exhibit1020ronyekutiel-202.htm">
              <w:r>
                <w:rPr>
                  <w:rStyle w:val="InternetLink"/>
                  <w:rFonts w:ascii="Times New Roman;sans-serif" w:hAnsi="Times New Roman;sans-serif"/>
                  <w:b w:val="false"/>
                  <w:color w:val="000080"/>
                  <w:sz w:val="20"/>
                  <w:u w:val="single"/>
                </w:rPr>
                <w:t>20</w:t>
              </w:r>
            </w:hyperlink>
            <w:hyperlink w:anchor="exhibit1020ronyekutiel-202.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0ronyekutiel-202.htm">
              <w:r>
                <w:rPr>
                  <w:rStyle w:val="InternetLink"/>
                  <w:rFonts w:ascii="Times New Roman;sans-serif" w:hAnsi="Times New Roman;sans-serif"/>
                  <w:b w:val="false"/>
                  <w:color w:val="000080"/>
                  <w:sz w:val="20"/>
                  <w:u w:val="single"/>
                </w:rPr>
                <w:t>Amendment to Employment Agreement, dated as of February 2</w:t>
              </w:r>
            </w:hyperlink>
            <w:hyperlink w:anchor="exhibit1020ronyekutiel-202.htm">
              <w:r>
                <w:rPr>
                  <w:rStyle w:val="InternetLink"/>
                  <w:rFonts w:ascii="Times New Roman;sans-serif" w:hAnsi="Times New Roman;sans-serif"/>
                  <w:b w:val="false"/>
                  <w:color w:val="000080"/>
                  <w:sz w:val="20"/>
                  <w:u w:val="single"/>
                </w:rPr>
                <w:t>0</w:t>
              </w:r>
            </w:hyperlink>
            <w:hyperlink w:anchor="exhibit1020ronyekutiel-202.htm">
              <w:r>
                <w:rPr>
                  <w:rStyle w:val="InternetLink"/>
                  <w:rFonts w:ascii="Times New Roman;sans-serif" w:hAnsi="Times New Roman;sans-serif"/>
                  <w:b w:val="false"/>
                  <w:color w:val="000080"/>
                  <w:sz w:val="20"/>
                  <w:u w:val="single"/>
                </w:rPr>
                <w:t>, 202</w:t>
              </w:r>
            </w:hyperlink>
            <w:hyperlink w:anchor="exhibit1020ronyekutiel-202.htm">
              <w:r>
                <w:rPr>
                  <w:rStyle w:val="InternetLink"/>
                  <w:rFonts w:ascii="Times New Roman;sans-serif" w:hAnsi="Times New Roman;sans-serif"/>
                  <w:b w:val="false"/>
                  <w:color w:val="000080"/>
                  <w:sz w:val="20"/>
                  <w:u w:val="single"/>
                </w:rPr>
                <w:t>4</w:t>
              </w:r>
            </w:hyperlink>
            <w:hyperlink w:anchor="exhibit1020ronyekutiel-202.htm">
              <w:r>
                <w:rPr>
                  <w:rStyle w:val="InternetLink"/>
                  <w:rFonts w:ascii="Times New Roman;sans-serif" w:hAnsi="Times New Roman;sans-serif"/>
                  <w:b w:val="false"/>
                  <w:color w:val="000080"/>
                  <w:sz w:val="20"/>
                  <w:u w:val="single"/>
                </w:rPr>
                <w:t>, by and between Kaltura Ltd and Ron Yekutiel</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1ronyekutiel-202.htm">
              <w:r>
                <w:rPr>
                  <w:rStyle w:val="InternetLink"/>
                  <w:rFonts w:ascii="Times New Roman;sans-serif" w:hAnsi="Times New Roman;sans-serif"/>
                  <w:b w:val="false"/>
                  <w:color w:val="000080"/>
                  <w:sz w:val="20"/>
                  <w:u w:val="single"/>
                </w:rPr>
                <w:t>10.</w:t>
              </w:r>
            </w:hyperlink>
            <w:hyperlink w:anchor="exhibit1021ronyekutiel-202.htm">
              <w:r>
                <w:rPr>
                  <w:rStyle w:val="InternetLink"/>
                  <w:rFonts w:ascii="Times New Roman;sans-serif" w:hAnsi="Times New Roman;sans-serif"/>
                  <w:b w:val="false"/>
                  <w:color w:val="000080"/>
                  <w:sz w:val="20"/>
                  <w:u w:val="single"/>
                </w:rPr>
                <w:t>21</w:t>
              </w:r>
            </w:hyperlink>
            <w:hyperlink w:anchor="exhibit1021ronyekutiel-202.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1ronyekutiel-202.htm">
              <w:r>
                <w:rPr>
                  <w:rStyle w:val="InternetLink"/>
                  <w:rFonts w:ascii="Times New Roman;sans-serif" w:hAnsi="Times New Roman;sans-serif"/>
                  <w:b w:val="false"/>
                  <w:color w:val="000080"/>
                  <w:sz w:val="20"/>
                  <w:u w:val="single"/>
                </w:rPr>
                <w:t>Amendment to Consulting Agreement, dated as of February 2</w:t>
              </w:r>
            </w:hyperlink>
            <w:hyperlink w:anchor="exhibit1021ronyekutiel-202.htm">
              <w:r>
                <w:rPr>
                  <w:rStyle w:val="InternetLink"/>
                  <w:rFonts w:ascii="Times New Roman;sans-serif" w:hAnsi="Times New Roman;sans-serif"/>
                  <w:b w:val="false"/>
                  <w:color w:val="000080"/>
                  <w:sz w:val="20"/>
                  <w:u w:val="single"/>
                </w:rPr>
                <w:t>0</w:t>
              </w:r>
            </w:hyperlink>
            <w:hyperlink w:anchor="exhibit1021ronyekutiel-202.htm">
              <w:r>
                <w:rPr>
                  <w:rStyle w:val="InternetLink"/>
                  <w:rFonts w:ascii="Times New Roman;sans-serif" w:hAnsi="Times New Roman;sans-serif"/>
                  <w:b w:val="false"/>
                  <w:color w:val="000080"/>
                  <w:sz w:val="20"/>
                  <w:u w:val="single"/>
                </w:rPr>
                <w:t>, 202</w:t>
              </w:r>
            </w:hyperlink>
            <w:hyperlink w:anchor="exhibit1021ronyekutiel-202.htm">
              <w:r>
                <w:rPr>
                  <w:rStyle w:val="InternetLink"/>
                  <w:rFonts w:ascii="Times New Roman;sans-serif" w:hAnsi="Times New Roman;sans-serif"/>
                  <w:b w:val="false"/>
                  <w:color w:val="000080"/>
                  <w:sz w:val="20"/>
                  <w:u w:val="single"/>
                </w:rPr>
                <w:t>4</w:t>
              </w:r>
            </w:hyperlink>
            <w:hyperlink w:anchor="exhibit1021ronyekutiel-202.htm">
              <w:r>
                <w:rPr>
                  <w:rStyle w:val="InternetLink"/>
                  <w:rFonts w:ascii="Times New Roman;sans-serif" w:hAnsi="Times New Roman;sans-serif"/>
                  <w:b w:val="false"/>
                  <w:color w:val="000080"/>
                  <w:sz w:val="20"/>
                  <w:u w:val="single"/>
                </w:rPr>
                <w:t>, by and between Kaltura Inc and Ron Yekutiel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ronyekutiel-202.htm">
              <w:r>
                <w:rPr>
                  <w:rStyle w:val="InternetLink"/>
                  <w:rFonts w:ascii="Times New Roman;sans-serif" w:hAnsi="Times New Roman;sans-serif"/>
                  <w:b w:val="false"/>
                  <w:color w:val="000080"/>
                  <w:sz w:val="20"/>
                  <w:u w:val="single"/>
                </w:rPr>
                <w:t>10.</w:t>
              </w:r>
            </w:hyperlink>
            <w:hyperlink w:anchor="exhibit1022ronyekutiel-202.htm">
              <w:r>
                <w:rPr>
                  <w:rStyle w:val="InternetLink"/>
                  <w:rFonts w:ascii="Times New Roman;sans-serif" w:hAnsi="Times New Roman;sans-serif"/>
                  <w:b w:val="false"/>
                  <w:color w:val="000080"/>
                  <w:sz w:val="20"/>
                  <w:u w:val="single"/>
                </w:rPr>
                <w:t>2</w:t>
              </w:r>
            </w:hyperlink>
            <w:hyperlink w:anchor="exhibit1022ronyekutiel-202.htm">
              <w:r>
                <w:rPr>
                  <w:rStyle w:val="InternetLink"/>
                  <w:rFonts w:ascii="Times New Roman;sans-serif" w:hAnsi="Times New Roman;sans-serif"/>
                  <w:b w:val="false"/>
                  <w:color w:val="000080"/>
                  <w:sz w:val="20"/>
                  <w:u w:val="single"/>
                </w:rPr>
                <w:t>2</w:t>
              </w:r>
            </w:hyperlink>
            <w:hyperlink w:anchor="exhibit1022ronyekutiel-202.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ronyekutiel-202.htm">
              <w:r>
                <w:rPr>
                  <w:rStyle w:val="InternetLink"/>
                  <w:rFonts w:ascii="Times New Roman;sans-serif" w:hAnsi="Times New Roman;sans-serif"/>
                  <w:b w:val="false"/>
                  <w:color w:val="000080"/>
                  <w:sz w:val="20"/>
                  <w:u w:val="single"/>
                </w:rPr>
                <w:t>Amendment to Consulting Agreement, dated as of February 2</w:t>
              </w:r>
            </w:hyperlink>
            <w:hyperlink w:anchor="exhibit1022ronyekutiel-202.htm">
              <w:r>
                <w:rPr>
                  <w:rStyle w:val="InternetLink"/>
                  <w:rFonts w:ascii="Times New Roman;sans-serif" w:hAnsi="Times New Roman;sans-serif"/>
                  <w:b w:val="false"/>
                  <w:color w:val="000080"/>
                  <w:sz w:val="20"/>
                  <w:u w:val="single"/>
                </w:rPr>
                <w:t>0</w:t>
              </w:r>
            </w:hyperlink>
            <w:hyperlink w:anchor="exhibit1022ronyekutiel-202.htm">
              <w:r>
                <w:rPr>
                  <w:rStyle w:val="InternetLink"/>
                  <w:rFonts w:ascii="Times New Roman;sans-serif" w:hAnsi="Times New Roman;sans-serif"/>
                  <w:b w:val="false"/>
                  <w:color w:val="000080"/>
                  <w:sz w:val="20"/>
                  <w:u w:val="single"/>
                </w:rPr>
                <w:t>, 202</w:t>
              </w:r>
            </w:hyperlink>
            <w:hyperlink w:anchor="exhibit1022ronyekutiel-202.htm">
              <w:r>
                <w:rPr>
                  <w:rStyle w:val="InternetLink"/>
                  <w:rFonts w:ascii="Times New Roman;sans-serif" w:hAnsi="Times New Roman;sans-serif"/>
                  <w:b w:val="false"/>
                  <w:color w:val="000080"/>
                  <w:sz w:val="20"/>
                  <w:u w:val="single"/>
                </w:rPr>
                <w:t>4</w:t>
              </w:r>
            </w:hyperlink>
            <w:hyperlink w:anchor="exhibit1022ronyekutiel-202.htm">
              <w:r>
                <w:rPr>
                  <w:rStyle w:val="InternetLink"/>
                  <w:rFonts w:ascii="Times New Roman;sans-serif" w:hAnsi="Times New Roman;sans-serif"/>
                  <w:b w:val="false"/>
                  <w:color w:val="000080"/>
                  <w:sz w:val="20"/>
                  <w:u w:val="single"/>
                </w:rPr>
                <w:t>, by and between Kaltura Europe Limited and Ron Yekutiel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80"/>
                  <w:sz w:val="20"/>
                  <w:u w:val="single"/>
                </w:rPr>
                <w:t>10.2</w:t>
              </w:r>
            </w:hyperlink>
            <w:hyperlink r:id="rId71">
              <w:r>
                <w:rPr>
                  <w:rStyle w:val="InternetLink"/>
                  <w:rFonts w:ascii="Times New Roman;sans-serif" w:hAnsi="Times New Roman;sans-serif"/>
                  <w:b w:val="false"/>
                  <w:color w:val="000080"/>
                  <w:sz w:val="20"/>
                  <w:u w:val="single"/>
                </w:rPr>
                <w:t>3</w:t>
              </w:r>
            </w:hyperlink>
            <w:hyperlink r:id="rId7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Letter of Agreement with Yaron Garmazi, dated January 14,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yarongarmazi-ka.htm">
              <w:r>
                <w:rPr>
                  <w:rStyle w:val="InternetLink"/>
                  <w:rFonts w:ascii="Times New Roman;sans-serif" w:hAnsi="Times New Roman;sans-serif"/>
                  <w:b w:val="false"/>
                  <w:color w:val="000080"/>
                  <w:sz w:val="20"/>
                  <w:u w:val="single"/>
                </w:rPr>
                <w:t>10.2</w:t>
              </w:r>
            </w:hyperlink>
            <w:hyperlink w:anchor="exhibit1024yarongarmazi-ka.htm">
              <w:r>
                <w:rPr>
                  <w:rStyle w:val="InternetLink"/>
                  <w:rFonts w:ascii="Times New Roman;sans-serif" w:hAnsi="Times New Roman;sans-serif"/>
                  <w:b w:val="false"/>
                  <w:color w:val="000080"/>
                  <w:sz w:val="20"/>
                  <w:u w:val="single"/>
                </w:rPr>
                <w:t>4</w:t>
              </w:r>
            </w:hyperlink>
            <w:hyperlink w:anchor="exhibit1024yarongarmazi-ka.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yarongarmazi-ka.htm">
              <w:r>
                <w:rPr>
                  <w:rStyle w:val="InternetLink"/>
                  <w:rFonts w:ascii="Times New Roman;sans-serif" w:hAnsi="Times New Roman;sans-serif"/>
                  <w:b w:val="false"/>
                  <w:color w:val="000080"/>
                  <w:sz w:val="20"/>
                  <w:u w:val="single"/>
                </w:rPr>
                <w:t>Incentive Award Cancellation Agreement</w:t>
              </w:r>
            </w:hyperlink>
            <w:hyperlink w:anchor="exhibit1024yarongarmazi-ka.htm">
              <w:r>
                <w:rPr>
                  <w:rStyle w:val="InternetLink"/>
                  <w:rFonts w:ascii="Times New Roman;sans-serif" w:hAnsi="Times New Roman;sans-serif"/>
                  <w:b w:val="false"/>
                  <w:color w:val="000080"/>
                  <w:sz w:val="20"/>
                  <w:u w:val="single"/>
                </w:rPr>
                <w:t xml:space="preserve"> with Yaron Garmazi, dated </w:t>
              </w:r>
            </w:hyperlink>
            <w:hyperlink w:anchor="exhibit1024yarongarmazi-ka.htm">
              <w:r>
                <w:rPr>
                  <w:rStyle w:val="InternetLink"/>
                  <w:rFonts w:ascii="Times New Roman;sans-serif" w:hAnsi="Times New Roman;sans-serif"/>
                  <w:b w:val="false"/>
                  <w:color w:val="000080"/>
                  <w:sz w:val="20"/>
                  <w:u w:val="single"/>
                </w:rPr>
                <w:t>February 13,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5michaltsuremplo.htm">
              <w:r>
                <w:rPr>
                  <w:rStyle w:val="InternetLink"/>
                  <w:rFonts w:ascii="Times New Roman;sans-serif" w:hAnsi="Times New Roman;sans-serif"/>
                  <w:b w:val="false"/>
                  <w:color w:val="000080"/>
                  <w:sz w:val="20"/>
                  <w:u w:val="single"/>
                </w:rPr>
                <w:t>10.2</w:t>
              </w:r>
            </w:hyperlink>
            <w:hyperlink w:anchor="exhibit1025michaltsuremplo.htm">
              <w:r>
                <w:rPr>
                  <w:rStyle w:val="InternetLink"/>
                  <w:rFonts w:ascii="Times New Roman;sans-serif" w:hAnsi="Times New Roman;sans-serif"/>
                  <w:b w:val="false"/>
                  <w:color w:val="000080"/>
                  <w:sz w:val="20"/>
                  <w:u w:val="single"/>
                </w:rPr>
                <w:t>5</w:t>
              </w:r>
            </w:hyperlink>
            <w:hyperlink w:anchor="exhibit1025michaltsuremplo.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5michaltsuremplo.htm">
              <w:r>
                <w:rPr>
                  <w:rStyle w:val="InternetLink"/>
                  <w:rFonts w:ascii="Times New Roman;sans-serif" w:hAnsi="Times New Roman;sans-serif"/>
                  <w:b w:val="false"/>
                  <w:color w:val="000080"/>
                  <w:sz w:val="20"/>
                  <w:u w:val="single"/>
                </w:rPr>
                <w:t xml:space="preserve">Letter of Agreement with </w:t>
              </w:r>
            </w:hyperlink>
            <w:hyperlink w:anchor="exhibit1025michaltsuremplo.htm">
              <w:r>
                <w:rPr>
                  <w:rStyle w:val="InternetLink"/>
                  <w:rFonts w:ascii="Times New Roman;sans-serif" w:hAnsi="Times New Roman;sans-serif"/>
                  <w:b w:val="false"/>
                  <w:color w:val="000080"/>
                  <w:sz w:val="20"/>
                  <w:u w:val="single"/>
                </w:rPr>
                <w:t xml:space="preserve">Michal </w:t>
              </w:r>
            </w:hyperlink>
            <w:hyperlink w:anchor="exhibit1025michaltsuremplo.htm">
              <w:r>
                <w:rPr>
                  <w:rStyle w:val="InternetLink"/>
                  <w:rFonts w:ascii="Times New Roman;sans-serif" w:hAnsi="Times New Roman;sans-serif"/>
                  <w:b w:val="false"/>
                  <w:color w:val="000080"/>
                  <w:sz w:val="20"/>
                  <w:u w:val="single"/>
                </w:rPr>
                <w:t>T</w:t>
              </w:r>
            </w:hyperlink>
            <w:hyperlink w:anchor="exhibit1025michaltsuremplo.htm">
              <w:r>
                <w:rPr>
                  <w:rStyle w:val="InternetLink"/>
                  <w:rFonts w:ascii="Times New Roman;sans-serif" w:hAnsi="Times New Roman;sans-serif"/>
                  <w:b w:val="false"/>
                  <w:color w:val="000080"/>
                  <w:sz w:val="20"/>
                  <w:u w:val="single"/>
                </w:rPr>
                <w:t>s</w:t>
              </w:r>
            </w:hyperlink>
            <w:hyperlink w:anchor="exhibit1025michaltsuremplo.htm">
              <w:r>
                <w:rPr>
                  <w:rStyle w:val="InternetLink"/>
                  <w:rFonts w:ascii="Times New Roman;sans-serif" w:hAnsi="Times New Roman;sans-serif"/>
                  <w:b w:val="false"/>
                  <w:color w:val="000080"/>
                  <w:sz w:val="20"/>
                  <w:u w:val="single"/>
                </w:rPr>
                <w:t>ur</w:t>
              </w:r>
            </w:hyperlink>
            <w:hyperlink w:anchor="exhibit1025michaltsuremplo.htm">
              <w:r>
                <w:rPr>
                  <w:rStyle w:val="InternetLink"/>
                  <w:rFonts w:ascii="Times New Roman;sans-serif" w:hAnsi="Times New Roman;sans-serif"/>
                  <w:b w:val="false"/>
                  <w:color w:val="000080"/>
                  <w:sz w:val="20"/>
                  <w:u w:val="single"/>
                </w:rPr>
                <w:t xml:space="preserve"> dated </w:t>
              </w:r>
            </w:hyperlink>
            <w:hyperlink w:anchor="exhibit1025michaltsuremplo.htm">
              <w:r>
                <w:rPr>
                  <w:rStyle w:val="InternetLink"/>
                  <w:rFonts w:ascii="Times New Roman;sans-serif" w:hAnsi="Times New Roman;sans-serif"/>
                  <w:b w:val="false"/>
                  <w:color w:val="000080"/>
                  <w:sz w:val="20"/>
                  <w:u w:val="single"/>
                </w:rPr>
                <w:t>January</w:t>
              </w:r>
            </w:hyperlink>
            <w:hyperlink w:anchor="exhibit1025michaltsuremplo.htm">
              <w:r>
                <w:rPr>
                  <w:rStyle w:val="InternetLink"/>
                  <w:rFonts w:ascii="Times New Roman;sans-serif" w:hAnsi="Times New Roman;sans-serif"/>
                  <w:b w:val="false"/>
                  <w:color w:val="000080"/>
                  <w:sz w:val="20"/>
                  <w:u w:val="single"/>
                </w:rPr>
                <w:t xml:space="preserve"> 1</w:t>
              </w:r>
            </w:hyperlink>
            <w:hyperlink w:anchor="exhibit1025michaltsuremplo.htm">
              <w:r>
                <w:rPr>
                  <w:rStyle w:val="InternetLink"/>
                  <w:rFonts w:ascii="Times New Roman;sans-serif" w:hAnsi="Times New Roman;sans-serif"/>
                  <w:b w:val="false"/>
                  <w:color w:val="000080"/>
                  <w:sz w:val="20"/>
                  <w:u w:val="single"/>
                </w:rPr>
                <w:t>4</w:t>
              </w:r>
            </w:hyperlink>
            <w:hyperlink w:anchor="exhibit1025michaltsuremplo.htm">
              <w:r>
                <w:rPr>
                  <w:rStyle w:val="InternetLink"/>
                  <w:rFonts w:ascii="Times New Roman;sans-serif" w:hAnsi="Times New Roman;sans-serif"/>
                  <w:b w:val="false"/>
                  <w:color w:val="000080"/>
                  <w:sz w:val="20"/>
                  <w:u w:val="single"/>
                </w:rPr>
                <w:t>,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6michaltsur-kalt.htm">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6michaltsur-kalt.htm">
              <w:r>
                <w:rPr>
                  <w:rStyle w:val="InternetLink"/>
                  <w:rFonts w:ascii="Times New Roman;sans-serif" w:hAnsi="Times New Roman;sans-serif"/>
                  <w:b w:val="false"/>
                  <w:color w:val="0000FF"/>
                  <w:sz w:val="20"/>
                  <w:u w:val="single"/>
                </w:rPr>
                <w:t>Incentive Award Cancellation Agreement with Michal Tsur dated February 13,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7eynavazaria_emp.htm">
              <w:r>
                <w:rPr>
                  <w:rStyle w:val="InternetLink"/>
                  <w:rFonts w:ascii="Times New Roman;sans-serif" w:hAnsi="Times New Roman;sans-serif"/>
                  <w:b w:val="false"/>
                  <w:color w:val="000080"/>
                  <w:sz w:val="20"/>
                  <w:u w:val="single"/>
                </w:rPr>
                <w:t>10.2</w:t>
              </w:r>
            </w:hyperlink>
            <w:hyperlink w:anchor="exhibit1027eynavazaria_emp.htm">
              <w:r>
                <w:rPr>
                  <w:rStyle w:val="InternetLink"/>
                  <w:rFonts w:ascii="Times New Roman;sans-serif" w:hAnsi="Times New Roman;sans-serif"/>
                  <w:b w:val="false"/>
                  <w:color w:val="000080"/>
                  <w:sz w:val="20"/>
                  <w:u w:val="single"/>
                </w:rPr>
                <w:t>7</w:t>
              </w:r>
            </w:hyperlink>
            <w:hyperlink w:anchor="exhibit1027eynavazaria_emp.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7eynavazaria_emp.htm">
              <w:r>
                <w:rPr>
                  <w:rStyle w:val="InternetLink"/>
                  <w:rFonts w:ascii="Times New Roman;sans-serif" w:hAnsi="Times New Roman;sans-serif"/>
                  <w:b w:val="false"/>
                  <w:color w:val="000080"/>
                  <w:sz w:val="20"/>
                  <w:u w:val="single"/>
                </w:rPr>
                <w:t xml:space="preserve">Employment Agreement, dated as of </w:t>
              </w:r>
            </w:hyperlink>
            <w:hyperlink w:anchor="exhibit1027eynavazaria_emp.htm">
              <w:r>
                <w:rPr>
                  <w:rStyle w:val="InternetLink"/>
                  <w:rFonts w:ascii="Times New Roman;sans-serif" w:hAnsi="Times New Roman;sans-serif"/>
                  <w:b w:val="false"/>
                  <w:color w:val="000080"/>
                  <w:sz w:val="20"/>
                  <w:u w:val="single"/>
                </w:rPr>
                <w:t>December</w:t>
              </w:r>
            </w:hyperlink>
            <w:hyperlink w:anchor="exhibit1027eynavazaria_emp.htm">
              <w:r>
                <w:rPr>
                  <w:rStyle w:val="InternetLink"/>
                  <w:rFonts w:ascii="Times New Roman;sans-serif" w:hAnsi="Times New Roman;sans-serif"/>
                  <w:b w:val="false"/>
                  <w:color w:val="000080"/>
                  <w:sz w:val="20"/>
                  <w:u w:val="single"/>
                </w:rPr>
                <w:t xml:space="preserve"> 22</w:t>
              </w:r>
            </w:hyperlink>
            <w:hyperlink w:anchor="exhibit1027eynavazaria_emp.htm">
              <w:r>
                <w:rPr>
                  <w:rStyle w:val="InternetLink"/>
                  <w:rFonts w:ascii="Times New Roman;sans-serif" w:hAnsi="Times New Roman;sans-serif"/>
                  <w:b w:val="false"/>
                  <w:color w:val="000080"/>
                  <w:sz w:val="20"/>
                  <w:u w:val="single"/>
                </w:rPr>
                <w:t>, 20</w:t>
              </w:r>
            </w:hyperlink>
            <w:hyperlink w:anchor="exhibit1027eynavazaria_emp.htm">
              <w:r>
                <w:rPr>
                  <w:rStyle w:val="InternetLink"/>
                  <w:rFonts w:ascii="Times New Roman;sans-serif" w:hAnsi="Times New Roman;sans-serif"/>
                  <w:b w:val="false"/>
                  <w:color w:val="000080"/>
                  <w:sz w:val="20"/>
                  <w:u w:val="single"/>
                </w:rPr>
                <w:t>20</w:t>
              </w:r>
            </w:hyperlink>
            <w:hyperlink w:anchor="exhibit1027eynavazaria_emp.htm">
              <w:r>
                <w:rPr>
                  <w:rStyle w:val="InternetLink"/>
                  <w:rFonts w:ascii="Times New Roman;sans-serif" w:hAnsi="Times New Roman;sans-serif"/>
                  <w:b w:val="false"/>
                  <w:color w:val="000080"/>
                  <w:sz w:val="20"/>
                  <w:u w:val="single"/>
                </w:rPr>
                <w:t xml:space="preserve">, by and between Kaltura Ltd. and </w:t>
              </w:r>
            </w:hyperlink>
            <w:hyperlink w:anchor="exhibit1027eynavazaria_emp.htm">
              <w:r>
                <w:rPr>
                  <w:rStyle w:val="InternetLink"/>
                  <w:rFonts w:ascii="Times New Roman;sans-serif" w:hAnsi="Times New Roman;sans-serif"/>
                  <w:b w:val="false"/>
                  <w:color w:val="000080"/>
                  <w:sz w:val="20"/>
                  <w:u w:val="single"/>
                </w:rPr>
                <w:t>Eynav Azaria</w:t>
              </w:r>
            </w:hyperlink>
            <w:hyperlink w:anchor="exhibit1027eynavazaria_emp.htm">
              <w:r>
                <w:rPr>
                  <w:rStyle w:val="InternetLink"/>
                  <w:rFonts w:ascii="Times New Roman;sans-serif" w:hAnsi="Times New Roman;sans-serif"/>
                  <w:b w:val="false"/>
                  <w:color w:val="000080"/>
                  <w:sz w:val="20"/>
                  <w:u w:val="single"/>
                </w:rPr>
                <w:t>,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8natanisraeli_em.htm">
              <w:r>
                <w:rPr>
                  <w:rStyle w:val="InternetLink"/>
                  <w:rFonts w:ascii="Times New Roman;sans-serif" w:hAnsi="Times New Roman;sans-serif"/>
                  <w:b w:val="false"/>
                  <w:color w:val="000080"/>
                  <w:sz w:val="20"/>
                  <w:u w:val="single"/>
                </w:rPr>
                <w:t>10.2</w:t>
              </w:r>
            </w:hyperlink>
            <w:hyperlink w:anchor="exhibit1028natanisraeli_em.htm">
              <w:r>
                <w:rPr>
                  <w:rStyle w:val="InternetLink"/>
                  <w:rFonts w:ascii="Times New Roman;sans-serif" w:hAnsi="Times New Roman;sans-serif"/>
                  <w:b w:val="false"/>
                  <w:color w:val="000080"/>
                  <w:sz w:val="20"/>
                  <w:u w:val="single"/>
                </w:rPr>
                <w:t>8</w:t>
              </w:r>
            </w:hyperlink>
            <w:hyperlink w:anchor="exhibit1028natanisraeli_em.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8natanisraeli_em.htm">
              <w:r>
                <w:rPr>
                  <w:rStyle w:val="InternetLink"/>
                  <w:rFonts w:ascii="Times New Roman;sans-serif" w:hAnsi="Times New Roman;sans-serif"/>
                  <w:b w:val="false"/>
                  <w:color w:val="000080"/>
                  <w:sz w:val="20"/>
                  <w:u w:val="single"/>
                </w:rPr>
                <w:t xml:space="preserve">Employment Agreement, dated as of </w:t>
              </w:r>
            </w:hyperlink>
            <w:hyperlink w:anchor="exhibit1028natanisraeli_em.htm">
              <w:r>
                <w:rPr>
                  <w:rStyle w:val="InternetLink"/>
                  <w:rFonts w:ascii="Times New Roman;sans-serif" w:hAnsi="Times New Roman;sans-serif"/>
                  <w:b w:val="false"/>
                  <w:color w:val="000080"/>
                  <w:sz w:val="20"/>
                  <w:u w:val="single"/>
                </w:rPr>
                <w:t>November</w:t>
              </w:r>
            </w:hyperlink>
            <w:hyperlink w:anchor="exhibit1028natanisraeli_em.htm">
              <w:r>
                <w:rPr>
                  <w:rStyle w:val="InternetLink"/>
                  <w:rFonts w:ascii="Times New Roman;sans-serif" w:hAnsi="Times New Roman;sans-serif"/>
                  <w:b w:val="false"/>
                  <w:color w:val="000080"/>
                  <w:sz w:val="20"/>
                  <w:u w:val="single"/>
                </w:rPr>
                <w:t xml:space="preserve"> </w:t>
              </w:r>
            </w:hyperlink>
            <w:hyperlink w:anchor="exhibit1028natanisraeli_em.htm">
              <w:r>
                <w:rPr>
                  <w:rStyle w:val="InternetLink"/>
                  <w:rFonts w:ascii="Times New Roman;sans-serif" w:hAnsi="Times New Roman;sans-serif"/>
                  <w:b w:val="false"/>
                  <w:color w:val="000080"/>
                  <w:sz w:val="20"/>
                  <w:u w:val="single"/>
                </w:rPr>
                <w:t>26</w:t>
              </w:r>
            </w:hyperlink>
            <w:hyperlink w:anchor="exhibit1028natanisraeli_em.htm">
              <w:r>
                <w:rPr>
                  <w:rStyle w:val="InternetLink"/>
                  <w:rFonts w:ascii="Times New Roman;sans-serif" w:hAnsi="Times New Roman;sans-serif"/>
                  <w:b w:val="false"/>
                  <w:color w:val="000080"/>
                  <w:sz w:val="20"/>
                  <w:u w:val="single"/>
                </w:rPr>
                <w:t xml:space="preserve">, 2020, by and between Kaltura Ltd. and </w:t>
              </w:r>
            </w:hyperlink>
            <w:hyperlink w:anchor="exhibit1028natanisraeli_em.htm">
              <w:r>
                <w:rPr>
                  <w:rStyle w:val="InternetLink"/>
                  <w:rFonts w:ascii="Times New Roman;sans-serif" w:hAnsi="Times New Roman;sans-serif"/>
                  <w:b w:val="false"/>
                  <w:color w:val="000080"/>
                  <w:sz w:val="20"/>
                  <w:u w:val="single"/>
                </w:rPr>
                <w:t>Natan Israeli</w:t>
              </w:r>
            </w:hyperlink>
            <w:hyperlink w:anchor="exhibit1028natanisraeli_em.htm">
              <w:r>
                <w:rPr>
                  <w:rStyle w:val="InternetLink"/>
                  <w:rFonts w:ascii="Times New Roman;sans-serif" w:hAnsi="Times New Roman;sans-serif"/>
                  <w:b w:val="false"/>
                  <w:color w:val="000080"/>
                  <w:sz w:val="20"/>
                  <w:u w:val="single"/>
                </w:rPr>
                <w:t xml:space="preserve">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80"/>
                  <w:sz w:val="20"/>
                  <w:u w:val="single"/>
                </w:rPr>
                <w:t>10.2</w:t>
              </w:r>
            </w:hyperlink>
            <w:hyperlink r:id="rId75">
              <w:r>
                <w:rPr>
                  <w:rStyle w:val="InternetLink"/>
                  <w:rFonts w:ascii="Times New Roman;sans-serif" w:hAnsi="Times New Roman;sans-serif"/>
                  <w:b w:val="false"/>
                  <w:color w:val="000080"/>
                  <w:sz w:val="20"/>
                  <w:u w:val="single"/>
                </w:rPr>
                <w:t>9</w:t>
              </w:r>
            </w:hyperlink>
            <w:hyperlink r:id="rId7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Kaltura, Inc.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80"/>
                  <w:sz w:val="20"/>
                  <w:u w:val="single"/>
                </w:rPr>
                <w:t>10.</w:t>
              </w:r>
            </w:hyperlink>
            <w:hyperlink r:id="rId79">
              <w:r>
                <w:rPr>
                  <w:rStyle w:val="InternetLink"/>
                  <w:rFonts w:ascii="Times New Roman;sans-serif" w:hAnsi="Times New Roman;sans-serif"/>
                  <w:b w:val="false"/>
                  <w:color w:val="000080"/>
                  <w:sz w:val="20"/>
                  <w:u w:val="single"/>
                </w:rPr>
                <w:t>30</w:t>
              </w:r>
            </w:hyperlink>
            <w:hyperlink r:id="rId8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1">
              <w:r>
                <w:rPr>
                  <w:rStyle w:val="InternetLink"/>
                  <w:rFonts w:ascii="Times New Roman;sans-serif" w:hAnsi="Times New Roman;sans-serif"/>
                  <w:b w:val="false"/>
                  <w:color w:val="0000FF"/>
                  <w:sz w:val="20"/>
                  <w:u w:val="single"/>
                </w:rPr>
                <w:t>Form of RSU Award Agreement Under 2021 Incentive Award Plan - For Israeli Participants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80"/>
                  <w:sz w:val="20"/>
                  <w:u w:val="single"/>
                </w:rPr>
                <w:t>10.</w:t>
              </w:r>
            </w:hyperlink>
            <w:hyperlink r:id="rId83">
              <w:r>
                <w:rPr>
                  <w:rStyle w:val="InternetLink"/>
                  <w:rFonts w:ascii="Times New Roman;sans-serif" w:hAnsi="Times New Roman;sans-serif"/>
                  <w:b w:val="false"/>
                  <w:color w:val="000080"/>
                  <w:sz w:val="20"/>
                  <w:u w:val="single"/>
                </w:rPr>
                <w:t>3</w:t>
              </w:r>
            </w:hyperlink>
            <w:hyperlink r:id="rId84">
              <w:r>
                <w:rPr>
                  <w:rStyle w:val="InternetLink"/>
                  <w:rFonts w:ascii="Times New Roman;sans-serif" w:hAnsi="Times New Roman;sans-serif"/>
                  <w:b w:val="false"/>
                  <w:color w:val="000080"/>
                  <w:sz w:val="20"/>
                  <w:u w:val="single"/>
                </w:rPr>
                <w:t>1</w:t>
              </w:r>
            </w:hyperlink>
            <w:hyperlink r:id="rId85">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6">
              <w:r>
                <w:rPr>
                  <w:rStyle w:val="InternetLink"/>
                  <w:rFonts w:ascii="Times New Roman;sans-serif" w:hAnsi="Times New Roman;sans-serif"/>
                  <w:b w:val="false"/>
                  <w:color w:val="0000FF"/>
                  <w:sz w:val="20"/>
                  <w:u w:val="single"/>
                </w:rPr>
                <w:t>Form of Stock Option Award Agreement Under 2021 Incentive Award Plan - For Israeli Participants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80"/>
                  <w:sz w:val="20"/>
                  <w:u w:val="single"/>
                </w:rPr>
                <w:t>10.</w:t>
              </w:r>
            </w:hyperlink>
            <w:hyperlink r:id="rId88">
              <w:r>
                <w:rPr>
                  <w:rStyle w:val="InternetLink"/>
                  <w:rFonts w:ascii="Times New Roman;sans-serif" w:hAnsi="Times New Roman;sans-serif"/>
                  <w:b w:val="false"/>
                  <w:color w:val="000080"/>
                  <w:sz w:val="20"/>
                  <w:u w:val="single"/>
                </w:rPr>
                <w:t>3</w:t>
              </w:r>
            </w:hyperlink>
            <w:hyperlink r:id="rId89">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Form of Indemnification Agreement between Kaltura, Inc.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333-253699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List of Subsidiaries of Kaltura,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eyconsent1.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eyconsent1.htm">
              <w:r>
                <w:rPr>
                  <w:rStyle w:val="InternetLink"/>
                  <w:rFonts w:ascii="Times New Roman;sans-serif" w:hAnsi="Times New Roman;sans-serif"/>
                  <w:b w:val="false"/>
                  <w:color w:val="0000FF"/>
                  <w:sz w:val="20"/>
                  <w:u w:val="single"/>
                </w:rPr>
                <w:t>Consent of Kost Forer Gabbay &amp; Kasierer, a member of Ernst &amp; Young Global,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o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o1.htm">
              <w:r>
                <w:rPr>
                  <w:rStyle w:val="InternetLink"/>
                  <w:rFonts w:ascii="Times New Roman;sans-serif" w:hAnsi="Times New Roman;sans-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fo1.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fo1.htm">
              <w:r>
                <w:rPr>
                  <w:rStyle w:val="InternetLink"/>
                  <w:rFonts w:ascii="Times New Roman;sans-serif" w:hAnsi="Times New Roman;sans-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o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o1.htm">
              <w:r>
                <w:rPr>
                  <w:rStyle w:val="InternetLink"/>
                  <w:rFonts w:ascii="Times New Roman;sans-serif" w:hAnsi="Times New Roman;sans-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38"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
        <w:gridCol w:w="197"/>
        <w:gridCol w:w="198"/>
        <w:gridCol w:w="109"/>
        <w:gridCol w:w="109"/>
        <w:gridCol w:w="109"/>
        <w:gridCol w:w="2036"/>
        <w:gridCol w:w="1940"/>
        <w:gridCol w:w="194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fo1.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fo1.htm">
              <w:r>
                <w:rPr>
                  <w:rStyle w:val="InternetLink"/>
                  <w:rFonts w:ascii="Times New Roman;sans-serif" w:hAnsi="Times New Roman;sans-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kaltura-clawback.htm">
              <w:r>
                <w:rPr>
                  <w:rStyle w:val="InternetLink"/>
                  <w:rFonts w:ascii="Times New Roman;sans-serif" w:hAnsi="Times New Roman;sans-serif"/>
                  <w:b w:val="false"/>
                  <w:color w:val="0000FF"/>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kaltura-clawback.htm">
              <w:r>
                <w:rPr>
                  <w:rStyle w:val="InternetLink"/>
                  <w:rFonts w:ascii="Times New Roman;sans-serif" w:hAnsi="Times New Roman;sans-serif"/>
                  <w:b w:val="false"/>
                  <w:color w:val="0000FF"/>
                  <w:sz w:val="20"/>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10.28</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Indicates management contract or compensatory plan.</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annex has been omitted pursuant to Item 601(a)(5) of Regulation S-K. The registrant undertakes to furnish a supplemental copy of the annex to the SEC upon request.</w:t>
      </w:r>
    </w:p>
    <w:p>
      <w:pPr>
        <w:pStyle w:val="TextBody"/>
        <w:bidi w:val="0"/>
        <w:spacing w:before="2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16. Form 10-K Summary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2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7665"/>
                <wp:effectExtent l="0" t="0" r="0" b="0"/>
                <wp:wrapNone/>
                <wp:docPr id="139"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8c129095af541e48f545729b1ad120d_7">
        <w:r>
          <w:rPr>
            <w:rStyle w:val="InternetLink"/>
            <w:rFonts w:ascii="Times New Roman;sans-serif" w:hAnsi="Times New Roman;sans-serif"/>
            <w:b w:val="false"/>
            <w:color w:val="0000FF"/>
            <w:sz w:val="16"/>
            <w:u w:val="single"/>
          </w:rPr>
          <w:t>Table of Contents</w:t>
        </w:r>
      </w:hyperlink>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80"/>
        <w:ind w:left="0" w:right="0" w:firstLine="490"/>
        <w:jc w:val="both"/>
        <w:rPr/>
      </w:pPr>
      <w:r>
        <w:rPr/>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tbl>
      <w:tblPr>
        <w:tblW w:w="785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238"/>
        <w:gridCol w:w="238"/>
        <w:gridCol w:w="238"/>
        <w:gridCol w:w="1378"/>
        <w:gridCol w:w="1378"/>
        <w:gridCol w:w="196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KALTURA, INC.</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Ron Yekutiel</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Ron Yekutiel</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Chairman, President and Chief Executive Officer</w:t>
            </w:r>
          </w:p>
        </w:tc>
      </w:tr>
    </w:tbl>
    <w:p>
      <w:pPr>
        <w:pStyle w:val="TextBody"/>
        <w:bidi w:val="0"/>
        <w:spacing w:lineRule="auto" w:line="240" w:before="0" w:after="0"/>
        <w:jc w:val="left"/>
        <w:rPr>
          <w:color w:val="000000"/>
        </w:rPr>
      </w:pPr>
      <w:r>
        <w:rPr>
          <w:color w:val="000000"/>
        </w:rPr>
        <w:t> </w:t>
      </w:r>
    </w:p>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02"/>
        <w:gridCol w:w="696"/>
        <w:gridCol w:w="704"/>
        <w:gridCol w:w="109"/>
        <w:gridCol w:w="109"/>
        <w:gridCol w:w="109"/>
        <w:gridCol w:w="1903"/>
        <w:gridCol w:w="1903"/>
        <w:gridCol w:w="1923"/>
        <w:gridCol w:w="109"/>
        <w:gridCol w:w="109"/>
        <w:gridCol w:w="109"/>
        <w:gridCol w:w="470"/>
        <w:gridCol w:w="470"/>
        <w:gridCol w:w="680"/>
      </w:tblGrid>
      <w:tr>
        <w:trPr/>
        <w:tc>
          <w:tcPr>
            <w:tcW w:w="80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Ron Yekutiel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Chairman, President and 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Ron Yekutiel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shd w:fill="FFFFFF" w:val="clear"/>
              </w:rPr>
              <w:t> </w:t>
            </w:r>
            <w:r>
              <w:rPr>
                <w:rFonts w:ascii="Times New Roman;sans-serif" w:hAnsi="Times New Roman;sans-serif"/>
                <w:b w:val="false"/>
                <w:i/>
                <w:color w:val="000000"/>
                <w:sz w:val="20"/>
                <w:shd w:fill="FFFFFF" w:val="clear"/>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Yaron Garmazi</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Yaron Garmazi</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(principal financial officer and principal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shd w:fill="FFFFFF" w:val="clear"/>
              </w:rPr>
              <w:t>/s/ </w:t>
            </w:r>
            <w:r>
              <w:rPr>
                <w:rFonts w:ascii="Times;sans-serif" w:hAnsi="Times;sans-serif"/>
                <w:b w:val="false"/>
                <w:color w:val="000000"/>
                <w:sz w:val="20"/>
                <w:shd w:fill="FFFFFF" w:val="clear"/>
              </w:rPr>
              <w:t>Richard Levandov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Richard Levandov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shd w:fill="FFFFFF" w:val="clear"/>
              </w:rPr>
              <w:t>/s/ </w:t>
            </w:r>
            <w:r>
              <w:rPr>
                <w:rFonts w:ascii="Times;sans-serif" w:hAnsi="Times;sans-serif"/>
                <w:b w:val="false"/>
                <w:color w:val="000000"/>
                <w:sz w:val="20"/>
                <w:shd w:fill="FFFFFF" w:val="clear"/>
              </w:rPr>
              <w:t>Shay David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sans-serif" w:hAnsi="Times;sans-serif"/>
                <w:b/>
                <w:color w:val="000000"/>
                <w:sz w:val="20"/>
              </w:rPr>
            </w:pPr>
            <w:r>
              <w:rPr>
                <w:rFonts w:ascii="Times;sans-serif" w:hAnsi="Times;sans-serif"/>
                <w:b/>
                <w:color w:val="000000"/>
                <w:sz w:val="20"/>
              </w:rPr>
              <w:t>Shay David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Ronen Faier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sans-serif" w:hAnsi="Times;sans-serif"/>
                <w:b/>
                <w:color w:val="000000"/>
                <w:sz w:val="20"/>
              </w:rPr>
            </w:pPr>
            <w:r>
              <w:rPr>
                <w:rFonts w:ascii="Times;sans-serif" w:hAnsi="Times;sans-serif"/>
                <w:b/>
                <w:color w:val="000000"/>
                <w:sz w:val="20"/>
              </w:rPr>
              <w:t>Ronen Faier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shd w:fill="FFFFFF" w:val="clear"/>
              </w:rPr>
              <w:t>/s/ </w:t>
            </w:r>
            <w:r>
              <w:rPr>
                <w:rFonts w:ascii="Times;sans-serif" w:hAnsi="Times;sans-serif"/>
                <w:b w:val="false"/>
                <w:color w:val="000000"/>
                <w:sz w:val="20"/>
                <w:shd w:fill="FFFFFF" w:val="clear"/>
              </w:rPr>
              <w:t>Naama Halevi Davidov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sans-serif" w:hAnsi="Times;sans-serif"/>
                <w:b/>
                <w:color w:val="000000"/>
                <w:sz w:val="20"/>
              </w:rPr>
            </w:pPr>
            <w:r>
              <w:rPr>
                <w:rFonts w:ascii="Times;sans-serif" w:hAnsi="Times;sans-serif"/>
                <w:b/>
                <w:color w:val="000000"/>
                <w:sz w:val="20"/>
              </w:rPr>
              <w:t>Naama Halevi Davidov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Eyal Manor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2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sans-serif" w:hAnsi="Times;sans-serif"/>
                <w:b/>
                <w:color w:val="000000"/>
                <w:sz w:val="20"/>
              </w:rPr>
            </w:pPr>
            <w:r>
              <w:rPr>
                <w:rFonts w:ascii="Times;sans-serif" w:hAnsi="Times;sans-serif"/>
                <w:b/>
                <w:color w:val="000000"/>
                <w:sz w:val="20"/>
              </w:rPr>
              <w:t>Eyal Manor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of the</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Employment Agreement</w:t>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This AMENDMENT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to that certain individual Employment Agreement (as defined below), is made and entered into this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of February, 2024, by and between </w:t>
      </w:r>
      <w:r>
        <w:rPr>
          <w:rFonts w:ascii="Times New Roman;sans-serif" w:hAnsi="Times New Roman;sans-serif"/>
          <w:b/>
          <w:color w:val="000000"/>
          <w:sz w:val="22"/>
        </w:rPr>
        <w:t>Kaltura Ltd.</w:t>
      </w:r>
      <w:r>
        <w:rPr>
          <w:rFonts w:ascii="Times New Roman;sans-serif" w:hAnsi="Times New Roman;sans-serif"/>
          <w:b w:val="false"/>
          <w:color w:val="000000"/>
          <w:sz w:val="22"/>
        </w:rPr>
        <w:t>, a company organized under the laws of the State of Israel and having an office and principal place of business at Allied Tower, 9 Ben-Gurion Road, Bnei-Brak, Israel 5126014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Mr. Ron Yekutiel</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Employee</w:t>
      </w:r>
      <w:r>
        <w:rPr>
          <w:color w:val="000000"/>
        </w:rPr>
        <w:t>”</w:t>
      </w:r>
      <w:r>
        <w:rPr>
          <w:rFonts w:ascii="Times New Roman;sans-serif" w:hAnsi="Times New Roman;sans-serif"/>
          <w:b w:val="false"/>
          <w:color w:val="000000"/>
          <w:sz w:val="22"/>
        </w:rPr>
        <w:t>).</w:t>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Each of the above is referred to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referred to as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before="60" w:after="283"/>
        <w:jc w:val="both"/>
        <w:rPr/>
      </w:pPr>
      <w:r>
        <w:rPr/>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have entered into an individual employment agreement dated May 1</w:t>
      </w:r>
      <w:r>
        <w:rPr>
          <w:rFonts w:ascii="Times New Roman;sans-serif" w:hAnsi="Times New Roman;sans-serif"/>
          <w:b w:val="false"/>
          <w:color w:val="000000"/>
          <w:sz w:val="14"/>
        </w:rPr>
        <w:t>st</w:t>
      </w:r>
      <w:r>
        <w:rPr>
          <w:rFonts w:ascii="Times New Roman;sans-serif" w:hAnsi="Times New Roman;sans-serif"/>
          <w:b w:val="false"/>
          <w:color w:val="000000"/>
          <w:sz w:val="22"/>
        </w:rPr>
        <w:t>, 2012, in connection with the Employee’s employment by the Company, as from time to time amended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2"/>
        </w:rPr>
        <w:t>Employment Agreement</w:t>
      </w:r>
      <w:r>
        <w:rPr>
          <w:color w:val="000000"/>
        </w:rPr>
        <w:t>”</w:t>
      </w:r>
      <w:r>
        <w:rPr>
          <w:rFonts w:ascii="Times New Roman;sans-serif" w:hAnsi="Times New Roman;sans-serif"/>
          <w:b w:val="false"/>
          <w:color w:val="000000"/>
          <w:sz w:val="22"/>
        </w:rPr>
        <w:t>); and</w:t>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wish to amend</w:t>
      </w:r>
      <w:r>
        <w:rPr>
          <w:color w:val="000000"/>
        </w:rPr>
        <w:t xml:space="preserve"> </w:t>
      </w:r>
      <w:r>
        <w:rPr>
          <w:rFonts w:ascii="Times New Roman;sans-serif" w:hAnsi="Times New Roman;sans-serif"/>
          <w:b w:val="false"/>
          <w:color w:val="000000"/>
          <w:sz w:val="22"/>
        </w:rPr>
        <w:t>the Employment Agreement in accordance with the terms herewith;</w:t>
      </w:r>
    </w:p>
    <w:p>
      <w:pPr>
        <w:pStyle w:val="TextBody"/>
        <w:bidi w:val="0"/>
        <w:spacing w:before="60" w:after="283"/>
        <w:jc w:val="both"/>
        <w:rPr/>
      </w:pPr>
      <w:r>
        <w:rPr/>
      </w:r>
    </w:p>
    <w:p>
      <w:pPr>
        <w:pStyle w:val="TextBody"/>
        <w:bidi w:val="0"/>
        <w:spacing w:lineRule="auto" w:line="240" w:before="60" w:after="283"/>
        <w:ind w:left="0" w:right="0" w:firstLine="357"/>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mutual agreements and covenants contained in this Amendment and other good and valuable consideration (the receipt and adequacy of which are hereby mutually acknowledged), each of the Parties hereby agree as follows: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Definitions and Interpretation</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1.1.Capitalized terms used but not otherwise defined herein having the respective meanings set forth in the Employment Agreement. All capitalized terms used but not defined hereinabove or in the Employment Agreement, shall have the meaning ascribed for then as in the recitals or as hereinbelow defined.</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1.2.The preface to this Amendment constitutes an indivisible and integral part thereof.</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1.3.The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Base Salary</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2.1.Commencing as of January 1</w:t>
      </w:r>
      <w:r>
        <w:rPr>
          <w:rFonts w:ascii="Times New Roman;sans-serif" w:hAnsi="Times New Roman;sans-serif"/>
          <w:b w:val="false"/>
          <w:color w:val="000000"/>
          <w:sz w:val="14"/>
        </w:rPr>
        <w:t>ST</w:t>
      </w:r>
      <w:r>
        <w:rPr>
          <w:rFonts w:ascii="Times New Roman;sans-serif" w:hAnsi="Times New Roman;sans-serif"/>
          <w:b w:val="false"/>
          <w:color w:val="000000"/>
          <w:sz w:val="22"/>
        </w:rPr>
        <w:t>, 2024, the Employee’s annual Base Salary shall be increased by a gross amount of NIS 110,670 (which is equal to $31,000 in accordance with $1.00/NIS3.57 exchange rate as was affixed by the Company for the purposes of your Employment Agreement, regardless such rate at the Effective Date of this Amendment) to a gross annual amount of NIS 659,598 (namely, an addition of NIS 9,222.50 gross per month to a total gross monthly Base Salary of NIS 54,966.50). To dispel doubt, the new Base Salay NIS amount as so affixed by the Company shall be deemed for all purposes as the amount by which your NIS gross Base Salary has been increased, and it shall not be linked or subject to any further NIS/USD exchange rate changes.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Bonus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3.1.The Employee’s entitlement to an annual Bonus for the calendar year of 2024 shall be determined, for such year only, on the basis of the Employee’s and Kaltura Inc. (the “</w:t>
      </w:r>
      <w:r>
        <w:rPr>
          <w:rFonts w:ascii="Times New Roman;sans-serif" w:hAnsi="Times New Roman;sans-serif"/>
          <w:b/>
          <w:color w:val="000000"/>
          <w:sz w:val="22"/>
        </w:rPr>
        <w:t>US Parent</w:t>
      </w:r>
      <w:r>
        <w:rPr>
          <w:color w:val="000000"/>
        </w:rPr>
        <w:t>”</w:t>
      </w:r>
      <w:r>
        <w:rPr>
          <w:rFonts w:ascii="Times New Roman;sans-serif" w:hAnsi="Times New Roman;sans-serif"/>
          <w:b w:val="false"/>
          <w:color w:val="000000"/>
          <w:sz w:val="22"/>
        </w:rPr>
        <w:t xml:space="preserve">) attainment of certain goals and objectives defined by the US Parent, which are set forth in the Employee’s annual bonus plan according to US Parent’s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- 2 -</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283"/>
        <w:jc w:val="both"/>
        <w:rPr/>
      </w:pPr>
      <w:r>
        <w:rPr>
          <w:rFonts w:ascii="Times New Roman;sans-serif" w:hAnsi="Times New Roman;sans-serif"/>
          <w:b w:val="false"/>
          <w:color w:val="000000"/>
          <w:sz w:val="22"/>
        </w:rPr>
        <w:t xml:space="preserve">2024 Executive Compensation Plan as approved by the its Compensation Committee on or about February 14, 2024, a summary of which is enclosed as </w:t>
      </w:r>
      <w:r>
        <w:rPr>
          <w:rFonts w:ascii="Times New Roman;sans-serif" w:hAnsi="Times New Roman;sans-serif"/>
          <w:b/>
          <w:color w:val="000000"/>
          <w:sz w:val="22"/>
          <w:u w:val="single"/>
        </w:rPr>
        <w:t>Annex A</w:t>
      </w:r>
      <w:r>
        <w:rPr>
          <w:color w:val="000000"/>
        </w:rPr>
        <w:t xml:space="preserve"> </w:t>
      </w:r>
      <w:r>
        <w:rPr>
          <w:rFonts w:ascii="Times New Roman;sans-serif" w:hAnsi="Times New Roman;sans-serif"/>
          <w:b w:val="false"/>
          <w:color w:val="000000"/>
          <w:sz w:val="22"/>
        </w:rPr>
        <w:t>hereof (the “</w:t>
      </w:r>
      <w:r>
        <w:rPr>
          <w:rFonts w:ascii="Times New Roman;sans-serif" w:hAnsi="Times New Roman;sans-serif"/>
          <w:b/>
          <w:color w:val="000000"/>
          <w:sz w:val="22"/>
        </w:rPr>
        <w:t>2024 Executive Compensation Plan</w:t>
      </w:r>
      <w:r>
        <w:rPr>
          <w:color w:val="000000"/>
        </w:rPr>
        <w:t>”</w:t>
      </w:r>
      <w:r>
        <w:rPr>
          <w:rFonts w:ascii="Times New Roman;sans-serif" w:hAnsi="Times New Roman;sans-serif"/>
          <w:b w:val="false"/>
          <w:color w:val="000000"/>
          <w:sz w:val="22"/>
        </w:rPr>
        <w:t>).</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subject to the successive Subsections of this Section 3 hereof, the 2024 annual Bonus shall be as follows: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3.1.1.The potential maximum annual Bonus with respect to 100% attainment, satisfaction and performance against the 2024 Executive Compensation Plan’s targets and thresholds (namely, Individual Objectives and Company Financial Goals KPIs and OKRs) as elaborated in the 2024 Executive Compensation Plan, shall equal the gross amount of USD </w:t>
      </w:r>
      <w:r>
        <w:rPr>
          <w:rFonts w:ascii="Times New Roman;sans-serif" w:hAnsi="Times New Roman;sans-serif"/>
          <w:b/>
          <w:color w:val="000000"/>
          <w:sz w:val="22"/>
        </w:rPr>
        <w:t>588,000</w:t>
      </w:r>
      <w:r>
        <w:rPr>
          <w:color w:val="000000"/>
        </w:rPr>
        <w:t xml:space="preserve"> </w:t>
      </w:r>
      <w:r>
        <w:rPr>
          <w:rFonts w:ascii="Times New Roman;sans-serif" w:hAnsi="Times New Roman;sans-serif"/>
          <w:b w:val="false"/>
          <w:color w:val="000000"/>
          <w:sz w:val="22"/>
        </w:rPr>
        <w:t>(herein, the “</w:t>
      </w:r>
      <w:r>
        <w:rPr>
          <w:rFonts w:ascii="Times New Roman;sans-serif" w:hAnsi="Times New Roman;sans-serif"/>
          <w:b/>
          <w:color w:val="000000"/>
          <w:sz w:val="22"/>
        </w:rPr>
        <w:t>Base OTB</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3.1.2.The potential maximum annual Additional Stretch Bonus for overachievement against such goals (&gt;100%), shall equal the gross amount of USD </w:t>
      </w:r>
      <w:r>
        <w:rPr>
          <w:rFonts w:ascii="Times New Roman;sans-serif" w:hAnsi="Times New Roman;sans-serif"/>
          <w:b/>
          <w:color w:val="000000"/>
          <w:sz w:val="22"/>
        </w:rPr>
        <w:t>220,000</w:t>
      </w:r>
      <w:r>
        <w:rPr>
          <w:color w:val="000000"/>
        </w:rPr>
        <w:t xml:space="preserve"> </w:t>
      </w:r>
      <w:r>
        <w:rPr>
          <w:rFonts w:ascii="Times New Roman;sans-serif" w:hAnsi="Times New Roman;sans-serif"/>
          <w:b w:val="false"/>
          <w:color w:val="000000"/>
          <w:sz w:val="22"/>
        </w:rPr>
        <w:t>(based on overstretch bonus of 137.5% of Base OTB).</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3.2.Notwithstanding anything to the contrary in the Employment Agreement or any other agreements, arrangements, undertakings, obligations, representations, warranties and/or understandings, either oral, in writing or otherwise, relating to the Employee’s employment and/or grant of services and/or any other engagement, entered into between the Parties, the monetary value of the Base OTB to which the Employee shall be entitled under the 2024 Executive Compensation Plan up to 100% attainment, shall be granted in the form of up to </w:t>
      </w:r>
      <w:r>
        <w:rPr>
          <w:rFonts w:ascii="Times New Roman;sans-serif" w:hAnsi="Times New Roman;sans-serif"/>
          <w:b/>
          <w:color w:val="000000"/>
          <w:sz w:val="22"/>
        </w:rPr>
        <w:t>326,000</w:t>
      </w:r>
      <w:r>
        <w:rPr>
          <w:color w:val="000000"/>
        </w:rPr>
        <w:t xml:space="preserve"> </w:t>
      </w:r>
      <w:r>
        <w:rPr>
          <w:rFonts w:ascii="Times New Roman;sans-serif" w:hAnsi="Times New Roman;sans-serif"/>
          <w:b w:val="false"/>
          <w:color w:val="000000"/>
          <w:sz w:val="22"/>
        </w:rPr>
        <w:t>Restricted Stock Units (as defined in the 2021 Kaltura, Inc. Incentive Award Plan and Israeli Sub-Plan; together, the “</w:t>
      </w:r>
      <w:r>
        <w:rPr>
          <w:rFonts w:ascii="Times New Roman;sans-serif" w:hAnsi="Times New Roman;sans-serif"/>
          <w:b/>
          <w:color w:val="000000"/>
          <w:sz w:val="22"/>
        </w:rPr>
        <w:t>2021 Plan</w:t>
      </w:r>
      <w:r>
        <w:rPr>
          <w:color w:val="000000"/>
        </w:rPr>
        <w:t>”</w:t>
      </w:r>
      <w:r>
        <w:rPr>
          <w:rFonts w:ascii="Times New Roman;sans-serif" w:hAnsi="Times New Roman;sans-serif"/>
          <w:b w:val="false"/>
          <w:color w:val="000000"/>
          <w:sz w:val="22"/>
        </w:rPr>
        <w:t>), to be settled in shares in accordance with the calculation and vesting terms set forth in the 2024 Executive Compensation Plan (the “</w:t>
      </w:r>
      <w:r>
        <w:rPr>
          <w:rFonts w:ascii="Times New Roman;sans-serif" w:hAnsi="Times New Roman;sans-serif"/>
          <w:b/>
          <w:color w:val="000000"/>
          <w:sz w:val="22"/>
        </w:rPr>
        <w:t>MBO RSUs</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3.3.The Employee </w:t>
      </w:r>
      <w:r>
        <w:rPr>
          <w:rFonts w:ascii="Times New Roman;sans-serif" w:hAnsi="Times New Roman;sans-serif"/>
          <w:b w:val="false"/>
          <w:color w:val="000000"/>
          <w:sz w:val="22"/>
          <w:u w:val="single"/>
        </w:rPr>
        <w:t>shall not have</w:t>
      </w:r>
      <w:r>
        <w:rPr>
          <w:color w:val="000000"/>
        </w:rPr>
        <w:t xml:space="preserve"> </w:t>
      </w:r>
      <w:r>
        <w:rPr>
          <w:rFonts w:ascii="Times New Roman;sans-serif" w:hAnsi="Times New Roman;sans-serif"/>
          <w:b w:val="false"/>
          <w:color w:val="000000"/>
          <w:sz w:val="22"/>
        </w:rPr>
        <w:t>any excess entitlement under this Agreement for Annual Additional Stretch Bonus with respect to MBO overachievement (i.e., &gt;100% attainment of the applicable goals under the 2024 Executive Compensation Plan).</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3.4.Except as set forth in this Amendment for the 2024 annual Bonus, the Employee’s entitlement to annual Bonus and Additional Stretch Bonus shall be determined, for each subsequent calendar year, on the basis of the attainment of certain financial and operational metrics set by the US Parent Board of Directors or Compensation Committee.</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3.5.All Bonus payments, if any, shall be subject to all mandatory withholdings and deductions, and shall be deemed to be quoted in gross figures. In addition, all Bonus payments in currencies other than US Dollar (for 2024, the Additional Stretch Bonus payment) will be adjusted in accordance with the specific payment currency and US Dollar exchange rate that shall prevail as of the payment calculation date in accordance with the Company’s policies and procedures.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MBO RSUs Terms of Grant</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terms and provisions of the 2021 Plan, the 2024 Executive Compensation Plan and the applicable Award Agreement, the MBO RSUs (if and to the Extent the Employee shall be entitled to such) shall be subject to the following:</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Grant Date</w:t>
      </w:r>
      <w:r>
        <w:rPr>
          <w:rFonts w:ascii="Times New Roman;sans-serif" w:hAnsi="Times New Roman;sans-serif"/>
          <w:b w:val="false"/>
          <w:color w:val="000000"/>
          <w:sz w:val="22"/>
        </w:rPr>
        <w:t>: effective as of the effective date of the Compensation Committee’s approval of the 2024 Executive Compensation Plan, namely, February 14, 2024.</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xml:space="preserve">: Up to the maximum number of the MBO RSUs that were granted to the Employee will be eligible to vest in accordance with the satisfaction and performance against the 2024 Executive Compensation Plan’s targets and thresholds (namely, Individual Objectives and Company Financial Goals KPIs and OKRs), upon and subject to the eligibility of the Employee to the cash payment of the Annual Bonus but for the conversion thereof to MBO RSUs which shall be determined following the approval of the final audited results for FY-2024 (no later than March 15, 2025), </w:t>
      </w:r>
      <w:r>
        <w:rPr>
          <w:rFonts w:ascii="Times New Roman;sans-serif" w:hAnsi="Times New Roman;sans-serif"/>
          <w:b w:val="false"/>
          <w:i/>
          <w:color w:val="000000"/>
          <w:sz w:val="22"/>
        </w:rPr>
        <w:t>subject, however</w:t>
      </w:r>
      <w:r>
        <w:rPr>
          <w:rFonts w:ascii="Times New Roman;sans-serif" w:hAnsi="Times New Roman;sans-serif"/>
          <w:b w:val="false"/>
          <w:color w:val="000000"/>
          <w:sz w:val="22"/>
        </w:rPr>
        <w:t>, to the continued employment of the Employee through December 31, 2024.</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Contingencies</w:t>
      </w:r>
      <w:r>
        <w:rPr>
          <w:rFonts w:ascii="Times New Roman;sans-serif" w:hAnsi="Times New Roman;sans-serif"/>
          <w:b w:val="false"/>
          <w:color w:val="000000"/>
          <w:sz w:val="22"/>
        </w:rPr>
        <w:t>: the MBO RSUs award shall be made pursuant to the 2021 Plan, the 2024 Executive Compensation Plan and the appropriate award agreement to be executed by the Employee and countersigned by Kaltura, Inc., and to the execution and delivery of all required agreements and instruments pursuant to the 2021 Plan and Kaltura, Inc.’s policies.</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- 3 -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4.4.All other terms of grant as set forth in the 2024 Executive Compensation Plan and the Company’s Award Documents.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Additional Benefits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5.1.Subject to the approval of the Compensation Committee of the Board of Directors of Kaltura, Inc., and the Employee’s continued employment by the Company through the applicable vesting date, the Company anticipates granting the Employee such number of LTI RSUs award as stipulated in the 2024 Executive Compensation Plan (herein, “</w:t>
      </w:r>
      <w:r>
        <w:rPr>
          <w:rFonts w:ascii="Times New Roman;sans-serif" w:hAnsi="Times New Roman;sans-serif"/>
          <w:b/>
          <w:color w:val="000000"/>
          <w:sz w:val="22"/>
        </w:rPr>
        <w:t>LTI RSUs</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5.2.The LTI RSUs, if awarded, will be governed by the terms and conditions of the Company’s 2021 Plan, the respective provisions of the 2024 Executive Compensation Plan and applicable award agreements.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Miscellaneous</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6.1.The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6.2.This Amendment may be executed in one or more counterparts, each of which shall be deemed an original, but all of which together shall constitute one and the same instrument.</w:t>
      </w:r>
    </w:p>
    <w:p>
      <w:pPr>
        <w:pStyle w:val="TextBody"/>
        <w:bidi w:val="0"/>
        <w:spacing w:before="60" w:after="283"/>
        <w:jc w:val="both"/>
        <w:rPr/>
      </w:pPr>
      <w:r>
        <w:rPr/>
      </w:r>
    </w:p>
    <w:p>
      <w:pPr>
        <w:pStyle w:val="TextBody"/>
        <w:bidi w:val="0"/>
        <w:spacing w:lineRule="auto" w:line="240" w:before="60" w:after="283"/>
        <w:jc w:val="both"/>
        <w:rPr/>
      </w:pPr>
      <w:r>
        <w:rPr>
          <w:color w:val="000000"/>
        </w:rPr>
        <w:t>    </w:t>
      </w: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executed this Amendment as of the date first hereinabove set forth:</w:t>
      </w:r>
    </w:p>
    <w:p>
      <w:pPr>
        <w:pStyle w:val="TextBody"/>
        <w:bidi w:val="0"/>
        <w:spacing w:before="60" w:after="283"/>
        <w:jc w:val="both"/>
        <w:rPr/>
      </w:pPr>
      <w:r>
        <w:rPr/>
      </w:r>
    </w:p>
    <w:p>
      <w:pPr>
        <w:pStyle w:val="TextBody"/>
        <w:bidi w:val="0"/>
        <w:spacing w:before="60" w:after="283"/>
        <w:jc w:val="both"/>
        <w:rPr/>
      </w:pPr>
      <w:r>
        <w:rPr/>
      </w:r>
    </w:p>
    <w:tbl>
      <w:tblPr>
        <w:tblW w:w="4520" w:type="dxa"/>
        <w:jc w:val="left"/>
        <w:tblInd w:w="0" w:type="dxa"/>
        <w:tblLayout w:type="fixed"/>
        <w:tblCellMar>
          <w:top w:w="28" w:type="dxa"/>
          <w:left w:w="28" w:type="dxa"/>
          <w:bottom w:w="28" w:type="dxa"/>
          <w:right w:w="28" w:type="dxa"/>
        </w:tblCellMar>
      </w:tblPr>
      <w:tblGrid>
        <w:gridCol w:w="267"/>
        <w:gridCol w:w="234"/>
        <w:gridCol w:w="234"/>
        <w:gridCol w:w="509"/>
        <w:gridCol w:w="509"/>
        <w:gridCol w:w="526"/>
        <w:gridCol w:w="109"/>
        <w:gridCol w:w="109"/>
        <w:gridCol w:w="109"/>
        <w:gridCol w:w="173"/>
        <w:gridCol w:w="173"/>
        <w:gridCol w:w="173"/>
        <w:gridCol w:w="407"/>
        <w:gridCol w:w="407"/>
        <w:gridCol w:w="581"/>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279"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22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Yaron Garmazi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Ron Yekutiel</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4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- 4 -</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left"/>
        <w:rPr/>
      </w:pPr>
      <w:r>
        <w:rPr/>
      </w:r>
    </w:p>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of the</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Consultancy Agreement</w:t>
      </w:r>
    </w:p>
    <w:p>
      <w:pPr>
        <w:pStyle w:val="TextBody"/>
        <w:bidi w:val="0"/>
        <w:spacing w:before="60" w:after="283"/>
        <w:jc w:val="both"/>
        <w:rPr/>
      </w:pPr>
      <w:r>
        <w:rPr/>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This AMENDMENT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to that certain Consultancy Agreement (as defined below), is made and entered into this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of February, 2024, by and between </w:t>
      </w:r>
      <w:r>
        <w:rPr>
          <w:rFonts w:ascii="Times New Roman;sans-serif" w:hAnsi="Times New Roman;sans-serif"/>
          <w:b/>
          <w:color w:val="000000"/>
          <w:sz w:val="22"/>
        </w:rPr>
        <w:t>Kaltura, Inc.</w:t>
      </w:r>
      <w:r>
        <w:rPr>
          <w:rFonts w:ascii="Times New Roman;sans-serif" w:hAnsi="Times New Roman;sans-serif"/>
          <w:b w:val="false"/>
          <w:color w:val="000000"/>
          <w:sz w:val="22"/>
        </w:rPr>
        <w:t>, a Delaware corporation of 860 Broadway, 3</w:t>
      </w:r>
      <w:r>
        <w:rPr>
          <w:rFonts w:ascii="Times New Roman;sans-serif" w:hAnsi="Times New Roman;sans-serif"/>
          <w:b w:val="false"/>
          <w:color w:val="000000"/>
          <w:sz w:val="14"/>
        </w:rPr>
        <w:t>rd</w:t>
      </w:r>
      <w:r>
        <w:rPr>
          <w:color w:val="000000"/>
        </w:rPr>
        <w:t xml:space="preserve"> </w:t>
      </w:r>
      <w:r>
        <w:rPr>
          <w:rFonts w:ascii="Times New Roman;sans-serif" w:hAnsi="Times New Roman;sans-serif"/>
          <w:b w:val="false"/>
          <w:color w:val="000000"/>
          <w:sz w:val="22"/>
        </w:rPr>
        <w:t>Floor, New York, NY 10003, USA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and Mr. Ron Yekutiel (the “</w:t>
      </w:r>
      <w:r>
        <w:rPr>
          <w:rFonts w:ascii="Times New Roman;sans-serif" w:hAnsi="Times New Roman;sans-serif"/>
          <w:b/>
          <w:color w:val="000000"/>
          <w:sz w:val="22"/>
        </w:rPr>
        <w:t>Consultant</w:t>
      </w:r>
      <w:r>
        <w:rPr>
          <w:color w:val="000000"/>
        </w:rPr>
        <w:t>”</w:t>
      </w:r>
      <w:r>
        <w:rPr>
          <w:rFonts w:ascii="Times New Roman;sans-serif" w:hAnsi="Times New Roman;sans-serif"/>
          <w:b w:val="false"/>
          <w:color w:val="000000"/>
          <w:sz w:val="22"/>
        </w:rPr>
        <w:t>).</w:t>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Each of the above is referred to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referred to as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before="60" w:after="283"/>
        <w:jc w:val="both"/>
        <w:rPr/>
      </w:pPr>
      <w:r>
        <w:rPr/>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have entered into a Consultancy agreement dated January 1</w:t>
      </w:r>
      <w:r>
        <w:rPr>
          <w:rFonts w:ascii="Times New Roman;sans-serif" w:hAnsi="Times New Roman;sans-serif"/>
          <w:b w:val="false"/>
          <w:color w:val="000000"/>
          <w:sz w:val="14"/>
        </w:rPr>
        <w:t>st</w:t>
      </w:r>
      <w:r>
        <w:rPr>
          <w:rFonts w:ascii="Times New Roman;sans-serif" w:hAnsi="Times New Roman;sans-serif"/>
          <w:b w:val="false"/>
          <w:color w:val="000000"/>
          <w:sz w:val="22"/>
        </w:rPr>
        <w:t>, 2018, in connection with the grant of certain management consulting services by the Consultant to the Company, as from time to time amended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2"/>
        </w:rPr>
        <w:t>Consultancy Agreement</w:t>
      </w:r>
      <w:r>
        <w:rPr>
          <w:color w:val="000000"/>
        </w:rPr>
        <w:t>”</w:t>
      </w:r>
      <w:r>
        <w:rPr>
          <w:rFonts w:ascii="Times New Roman;sans-serif" w:hAnsi="Times New Roman;sans-serif"/>
          <w:b w:val="false"/>
          <w:color w:val="000000"/>
          <w:sz w:val="22"/>
        </w:rPr>
        <w:t>); and</w:t>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wish to amend</w:t>
      </w:r>
      <w:r>
        <w:rPr>
          <w:color w:val="000000"/>
        </w:rPr>
        <w:t xml:space="preserve"> </w:t>
      </w:r>
      <w:r>
        <w:rPr>
          <w:rFonts w:ascii="Times New Roman;sans-serif" w:hAnsi="Times New Roman;sans-serif"/>
          <w:b w:val="false"/>
          <w:color w:val="000000"/>
          <w:sz w:val="22"/>
        </w:rPr>
        <w:t>the Consultancy Agreement in accordance with the terms herewith;</w:t>
      </w:r>
    </w:p>
    <w:p>
      <w:pPr>
        <w:pStyle w:val="TextBody"/>
        <w:bidi w:val="0"/>
        <w:spacing w:before="60" w:after="283"/>
        <w:jc w:val="both"/>
        <w:rPr/>
      </w:pPr>
      <w:r>
        <w:rPr/>
      </w:r>
    </w:p>
    <w:p>
      <w:pPr>
        <w:pStyle w:val="TextBody"/>
        <w:bidi w:val="0"/>
        <w:spacing w:lineRule="auto" w:line="240" w:before="60" w:after="283"/>
        <w:ind w:left="0" w:right="0" w:firstLine="357"/>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mutual agreements and covenants contained in this Amendment and other good and valuable consideration (the receipt and adequacy of which are hereby mutually acknowledged), each of the Parties hereby agree as follows: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Definitions and Interpretation</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1.1.Capitalized terms used but not otherwise defined herein having the respective meanings set forth in the Consultancy Agreement. All capitalized terms used but not defined hereinabove or in the Consultancy Agreement, shall have the meaning ascribed for then as in the recitals or as hereinbelow defined.</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1.2.The preface to this Amendment constitutes an indivisible and integral part thereof.</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1.3.The provisions of this Amendment are in addition to, and in amendment of, the provisions of the Consultancy Agreement and in the event of any discrepancy or inconsistency between the provisions of the Consultancy Agreement and the provisions of this Amendment, the provisions of this Amendment shall prevail. Any reference in the Consultancy Agreement or herein to “this Agreement” shall mean the Consultancy Agreement as amended by this Amendment.</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Bonus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2.1.The Consultant’s entitlement to an annual Bonus for the calendar year of 2024 shall be determined, for such year only, on the basis of the Consultant’s and the Company’s attainment of certain goals and objectives defined by the Company, which are set forth in the Consultant’s annual bonus plan according to Company’s 2024 Executive Compensation Plan as approved by the Company’s Compensation Committee on or about February 14, 2024, a summary of which is enclosed as </w:t>
      </w:r>
      <w:r>
        <w:rPr>
          <w:rFonts w:ascii="Times New Roman;sans-serif" w:hAnsi="Times New Roman;sans-serif"/>
          <w:b/>
          <w:color w:val="000000"/>
          <w:sz w:val="22"/>
          <w:u w:val="single"/>
        </w:rPr>
        <w:t>Annex A</w:t>
      </w:r>
      <w:r>
        <w:rPr>
          <w:color w:val="000000"/>
        </w:rPr>
        <w:t xml:space="preserve"> </w:t>
      </w:r>
      <w:r>
        <w:rPr>
          <w:rFonts w:ascii="Times New Roman;sans-serif" w:hAnsi="Times New Roman;sans-serif"/>
          <w:b w:val="false"/>
          <w:color w:val="000000"/>
          <w:sz w:val="22"/>
        </w:rPr>
        <w:t>hereof (the “</w:t>
      </w:r>
      <w:r>
        <w:rPr>
          <w:rFonts w:ascii="Times New Roman;sans-serif" w:hAnsi="Times New Roman;sans-serif"/>
          <w:b/>
          <w:color w:val="000000"/>
          <w:sz w:val="22"/>
        </w:rPr>
        <w:t>2024 Executive Compensation Plan</w:t>
      </w:r>
      <w:r>
        <w:rPr>
          <w:color w:val="000000"/>
        </w:rPr>
        <w:t>”</w:t>
      </w:r>
      <w:r>
        <w:rPr>
          <w:rFonts w:ascii="Times New Roman;sans-serif" w:hAnsi="Times New Roman;sans-serif"/>
          <w:b w:val="false"/>
          <w:color w:val="000000"/>
          <w:sz w:val="22"/>
        </w:rPr>
        <w:t>; it is hereby noted that the LTI RSUs Award is not applicable to the Consultant).</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subject to Sections 2.2 and 2.3 hereof, the 2024 annual Bonus shall be as follows: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2.1.1.The potential maximum annual Bonus with respect to 100% attainment, satisfaction and performance against the 2024 Executive Compensation Plan’s targets and thresholds (namely, Individual Objectives and Company Financial Goals KPIs and OKRs) as elaborated in the 2024 Executive Compensation Plan, shall equal the gross amount of USD </w:t>
      </w:r>
      <w:r>
        <w:rPr>
          <w:rFonts w:ascii="Times New Roman;sans-serif" w:hAnsi="Times New Roman;sans-serif"/>
          <w:b/>
          <w:color w:val="000000"/>
          <w:sz w:val="22"/>
        </w:rPr>
        <w:t>588,000</w:t>
      </w:r>
      <w:r>
        <w:rPr>
          <w:color w:val="000000"/>
        </w:rPr>
        <w:t xml:space="preserve"> </w:t>
      </w:r>
      <w:r>
        <w:rPr>
          <w:rFonts w:ascii="Times New Roman;sans-serif" w:hAnsi="Times New Roman;sans-serif"/>
          <w:b w:val="false"/>
          <w:color w:val="000000"/>
          <w:sz w:val="22"/>
        </w:rPr>
        <w:t>(herein, the “</w:t>
      </w:r>
      <w:r>
        <w:rPr>
          <w:rFonts w:ascii="Times New Roman;sans-serif" w:hAnsi="Times New Roman;sans-serif"/>
          <w:b/>
          <w:color w:val="000000"/>
          <w:sz w:val="22"/>
        </w:rPr>
        <w:t>Base OTB</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2.1.2.The potential maximum annual Additional Stretch Bonus for overachievement against such goals (&gt;100%), shall equal the gross amount of USD </w:t>
      </w:r>
      <w:r>
        <w:rPr>
          <w:rFonts w:ascii="Times New Roman;sans-serif" w:hAnsi="Times New Roman;sans-serif"/>
          <w:b/>
          <w:color w:val="000000"/>
          <w:sz w:val="22"/>
        </w:rPr>
        <w:t>220,000</w:t>
      </w:r>
      <w:r>
        <w:rPr>
          <w:color w:val="000000"/>
        </w:rPr>
        <w:t xml:space="preserve"> </w:t>
      </w:r>
      <w:r>
        <w:rPr>
          <w:rFonts w:ascii="Times New Roman;sans-serif" w:hAnsi="Times New Roman;sans-serif"/>
          <w:b w:val="false"/>
          <w:color w:val="000000"/>
          <w:sz w:val="22"/>
        </w:rPr>
        <w:t>(based on overstretch bonus of 137.5% of Base OTB)</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- 2 -</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45"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Ron Yekutiel - 2024 Amendment to US Consultancy Agmt (Execution Copy) - 2-20-2024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Ron Yekutiel - 2024 Amendment to US Consultancy Agmt (Execution Copy) - 2-20-2024</w:t>
                      </w:r>
                    </w:p>
                  </w:txbxContent>
                </v:textbox>
                <w10:wrap type="none"/>
              </v:rect>
            </w:pict>
          </mc:Fallback>
        </mc:AlternateConten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2.2.Notwithstanding anything to the contrary in the Consultancy Agreement or any other agreements, arrangements, undertakings, obligations, representations, warranties and/or understandings, either oral, in writing or otherwise, relating to the Consultant’s Consultancy and/or grant of services and/or any other engagement, entered into between the Parties, under this Agreement the Consultant </w:t>
      </w:r>
      <w:r>
        <w:rPr>
          <w:rFonts w:ascii="Times New Roman;sans-serif" w:hAnsi="Times New Roman;sans-serif"/>
          <w:b w:val="false"/>
          <w:color w:val="000000"/>
          <w:sz w:val="22"/>
          <w:u w:val="single"/>
        </w:rPr>
        <w:t>shall not be entitled</w:t>
      </w:r>
      <w:r>
        <w:rPr>
          <w:color w:val="000000"/>
        </w:rPr>
        <w:t xml:space="preserve"> </w:t>
      </w:r>
      <w:r>
        <w:rPr>
          <w:rFonts w:ascii="Times New Roman;sans-serif" w:hAnsi="Times New Roman;sans-serif"/>
          <w:b w:val="false"/>
          <w:color w:val="000000"/>
          <w:sz w:val="22"/>
        </w:rPr>
        <w:t>to Bonus for the Base OTB under the 2024 Executive Compensation Plan, up to 100% attainment.</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2.3.Further, the Consultant shall be entitled to </w:t>
      </w:r>
      <w:r>
        <w:rPr>
          <w:rFonts w:ascii="Times New Roman;sans-serif" w:hAnsi="Times New Roman;sans-serif"/>
          <w:b w:val="false"/>
          <w:color w:val="000000"/>
          <w:sz w:val="22"/>
          <w:u w:val="single"/>
        </w:rPr>
        <w:t>half</w:t>
      </w:r>
      <w:r>
        <w:rPr>
          <w:color w:val="000000"/>
        </w:rPr>
        <w:t xml:space="preserve"> </w:t>
      </w:r>
      <w:r>
        <w:rPr>
          <w:rFonts w:ascii="Times New Roman;sans-serif" w:hAnsi="Times New Roman;sans-serif"/>
          <w:b w:val="false"/>
          <w:color w:val="000000"/>
          <w:sz w:val="22"/>
        </w:rPr>
        <w:t>of any excess Annual Additional Stretch Bonus for MBO overachievement up to the 50% of the maximum Annual Additional Stretch Bonus (i.e., &gt;100% attainment of the applicable goals under the 2024 Executive Compensation Plan), which will be paid in cash in accordance with the entitlement and payment terms set forth under the 2024 Executive Compensation Plan.</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2.4.Except as set forth in this Amendment for the 2024 annual Bonus, the Consultant’s entitlement to annual Bonus and Additional Stretch Bonus shall be determined, for each subsequent calendar year, on the basis of the attainment of certain financial and operational metrics set by the Company’s Board of Directors or Compensation Committee. </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2.5.All Bonus payments, if any, shall be subject to all mandatory withholdings and deductions, and shall be deemed to be quoted in gross figures. In addition, all Bonus payments in currencies other than US Dollar (for 2024, the Additional Stretch Bonus payment) will be adjusted in accordance with the specific payment currency and US Dollar exchange rate that shall prevail as of the payment calculation date in accordance with the Company’s policies and procedures.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Miscellaneous</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3.1.The Consultancy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Consultancy Agreement as one agreement and, save as expressly amended by this Amendment, the Consultancy Agreement shall remain unaltered and in full force and effect.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3.2.This Amendment may be executed in one or more counterparts, each of which shall be deemed an original, but all of which together shall constitute one and the same instrument.</w:t>
      </w:r>
    </w:p>
    <w:p>
      <w:pPr>
        <w:pStyle w:val="TextBody"/>
        <w:bidi w:val="0"/>
        <w:spacing w:before="60" w:after="283"/>
        <w:jc w:val="both"/>
        <w:rPr/>
      </w:pPr>
      <w:r>
        <w:rPr/>
      </w:r>
    </w:p>
    <w:p>
      <w:pPr>
        <w:pStyle w:val="TextBody"/>
        <w:bidi w:val="0"/>
        <w:spacing w:lineRule="auto" w:line="240" w:before="60" w:after="283"/>
        <w:jc w:val="both"/>
        <w:rPr/>
      </w:pPr>
      <w:r>
        <w:rPr>
          <w:color w:val="000000"/>
        </w:rPr>
        <w:t>    </w:t>
      </w: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executed this Amendment as of the date first hereinabove set forth:</w:t>
      </w:r>
    </w:p>
    <w:p>
      <w:pPr>
        <w:pStyle w:val="TextBody"/>
        <w:bidi w:val="0"/>
        <w:spacing w:before="60" w:after="283"/>
        <w:jc w:val="both"/>
        <w:rPr/>
      </w:pPr>
      <w:r>
        <w:rPr/>
      </w:r>
    </w:p>
    <w:tbl>
      <w:tblPr>
        <w:tblW w:w="4568" w:type="dxa"/>
        <w:jc w:val="left"/>
        <w:tblInd w:w="0" w:type="dxa"/>
        <w:tblLayout w:type="fixed"/>
        <w:tblCellMar>
          <w:top w:w="28" w:type="dxa"/>
          <w:left w:w="28" w:type="dxa"/>
          <w:bottom w:w="28" w:type="dxa"/>
          <w:right w:w="28" w:type="dxa"/>
        </w:tblCellMar>
      </w:tblPr>
      <w:tblGrid>
        <w:gridCol w:w="267"/>
        <w:gridCol w:w="234"/>
        <w:gridCol w:w="234"/>
        <w:gridCol w:w="511"/>
        <w:gridCol w:w="511"/>
        <w:gridCol w:w="523"/>
        <w:gridCol w:w="109"/>
        <w:gridCol w:w="109"/>
        <w:gridCol w:w="109"/>
        <w:gridCol w:w="189"/>
        <w:gridCol w:w="189"/>
        <w:gridCol w:w="189"/>
        <w:gridCol w:w="405"/>
        <w:gridCol w:w="405"/>
        <w:gridCol w:w="584"/>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28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Consultant</w:t>
            </w:r>
          </w:p>
        </w:tc>
      </w:tr>
      <w:tr>
        <w:trPr/>
        <w:tc>
          <w:tcPr>
            <w:tcW w:w="22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Yaron Garmazi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Ron Yekutiel</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4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of the</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Consultancy Agreement</w:t>
      </w:r>
    </w:p>
    <w:p>
      <w:pPr>
        <w:pStyle w:val="TextBody"/>
        <w:bidi w:val="0"/>
        <w:spacing w:before="60" w:after="283"/>
        <w:jc w:val="both"/>
        <w:rPr/>
      </w:pPr>
      <w:r>
        <w:rPr/>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This AMENDMENT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to that certain Consultancy Agreement (as defined below), is made and entered into this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of February, 2024, by and between </w:t>
      </w:r>
      <w:r>
        <w:rPr>
          <w:rFonts w:ascii="Times New Roman;sans-serif" w:hAnsi="Times New Roman;sans-serif"/>
          <w:b/>
          <w:color w:val="000000"/>
          <w:sz w:val="22"/>
        </w:rPr>
        <w:t>Kaltura, Europe Ltd.</w:t>
      </w:r>
      <w:r>
        <w:rPr>
          <w:rFonts w:ascii="Times New Roman;sans-serif" w:hAnsi="Times New Roman;sans-serif"/>
          <w:b w:val="false"/>
          <w:color w:val="000000"/>
          <w:sz w:val="22"/>
        </w:rPr>
        <w:t>, a company incorporated and registered in England and Wales with company number 8012257, whose registered office is at 4</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Northumberland House, 303-306 High Holborn, London WC1V 7JZ, England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and Mr. Ron Yekutiel (the “</w:t>
      </w:r>
      <w:r>
        <w:rPr>
          <w:rFonts w:ascii="Times New Roman;sans-serif" w:hAnsi="Times New Roman;sans-serif"/>
          <w:b/>
          <w:color w:val="000000"/>
          <w:sz w:val="22"/>
        </w:rPr>
        <w:t>Consultant</w:t>
      </w:r>
      <w:r>
        <w:rPr>
          <w:color w:val="000000"/>
        </w:rPr>
        <w:t>”</w:t>
      </w:r>
      <w:r>
        <w:rPr>
          <w:rFonts w:ascii="Times New Roman;sans-serif" w:hAnsi="Times New Roman;sans-serif"/>
          <w:b w:val="false"/>
          <w:color w:val="000000"/>
          <w:sz w:val="22"/>
        </w:rPr>
        <w:t>).</w:t>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Each of the above is referred to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referred to as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before="60" w:after="283"/>
        <w:jc w:val="both"/>
        <w:rPr/>
      </w:pPr>
      <w:r>
        <w:rPr/>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have entered into a Consultancy agreement effective as of May 1</w:t>
      </w:r>
      <w:r>
        <w:rPr>
          <w:rFonts w:ascii="Times New Roman;sans-serif" w:hAnsi="Times New Roman;sans-serif"/>
          <w:b w:val="false"/>
          <w:color w:val="000000"/>
          <w:sz w:val="14"/>
        </w:rPr>
        <w:t>st</w:t>
      </w:r>
      <w:r>
        <w:rPr>
          <w:rFonts w:ascii="Times New Roman;sans-serif" w:hAnsi="Times New Roman;sans-serif"/>
          <w:b w:val="false"/>
          <w:color w:val="000000"/>
          <w:sz w:val="22"/>
        </w:rPr>
        <w:t>, 2014, in connection with the grant of certain management consulting services by the Consultant to the Company, as from time to time amended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2"/>
        </w:rPr>
        <w:t>Consultancy Agreement</w:t>
      </w:r>
      <w:r>
        <w:rPr>
          <w:color w:val="000000"/>
        </w:rPr>
        <w:t>”</w:t>
      </w:r>
      <w:r>
        <w:rPr>
          <w:rFonts w:ascii="Times New Roman;sans-serif" w:hAnsi="Times New Roman;sans-serif"/>
          <w:b w:val="false"/>
          <w:color w:val="000000"/>
          <w:sz w:val="22"/>
        </w:rPr>
        <w:t>); and</w:t>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wish to amend</w:t>
      </w:r>
      <w:r>
        <w:rPr>
          <w:color w:val="000000"/>
        </w:rPr>
        <w:t xml:space="preserve"> </w:t>
      </w:r>
      <w:r>
        <w:rPr>
          <w:rFonts w:ascii="Times New Roman;sans-serif" w:hAnsi="Times New Roman;sans-serif"/>
          <w:b w:val="false"/>
          <w:color w:val="000000"/>
          <w:sz w:val="22"/>
        </w:rPr>
        <w:t>the Consultancy Agreement in accordance with the terms herewith;</w:t>
      </w:r>
    </w:p>
    <w:p>
      <w:pPr>
        <w:pStyle w:val="TextBody"/>
        <w:bidi w:val="0"/>
        <w:spacing w:before="60" w:after="283"/>
        <w:jc w:val="both"/>
        <w:rPr/>
      </w:pPr>
      <w:r>
        <w:rPr/>
      </w:r>
    </w:p>
    <w:p>
      <w:pPr>
        <w:pStyle w:val="TextBody"/>
        <w:bidi w:val="0"/>
        <w:spacing w:lineRule="auto" w:line="240" w:before="60" w:after="283"/>
        <w:ind w:left="0" w:right="0" w:firstLine="357"/>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mutual agreements and covenants contained in this Amendment and other good and valuable consideration (the receipt and adequacy of which are hereby mutually acknowledged), each of the Parties hereby agree as follows: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Definitions and Interpretation</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1.1.Capitalized terms used but not otherwise defined herein having the respective meanings set forth in the Consultancy Agreement. All capitalized terms used but not defined hereinabove or in the Consultancy Agreement, shall have the meaning ascribed for then as in the recitals or as hereinbelow defined.</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1.2.The preface to this Amendment constitutes an indivisible and integral part thereof.</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1.3.The provisions of this Amendment are in addition to, and in amendment of, the provisions of the Consultancy Agreement and in the event of any discrepancy or inconsistency between the provisions of the Consultancy Agreement and the provisions of this Amendment, the provisions of this Amendment shall prevail. Any reference in the Consultancy Agreement or herein to “this Agreement” shall mean the Consultancy Agreement as amended by this Amendment.</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Bonus</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Exhibit A of the Consultancy Agreement shall be amended as follows: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2.1.The Consultant’s entitlement to an annual Bonus for the calendar year of 2024 shall be determined, for such year only, on the basis of the Consultant’s and the Company’s attainment of certain goals and objectives defined by the Company, which are set forth in the Consultant’s annual bonus plan according to Company’s 2024 Executive Compensation Plan as approved by the Company’s Compensation Committee on or about February 14, 2024, a summary of which is enclosed as </w:t>
      </w:r>
      <w:r>
        <w:rPr>
          <w:rFonts w:ascii="Times New Roman;sans-serif" w:hAnsi="Times New Roman;sans-serif"/>
          <w:b/>
          <w:color w:val="000000"/>
          <w:sz w:val="22"/>
          <w:u w:val="single"/>
        </w:rPr>
        <w:t>Annex A</w:t>
      </w:r>
      <w:r>
        <w:rPr>
          <w:color w:val="000000"/>
        </w:rPr>
        <w:t xml:space="preserve"> </w:t>
      </w:r>
      <w:r>
        <w:rPr>
          <w:rFonts w:ascii="Times New Roman;sans-serif" w:hAnsi="Times New Roman;sans-serif"/>
          <w:b w:val="false"/>
          <w:color w:val="000000"/>
          <w:sz w:val="22"/>
        </w:rPr>
        <w:t>hereof (the “</w:t>
      </w:r>
      <w:r>
        <w:rPr>
          <w:rFonts w:ascii="Times New Roman;sans-serif" w:hAnsi="Times New Roman;sans-serif"/>
          <w:b/>
          <w:color w:val="000000"/>
          <w:sz w:val="22"/>
        </w:rPr>
        <w:t>2024 Executive Compensation Plan</w:t>
      </w:r>
      <w:r>
        <w:rPr>
          <w:color w:val="000000"/>
        </w:rPr>
        <w:t>”</w:t>
      </w:r>
      <w:r>
        <w:rPr>
          <w:rFonts w:ascii="Times New Roman;sans-serif" w:hAnsi="Times New Roman;sans-serif"/>
          <w:b w:val="false"/>
          <w:color w:val="000000"/>
          <w:sz w:val="22"/>
        </w:rPr>
        <w:t>; it is hereby noted that the LTI RSUs Award is not applicable to the Consultant).</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subject to Sections 2.2 and 2.3 hereof, the 2024 annual Bonus shall be as follows: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2.1.1.The potential maximum annual Bonus with respect to 100% attainment, satisfaction and performance against the 2024 Executive Compensation Plan’s targets and thresholds (namely, Individual Objectives and Company Financial Goals KPIs and OKRs) as elaborated in the 2024 Executive Compensation Plan, shall equal the gross amount of USD </w:t>
      </w:r>
      <w:r>
        <w:rPr>
          <w:rFonts w:ascii="Times New Roman;sans-serif" w:hAnsi="Times New Roman;sans-serif"/>
          <w:b/>
          <w:color w:val="000000"/>
          <w:sz w:val="22"/>
        </w:rPr>
        <w:t>588,000</w:t>
      </w:r>
      <w:r>
        <w:rPr>
          <w:color w:val="000000"/>
        </w:rPr>
        <w:t xml:space="preserve"> </w:t>
      </w:r>
      <w:r>
        <w:rPr>
          <w:rFonts w:ascii="Times New Roman;sans-serif" w:hAnsi="Times New Roman;sans-serif"/>
          <w:b w:val="false"/>
          <w:color w:val="000000"/>
          <w:sz w:val="22"/>
        </w:rPr>
        <w:t>(herein, the “</w:t>
      </w:r>
      <w:r>
        <w:rPr>
          <w:rFonts w:ascii="Times New Roman;sans-serif" w:hAnsi="Times New Roman;sans-serif"/>
          <w:b/>
          <w:color w:val="000000"/>
          <w:sz w:val="22"/>
        </w:rPr>
        <w:t>Base OTB</w:t>
      </w:r>
      <w:r>
        <w:rPr>
          <w:color w:val="000000"/>
        </w:rPr>
        <w:t>”</w:t>
      </w:r>
      <w:r>
        <w:rPr>
          <w:rFonts w:ascii="Times New Roman;sans-serif" w:hAnsi="Times New Roman;sans-serif"/>
          <w:b w:val="false"/>
          <w:color w:val="000000"/>
          <w:sz w:val="22"/>
        </w:rPr>
        <w:t>).</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- 2 -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47"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Ron Yekutiel - 2024 Amendment to UK Consultancy Agmt (Execution Copy) - 2-20-2024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Ron Yekutiel - 2024 Amendment to UK Consultancy Agmt (Execution Copy) - 2-20-2024</w:t>
                      </w:r>
                    </w:p>
                  </w:txbxContent>
                </v:textbox>
                <w10:wrap type="none"/>
              </v:rect>
            </w:pict>
          </mc:Fallback>
        </mc:AlternateConten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2.1.2.The potential maximum annual Additional Stretch Bonus for overachievement against such goals (&gt;100%), shall equal the gross amount of USD </w:t>
      </w:r>
      <w:r>
        <w:rPr>
          <w:rFonts w:ascii="Times New Roman;sans-serif" w:hAnsi="Times New Roman;sans-serif"/>
          <w:b/>
          <w:color w:val="000000"/>
          <w:sz w:val="22"/>
        </w:rPr>
        <w:t>220,000</w:t>
      </w:r>
      <w:r>
        <w:rPr>
          <w:color w:val="000000"/>
        </w:rPr>
        <w:t xml:space="preserve"> </w:t>
      </w:r>
      <w:r>
        <w:rPr>
          <w:rFonts w:ascii="Times New Roman;sans-serif" w:hAnsi="Times New Roman;sans-serif"/>
          <w:b w:val="false"/>
          <w:color w:val="000000"/>
          <w:sz w:val="22"/>
        </w:rPr>
        <w:t>(based on overstretch bonus of 137.5% of Base OTB)</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2.2.Notwithstanding anything to the contrary in the Consultancy Agreement or any other agreements, arrangements, undertakings, obligations, representations, warranties and/or understandings, either oral, in writing or otherwise, relating to the Consultant’s Consultancy and/or grant of services and/or any other engagement, entered into between the Parties, under this Agreement the Consultant </w:t>
      </w:r>
      <w:r>
        <w:rPr>
          <w:rFonts w:ascii="Times New Roman;sans-serif" w:hAnsi="Times New Roman;sans-serif"/>
          <w:b w:val="false"/>
          <w:color w:val="000000"/>
          <w:sz w:val="22"/>
          <w:u w:val="single"/>
        </w:rPr>
        <w:t>shall not be entitled</w:t>
      </w:r>
      <w:r>
        <w:rPr>
          <w:color w:val="000000"/>
        </w:rPr>
        <w:t xml:space="preserve"> </w:t>
      </w:r>
      <w:r>
        <w:rPr>
          <w:rFonts w:ascii="Times New Roman;sans-serif" w:hAnsi="Times New Roman;sans-serif"/>
          <w:b w:val="false"/>
          <w:color w:val="000000"/>
          <w:sz w:val="22"/>
        </w:rPr>
        <w:t>to Bonus for the Base OTB under the 2024 Executive Compensation Plan, up to 100% attainment.</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2.3.Further, the Consultant shall be entitled to </w:t>
      </w:r>
      <w:r>
        <w:rPr>
          <w:rFonts w:ascii="Times New Roman;sans-serif" w:hAnsi="Times New Roman;sans-serif"/>
          <w:b w:val="false"/>
          <w:color w:val="000000"/>
          <w:sz w:val="22"/>
          <w:u w:val="single"/>
        </w:rPr>
        <w:t>half</w:t>
      </w:r>
      <w:r>
        <w:rPr>
          <w:color w:val="000000"/>
        </w:rPr>
        <w:t xml:space="preserve"> </w:t>
      </w:r>
      <w:r>
        <w:rPr>
          <w:rFonts w:ascii="Times New Roman;sans-serif" w:hAnsi="Times New Roman;sans-serif"/>
          <w:b w:val="false"/>
          <w:color w:val="000000"/>
          <w:sz w:val="22"/>
        </w:rPr>
        <w:t>of any excess Annual Additional Stretch Bonus for MBO overachievement up to the 50% of the maximum Annual Additional Stretch Bonus (i.e., &gt;100% attainment of the applicable goals under the 2024 Executive Compensation Plan), which will be paid in cash in accordance with the entitlement and payment terms set forth under the 2024 Executive Compensation Plan.</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2.4.Except as set forth in this Amendment for the 2024 annual Bonus, the Consultant’s entitlement to annual Bonus and Additional Stretch Bonus shall be determined, for each subsequent calendar year, on the basis of the attainment of certain financial and operational metrics set by the Company’s Board of Directors or Compensation Committee. </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2.5.All Bonus payments, if any, shall be subject to all mandatory withholdings and deductions, and shall be deemed to be quoted in gross figures. In addition, all Bonus payments in currencies other than US Dollar (for 2024, the Additional Stretch Bonus payment) will be adjusted in accordance with the specific payment currency and US Dollar exchange rate that shall prevail as of the payment calculation date in accordance with the Company’s policies and procedures.</w:t>
      </w:r>
    </w:p>
    <w:p>
      <w:pPr>
        <w:pStyle w:val="TextBody"/>
        <w:bidi w:val="0"/>
        <w:spacing w:before="0" w:after="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Miscellaneous</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3.1.The Consultancy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Consultancy Agreement as one agreement and, save as expressly amended by this Amendment, the Consultancy Agreement shall remain unaltered and in full force and effect.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3.2.This Amendment may be executed in one or more counterparts, each of which shall be deemed an original, but all of which together shall constitute one and the same instrument.</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40" w:before="60" w:after="283"/>
        <w:jc w:val="both"/>
        <w:rPr/>
      </w:pPr>
      <w:r>
        <w:rPr>
          <w:color w:val="000000"/>
        </w:rPr>
        <w:t>    </w:t>
      </w: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executed this Amendment as of the date first hereinabove set forth:</w:t>
      </w:r>
    </w:p>
    <w:p>
      <w:pPr>
        <w:pStyle w:val="TextBody"/>
        <w:bidi w:val="0"/>
        <w:spacing w:before="60" w:after="283"/>
        <w:jc w:val="both"/>
        <w:rPr/>
      </w:pPr>
      <w:r>
        <w:rPr/>
      </w:r>
    </w:p>
    <w:tbl>
      <w:tblPr>
        <w:tblW w:w="4924" w:type="dxa"/>
        <w:jc w:val="left"/>
        <w:tblInd w:w="0" w:type="dxa"/>
        <w:tblLayout w:type="fixed"/>
        <w:tblCellMar>
          <w:top w:w="28" w:type="dxa"/>
          <w:left w:w="28" w:type="dxa"/>
          <w:bottom w:w="28" w:type="dxa"/>
          <w:right w:w="28" w:type="dxa"/>
        </w:tblCellMar>
      </w:tblPr>
      <w:tblGrid>
        <w:gridCol w:w="397"/>
        <w:gridCol w:w="347"/>
        <w:gridCol w:w="347"/>
        <w:gridCol w:w="510"/>
        <w:gridCol w:w="510"/>
        <w:gridCol w:w="525"/>
        <w:gridCol w:w="109"/>
        <w:gridCol w:w="109"/>
        <w:gridCol w:w="109"/>
        <w:gridCol w:w="189"/>
        <w:gridCol w:w="189"/>
        <w:gridCol w:w="189"/>
        <w:gridCol w:w="405"/>
        <w:gridCol w:w="405"/>
        <w:gridCol w:w="584"/>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636"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Europe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Consultant</w:t>
            </w:r>
          </w:p>
        </w:tc>
      </w:tr>
      <w:tr>
        <w:trPr/>
        <w:tc>
          <w:tcPr>
            <w:tcW w:w="26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Yaron Garmazi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Ron Yekutiel</w:t>
            </w:r>
          </w:p>
        </w:tc>
      </w:tr>
      <w:tr>
        <w:trPr/>
        <w:tc>
          <w:tcPr>
            <w:tcW w:w="1091"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4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Incentive Award Cancellation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This Incentive Award</w:t>
      </w:r>
      <w:r>
        <w:rPr>
          <w:color w:val="000000"/>
        </w:rPr>
        <w:t xml:space="preserve"> </w:t>
      </w:r>
      <w:r>
        <w:rPr>
          <w:rFonts w:ascii="Times New Roman;sans-serif" w:hAnsi="Times New Roman;sans-serif"/>
          <w:b w:val="false"/>
          <w:color w:val="000000"/>
          <w:sz w:val="22"/>
        </w:rPr>
        <w:t>Cancellation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made as of February 13, 2024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by and between Yaron Garmazi (the “</w:t>
      </w:r>
      <w:r>
        <w:rPr>
          <w:rFonts w:ascii="Times New Roman;sans-serif" w:hAnsi="Times New Roman;sans-serif"/>
          <w:b/>
          <w:color w:val="000000"/>
          <w:sz w:val="22"/>
        </w:rPr>
        <w:t>Executive</w:t>
      </w:r>
      <w:r>
        <w:rPr>
          <w:color w:val="000000"/>
        </w:rPr>
        <w:t>”</w:t>
      </w:r>
      <w:r>
        <w:rPr>
          <w:rFonts w:ascii="Times New Roman;sans-serif" w:hAnsi="Times New Roman;sans-serif"/>
          <w:b w:val="false"/>
          <w:color w:val="000000"/>
          <w:sz w:val="22"/>
        </w:rPr>
        <w:t>) and Kaltura,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Capitalized terms not specifically defined herein shall have the meanings set forth in the Kaltura, Inc. 2021 Incentive Award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Executive’s employment with the Company shall terminate due to Executive’s voluntary resignation effective as of July 10, 2024 (the “</w:t>
      </w:r>
      <w:r>
        <w:rPr>
          <w:rFonts w:ascii="Times New Roman;sans-serif" w:hAnsi="Times New Roman;sans-serif"/>
          <w:b/>
          <w:color w:val="000000"/>
          <w:sz w:val="22"/>
        </w:rPr>
        <w:t>Employment Termination Date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Executive will continue to serve as a member of the board of directors of Kaltura Germany GmbH following the Employment Termination Date (the “</w:t>
      </w:r>
      <w:r>
        <w:rPr>
          <w:rFonts w:ascii="Times New Roman;sans-serif" w:hAnsi="Times New Roman;sans-serif"/>
          <w:b/>
          <w:color w:val="000000"/>
          <w:sz w:val="22"/>
        </w:rPr>
        <w:t>Continued Board Service</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that certain Letter Re: Employment Termination, Settlement, Waiver and Release, dated January 14, 2024 (the “</w:t>
      </w:r>
      <w:r>
        <w:rPr>
          <w:rFonts w:ascii="Times New Roman;sans-serif" w:hAnsi="Times New Roman;sans-serif"/>
          <w:b/>
          <w:color w:val="000000"/>
          <w:sz w:val="22"/>
        </w:rPr>
        <w:t>Termination Letter</w:t>
      </w:r>
      <w:r>
        <w:rPr>
          <w:color w:val="000000"/>
        </w:rPr>
        <w:t>”</w:t>
      </w:r>
      <w:r>
        <w:rPr>
          <w:rFonts w:ascii="Times New Roman;sans-serif" w:hAnsi="Times New Roman;sans-serif"/>
          <w:b w:val="false"/>
          <w:color w:val="000000"/>
          <w:sz w:val="22"/>
        </w:rPr>
        <w:t>), the Company and Executive have agreed that any Award, Prior Plan Awards or portion thereof that is unvested as of the Employment Termination Date would be automatically forfeited without consideration as of such date;</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Executive acknowledges and agrees that, pursuant to the terms of those certain Awards and Prior Plan Awards of Restricted Stock Units held by the Executive that are set forth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color w:val="000000"/>
          <w:sz w:val="22"/>
        </w:rPr>
        <w:t>Specified Awards</w:t>
      </w:r>
      <w:r>
        <w:rPr>
          <w:color w:val="000000"/>
        </w:rPr>
        <w:t>”</w:t>
      </w:r>
      <w:r>
        <w:rPr>
          <w:rFonts w:ascii="Times New Roman;sans-serif" w:hAnsi="Times New Roman;sans-serif"/>
          <w:b w:val="false"/>
          <w:color w:val="000000"/>
          <w:sz w:val="22"/>
        </w:rPr>
        <w:t>), the Specified Awards will not have become vested as of the Employment Termination Date; and</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notwithstanding anything to the contrary in the Plan, the Award Agreements covering the Specified Awards, or the Termination Letter, Executive has agreed that the Specified Awards and any right, title or interest Executive may have in or to the Specified Awards and any shares of common stock of the Company issuable, or cash payable, upon settlement of the underlying Specified Awards shall be forfeited without consideration, and the Specified Awards shall be cancelled and terminated entirely, effective as of the Effective Date of this Agreement (the “</w:t>
      </w:r>
      <w:r>
        <w:rPr>
          <w:rFonts w:ascii="Times New Roman;sans-serif" w:hAnsi="Times New Roman;sans-serif"/>
          <w:b/>
          <w:color w:val="000000"/>
          <w:sz w:val="22"/>
        </w:rPr>
        <w:t>Specified Award Cancellation</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Executive and the Company hereby agree as follows:</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Cancellation of Specified Awards</w:t>
      </w:r>
      <w:r>
        <w:rPr>
          <w:rFonts w:ascii="Times New Roman;sans-serif" w:hAnsi="Times New Roman;sans-serif"/>
          <w:b w:val="false"/>
          <w:color w:val="000000"/>
          <w:sz w:val="22"/>
        </w:rPr>
        <w:t>. The Executive expressly agrees and consents to the Specified Award Cancellation, effective as of the Effective Date. In connection therewith, as of the Effective Date, Executive fully releases any and all rights or claims with respect to the Specified Awards, and Executive and the Company agree that, following the Specified Award Cancellation, Executive shall have no further right, title or interest in respect of the Specified Awards or any shares of Company common stock issuable, or cash payable, upon settlement of the Restricted Stock Units underlying the Specified Awards, and each Award Agreement and any other agreement evidencing the grant or approval of the Specified Awards shall be null and void with respect to the Specified Awards.</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Reservation of Rights</w:t>
      </w:r>
      <w:r>
        <w:rPr>
          <w:rFonts w:ascii="Times New Roman;sans-serif" w:hAnsi="Times New Roman;sans-serif"/>
          <w:b w:val="false"/>
          <w:color w:val="000000"/>
          <w:sz w:val="22"/>
        </w:rPr>
        <w:t>. To dispel doubt, this Agreement does not apply to the Executive’s Option or Stock Appreciation Right (namely, all the Options and/or RSUs Awards and Prior Plan Awards) that are not included in the Specified Awards (herein, the “</w:t>
      </w:r>
      <w:r>
        <w:rPr>
          <w:rFonts w:ascii="Times New Roman;sans-serif" w:hAnsi="Times New Roman;sans-serif"/>
          <w:b/>
          <w:color w:val="000000"/>
          <w:sz w:val="22"/>
        </w:rPr>
        <w:t>Non-Specified Awards</w:t>
      </w:r>
      <w:r>
        <w:rPr>
          <w:color w:val="000000"/>
        </w:rPr>
        <w:t>”</w:t>
      </w:r>
      <w:r>
        <w:rPr>
          <w:rFonts w:ascii="Times New Roman;sans-serif" w:hAnsi="Times New Roman;sans-serif"/>
          <w:b w:val="false"/>
          <w:color w:val="000000"/>
          <w:sz w:val="22"/>
        </w:rPr>
        <w:t>). Accordingly, for the avoidance of doubt it is hereby clarified that under the Termination Letter, the Executive’s rights to exercise the Non-Specified Awards (i.e., the Awards and Prior Plan Awards that had vested and shall have become exercisable on or before the Effective Date of Termination) shall continue to be in effect and remain exercisable throughout the Continued Board Service and so long as the Executive shall continue to be an Israeli Employee Participant as defined under the Israeli Sub-Plan to Kaltura, Inc. 2021 Incentive Award Plan, as set forth in the Termination Letter.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Governing Law, Jurisdiction</w:t>
      </w:r>
      <w:r>
        <w:rPr>
          <w:rFonts w:ascii="Times New Roman;sans-serif" w:hAnsi="Times New Roman;sans-serif"/>
          <w:b w:val="false"/>
          <w:color w:val="000000"/>
          <w:sz w:val="22"/>
        </w:rPr>
        <w:t>. This Agreement shall be governed by and construed in accordance with the laws of the State of Israel without reference to the choice of law principles thereof. Any dispute arising under or in relation to this Agreement shall be resolved solely and exclusively in the Tel Aviv - Jaffa competent Courts, and each of the parties hereby submits irrevocably to the jurisdiction of such court.</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49"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This Agreement shall be binding upon and inure to the benefit of the parties hereto and their respective successors and assigns.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any number of counterparts, each of which shall be deemed to be an original and all of which together shall constitute one and the same document.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Advice of Counsel and Tax Advisor</w:t>
      </w:r>
      <w:r>
        <w:rPr>
          <w:rFonts w:ascii="Times New Roman;sans-serif" w:hAnsi="Times New Roman;sans-serif"/>
          <w:b w:val="false"/>
          <w:color w:val="000000"/>
          <w:sz w:val="22"/>
        </w:rPr>
        <w:t>. Executive represents and warrants that Executive has read this Agreement, has had adequate time to consider this Agreement, and has had an opportunity to consult with an attorney and Executive’s personal tax advisor prior to executing this Agreement. Executive acknowledges that Executive understands the meaning and effect of this Agreement and has executed this Agreement knowingly, voluntarily and with the intent of being bound by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Complete Agreement</w:t>
      </w:r>
      <w:r>
        <w:rPr>
          <w:rFonts w:ascii="Times New Roman;sans-serif" w:hAnsi="Times New Roman;sans-serif"/>
          <w:b w:val="false"/>
          <w:color w:val="000000"/>
          <w:sz w:val="22"/>
        </w:rPr>
        <w:t xml:space="preserve">. Except as expressly set forth herein, the Termination Letter shall remain in full force and effect, in accordance with its terms, following the Effective Date. The Termination Letter and this Agreement constitutes the entire agreement between Executive and the Company and they are the complete, final and exclusive embodiment of their agreement with regard to this subject matter. </w:t>
      </w:r>
    </w:p>
    <w:p>
      <w:pPr>
        <w:pStyle w:val="TextBody"/>
        <w:bidi w:val="0"/>
        <w:spacing w:before="240" w:after="120"/>
        <w:jc w:val="both"/>
        <w:rPr/>
      </w:pPr>
      <w:r>
        <w:rPr/>
      </w:r>
    </w:p>
    <w:p>
      <w:pPr>
        <w:pStyle w:val="TextBody"/>
        <w:bidi w:val="0"/>
        <w:spacing w:before="240" w:after="120"/>
        <w:jc w:val="both"/>
        <w:rPr/>
      </w:pPr>
      <w:r>
        <w:rPr/>
      </w:r>
    </w:p>
    <w:p>
      <w:pPr>
        <w:pStyle w:val="TextBody"/>
        <w:bidi w:val="0"/>
        <w:spacing w:lineRule="auto" w:line="240" w:before="240" w:after="12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444500"/>
                <wp:effectExtent l="0" t="0" r="0" b="0"/>
                <wp:wrapNone/>
                <wp:docPr id="150" name="Frame148"/>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and Executive have caused this Agreement to be executed as of the Effective Date.</w:t>
      </w:r>
    </w:p>
    <w:p>
      <w:pPr>
        <w:pStyle w:val="TextBody"/>
        <w:bidi w:val="0"/>
        <w:spacing w:lineRule="auto" w:line="240" w:before="240" w:after="120"/>
        <w:ind w:left="0" w:right="0" w:firstLine="5040"/>
        <w:jc w:val="left"/>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bidi w:val="0"/>
        <w:spacing w:lineRule="auto" w:line="240" w:before="240" w:after="120"/>
        <w:ind w:left="0" w:right="0" w:firstLine="5040"/>
        <w:jc w:val="left"/>
        <w:rPr/>
      </w:pPr>
      <w:r>
        <w:rPr>
          <w:rFonts w:ascii="Times New Roman;sans-serif" w:hAnsi="Times New Roman;sans-serif"/>
          <w:b w:val="false"/>
          <w:color w:val="000000"/>
          <w:sz w:val="22"/>
        </w:rPr>
        <w:t xml:space="preserve">By: </w:t>
      </w:r>
      <w:r>
        <w:rPr>
          <w:color w:val="000000"/>
          <w:u w:val="single"/>
        </w:rPr>
        <w:t>                </w:t>
      </w:r>
    </w:p>
    <w:p>
      <w:pPr>
        <w:pStyle w:val="TextBody"/>
        <w:bidi w:val="0"/>
        <w:spacing w:lineRule="auto" w:line="240" w:before="240" w:after="12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Name: Sigal Srur</w:t>
      </w:r>
    </w:p>
    <w:p>
      <w:pPr>
        <w:pStyle w:val="TextBody"/>
        <w:bidi w:val="0"/>
        <w:spacing w:lineRule="auto" w:line="240" w:before="240" w:after="12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Human Resources Officer</w:t>
      </w:r>
    </w:p>
    <w:p>
      <w:pPr>
        <w:pStyle w:val="TextBody"/>
        <w:bidi w:val="0"/>
        <w:spacing w:lineRule="auto" w:line="240" w:before="240" w:after="120"/>
        <w:ind w:left="0" w:right="0" w:firstLine="5040"/>
        <w:jc w:val="left"/>
        <w:rPr>
          <w:color w:val="000000"/>
        </w:rPr>
      </w:pPr>
      <w:r>
        <w:rPr>
          <w:color w:val="000000"/>
        </w:rPr>
        <w:t>    </w:t>
      </w:r>
    </w:p>
    <w:p>
      <w:pPr>
        <w:pStyle w:val="TextBody"/>
        <w:bidi w:val="0"/>
        <w:spacing w:lineRule="auto" w:line="240" w:before="240" w:after="120"/>
        <w:ind w:left="0" w:right="0" w:firstLine="5040"/>
        <w:jc w:val="left"/>
        <w:rPr>
          <w:rFonts w:ascii="Times New Roman;sans-serif" w:hAnsi="Times New Roman;sans-serif"/>
          <w:b/>
          <w:color w:val="000000"/>
          <w:sz w:val="22"/>
        </w:rPr>
      </w:pPr>
      <w:r>
        <w:rPr>
          <w:rFonts w:ascii="Times New Roman;sans-serif" w:hAnsi="Times New Roman;sans-serif"/>
          <w:b/>
          <w:color w:val="000000"/>
          <w:sz w:val="22"/>
        </w:rPr>
        <w:t>EXECUTIVE</w:t>
      </w:r>
    </w:p>
    <w:p>
      <w:pPr>
        <w:pStyle w:val="TextBody"/>
        <w:bidi w:val="0"/>
        <w:spacing w:before="240" w:after="283"/>
        <w:ind w:left="0" w:right="0" w:firstLine="5040"/>
        <w:jc w:val="left"/>
        <w:rPr/>
      </w:pPr>
      <w:r>
        <w:rPr/>
      </w:r>
    </w:p>
    <w:p>
      <w:pPr>
        <w:pStyle w:val="TextBody"/>
        <w:bidi w:val="0"/>
        <w:spacing w:lineRule="auto" w:line="240" w:before="240" w:after="283"/>
        <w:ind w:left="0" w:right="0" w:firstLine="5040"/>
        <w:jc w:val="left"/>
        <w:rPr>
          <w:color w:val="000000"/>
          <w:u w:val="single"/>
        </w:rPr>
      </w:pPr>
      <w:r>
        <w:rPr>
          <w:color w:val="000000"/>
          <w:u w:val="single"/>
        </w:rPr>
        <w:t>                        </w:t>
      </w:r>
    </w:p>
    <w:p>
      <w:pPr>
        <w:pStyle w:val="TextBody"/>
        <w:bidi w:val="0"/>
        <w:spacing w:lineRule="auto" w:line="240" w:before="0" w:after="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Yaron Garmazi</w:t>
      </w:r>
    </w:p>
    <w:p>
      <w:pPr>
        <w:pStyle w:val="TextBody"/>
        <w:bidi w:val="0"/>
        <w:spacing w:before="240" w:after="283"/>
        <w:ind w:left="0" w:right="0" w:firstLine="5040"/>
        <w:jc w:val="left"/>
        <w:rPr/>
      </w:pPr>
      <w:r>
        <w:rPr/>
      </w:r>
    </w:p>
    <w:p>
      <w:pPr>
        <w:pStyle w:val="TextBody"/>
        <w:bidi w:val="0"/>
        <w:spacing w:before="240" w:after="283"/>
        <w:jc w:val="both"/>
        <w:rPr/>
      </w:pPr>
      <w:r>
        <w:rPr/>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44500"/>
                <wp:effectExtent l="0" t="0" r="0" b="0"/>
                <wp:wrapNone/>
                <wp:docPr id="151" name="Frame149"/>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SPECIFIED AWARDS</w:t>
      </w:r>
    </w:p>
    <w:p>
      <w:pPr>
        <w:pStyle w:val="TextBody"/>
        <w:bidi w:val="0"/>
        <w:spacing w:before="0" w:after="0"/>
        <w:jc w:val="center"/>
        <w:rPr/>
      </w:pPr>
      <w:r>
        <w:rPr/>
      </w:r>
    </w:p>
    <w:tbl>
      <w:tblPr>
        <w:tblW w:w="7214" w:type="dxa"/>
        <w:jc w:val="left"/>
        <w:tblInd w:w="0" w:type="dxa"/>
        <w:tblLayout w:type="fixed"/>
        <w:tblCellMar>
          <w:top w:w="28" w:type="dxa"/>
          <w:left w:w="28" w:type="dxa"/>
          <w:bottom w:w="28" w:type="dxa"/>
          <w:right w:w="28" w:type="dxa"/>
        </w:tblCellMar>
      </w:tblPr>
      <w:tblGrid>
        <w:gridCol w:w="721"/>
        <w:gridCol w:w="634"/>
        <w:gridCol w:w="640"/>
        <w:gridCol w:w="544"/>
        <w:gridCol w:w="544"/>
        <w:gridCol w:w="546"/>
        <w:gridCol w:w="1049"/>
        <w:gridCol w:w="1049"/>
        <w:gridCol w:w="1487"/>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Grant Date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Grant Number</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Number of Restricted Stock Units</w:t>
            </w:r>
          </w:p>
        </w:tc>
      </w:tr>
      <w:tr>
        <w:trPr/>
        <w:tc>
          <w:tcPr>
            <w:tcW w:w="19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24, 2020</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G2627</w:t>
            </w:r>
          </w:p>
        </w:tc>
        <w:tc>
          <w:tcPr>
            <w:tcW w:w="35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337,500</w:t>
            </w:r>
          </w:p>
        </w:tc>
      </w:tr>
    </w:tbl>
    <w:p>
      <w:pPr>
        <w:pStyle w:val="TextBody"/>
        <w:bidi w:val="0"/>
        <w:spacing w:before="24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444500"/>
                <wp:effectExtent l="0" t="0" r="0" b="0"/>
                <wp:wrapNone/>
                <wp:docPr id="152" name="Frame150"/>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Yaron Garmazi-Kaltura - Incentive Award Cancellation Agreement (Execution Copy)(1) - 2-13-2024</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1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 descr=""/>
                          <pic:cNvPicPr>
                            <a:picLocks noChangeAspect="1" noChangeArrowheads="1"/>
                          </pic:cNvPicPr>
                        </pic:nvPicPr>
                        <pic:blipFill>
                          <a:blip r:embed="rId93"/>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January 14, 2024</w:t>
      </w:r>
    </w:p>
    <w:p>
      <w:pPr>
        <w:pStyle w:val="TextBody"/>
        <w:bidi w:val="0"/>
        <w:spacing w:lineRule="auto" w:line="240"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CONFIDENTIAL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Ms. Michal Tsur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Dear Michal,</w:t>
      </w:r>
    </w:p>
    <w:p>
      <w:pPr>
        <w:pStyle w:val="TextBody"/>
        <w:bidi w:val="0"/>
        <w:spacing w:before="0" w:after="0"/>
        <w:jc w:val="both"/>
        <w:rPr/>
      </w:pPr>
      <w:r>
        <w:rPr/>
      </w:r>
    </w:p>
    <w:tbl>
      <w:tblPr>
        <w:tblW w:w="6313" w:type="dxa"/>
        <w:jc w:val="left"/>
        <w:tblInd w:w="0" w:type="dxa"/>
        <w:tblLayout w:type="fixed"/>
        <w:tblCellMar>
          <w:top w:w="28" w:type="dxa"/>
          <w:left w:w="28" w:type="dxa"/>
          <w:bottom w:w="28" w:type="dxa"/>
          <w:right w:w="28" w:type="dxa"/>
        </w:tblCellMar>
      </w:tblPr>
      <w:tblGrid>
        <w:gridCol w:w="157"/>
        <w:gridCol w:w="137"/>
        <w:gridCol w:w="140"/>
        <w:gridCol w:w="1719"/>
        <w:gridCol w:w="1719"/>
        <w:gridCol w:w="2441"/>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w:t>
            </w:r>
          </w:p>
        </w:tc>
        <w:tc>
          <w:tcPr>
            <w:tcW w:w="58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Employment Termination, Settlement, Waiver and Release</w:t>
            </w:r>
          </w:p>
        </w:tc>
      </w:tr>
    </w:tbl>
    <w:p>
      <w:pPr>
        <w:pStyle w:val="TextBody"/>
        <w:bidi w:val="0"/>
        <w:spacing w:before="0" w:after="0"/>
        <w:jc w:val="both"/>
        <w:rPr/>
      </w:pPr>
      <w:r>
        <w:rPr/>
      </w:r>
    </w:p>
    <w:p>
      <w:pPr>
        <w:pStyle w:val="TextBody"/>
        <w:bidi w:val="0"/>
        <w:spacing w:lineRule="auto" w:line="240" w:before="120" w:after="283"/>
        <w:jc w:val="both"/>
        <w:rPr/>
      </w:pPr>
      <w:r>
        <w:rPr>
          <w:rFonts w:ascii="Times New Roman;sans-serif" w:hAnsi="Times New Roman;sans-serif"/>
          <w:b w:val="false"/>
          <w:color w:val="000000"/>
          <w:sz w:val="22"/>
        </w:rPr>
        <w:t>Reference is hereby made to that certain Individual Employment Agreement dated January 1</w:t>
      </w:r>
      <w:r>
        <w:rPr>
          <w:rFonts w:ascii="Times New Roman;sans-serif" w:hAnsi="Times New Roman;sans-serif"/>
          <w:b w:val="false"/>
          <w:color w:val="000000"/>
          <w:sz w:val="14"/>
        </w:rPr>
        <w:t>st</w:t>
      </w:r>
      <w:r>
        <w:rPr>
          <w:rFonts w:ascii="Times New Roman;sans-serif" w:hAnsi="Times New Roman;sans-serif"/>
          <w:b w:val="false"/>
          <w:color w:val="000000"/>
          <w:sz w:val="22"/>
        </w:rPr>
        <w:t>, 2007, by and between you (“</w:t>
      </w:r>
      <w:r>
        <w:rPr>
          <w:rFonts w:ascii="Times New Roman;sans-serif" w:hAnsi="Times New Roman;sans-serif"/>
          <w:b/>
          <w:color w:val="000000"/>
          <w:sz w:val="22"/>
        </w:rPr>
        <w:t>you</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Employee</w:t>
      </w:r>
      <w:r>
        <w:rPr>
          <w:color w:val="000000"/>
        </w:rPr>
        <w:t>”</w:t>
      </w:r>
      <w:r>
        <w:rPr>
          <w:rFonts w:ascii="Times New Roman;sans-serif" w:hAnsi="Times New Roman;sans-serif"/>
          <w:b w:val="false"/>
          <w:color w:val="000000"/>
          <w:sz w:val="22"/>
        </w:rPr>
        <w:t>) and Kaltura Ltd. (“</w:t>
      </w:r>
      <w:r>
        <w:rPr>
          <w:rFonts w:ascii="Times New Roman;sans-serif" w:hAnsi="Times New Roman;sans-serif"/>
          <w:b/>
          <w:color w:val="000000"/>
          <w:sz w:val="22"/>
        </w:rPr>
        <w:t>Kaltura</w:t>
      </w:r>
      <w:r>
        <w:rPr>
          <w:color w:val="000000"/>
        </w:rPr>
        <w:t>”</w:t>
      </w:r>
      <w:r>
        <w:rPr>
          <w:rFonts w:ascii="Times New Roman;sans-serif" w:hAnsi="Times New Roman;sans-serif"/>
          <w:b w:val="false"/>
          <w:color w:val="000000"/>
          <w:sz w:val="22"/>
        </w:rPr>
        <w:t>) as from time to time supplemented or amended, including any cash bonus plans and incentive award plans grated to you by Kaltura and/or by Kaltura, Inc. (each of Kaltura and Kaltura, Inc. may be referred to herein as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which term shall include Kaltura and/or Kaltura, Inc., as the context requires) in connection therewith or your employment thereunder (collectively, the “</w:t>
      </w:r>
      <w:r>
        <w:rPr>
          <w:rFonts w:ascii="Times New Roman;sans-serif" w:hAnsi="Times New Roman;sans-serif"/>
          <w:b/>
          <w:color w:val="000000"/>
          <w:sz w:val="22"/>
        </w:rPr>
        <w:t>Employment Agreement</w:t>
      </w:r>
      <w:r>
        <w:rPr>
          <w:color w:val="000000"/>
        </w:rPr>
        <w:t>”</w:t>
      </w:r>
      <w:r>
        <w:rPr>
          <w:rFonts w:ascii="Times New Roman;sans-serif" w:hAnsi="Times New Roman;sans-serif"/>
          <w:b w:val="false"/>
          <w:color w:val="000000"/>
          <w:sz w:val="22"/>
        </w:rPr>
        <w:t>). In that respect, please be advised as follows:</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1.This letter of agreement (“</w:t>
      </w:r>
      <w:r>
        <w:rPr>
          <w:rFonts w:ascii="Times New Roman;sans-serif" w:hAnsi="Times New Roman;sans-serif"/>
          <w:b/>
          <w:color w:val="000000"/>
          <w:sz w:val="22"/>
        </w:rPr>
        <w:t>Letter of Agreement</w:t>
      </w:r>
      <w:r>
        <w:rPr>
          <w:color w:val="000000"/>
        </w:rPr>
        <w:t>”</w:t>
      </w:r>
      <w:r>
        <w:rPr>
          <w:rFonts w:ascii="Times New Roman;sans-serif" w:hAnsi="Times New Roman;sans-serif"/>
          <w:b w:val="false"/>
          <w:color w:val="000000"/>
          <w:sz w:val="22"/>
        </w:rPr>
        <w:t>) records and sets forth the terms agreed between you and the Company relating to the separation and termination of employment between you and the Company (each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1.1.Except as explicitly specified herein, (i) the Employment Agreement, and (ii) all any other agreements, arrangements, undertakings, obligations, representations, warranties, drafts and/or understandings, either oral, in writing or otherwise, relating to your employment and/or grant of services and/or any other engagement, entered into between you and the Company, shall terminate and your employment with the Company shall end on March 4, 2024 (inclusive; the “</w:t>
      </w:r>
      <w:r>
        <w:rPr>
          <w:rFonts w:ascii="Times New Roman;sans-serif" w:hAnsi="Times New Roman;sans-serif"/>
          <w:b/>
          <w:color w:val="000000"/>
          <w:sz w:val="22"/>
        </w:rPr>
        <w:t>Effective Date of Termination</w:t>
      </w:r>
      <w:r>
        <w:rPr>
          <w:color w:val="000000"/>
        </w:rPr>
        <w:t>”</w:t>
      </w:r>
      <w:r>
        <w:rPr>
          <w:rFonts w:ascii="Times New Roman;sans-serif" w:hAnsi="Times New Roman;sans-serif"/>
          <w:b w:val="false"/>
          <w:color w:val="000000"/>
          <w:sz w:val="22"/>
        </w:rPr>
        <w:t>), save for such terms that survive termination in accordance with the provisions thereof.</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1.2.Until January 14, 2024 (inclusive), you will continue serving the Company at your current position as the Company’s President and Chief Marketing Officer. Notwithstanding anything to the contrary in the Employment Agreement, the period from January 14, 2024 until the Effective Date of Termination, shall be paid time off (e.g., vacation time).</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1.3.From January 14, 2024, you shall cease to serve as President and CMO, and shall no longer be designated an “officer” of the Company for the purposes of Section 16 of the Exchange Act nor designated as an “executive officer” of the Company for purposes of Rule 3b-7 under the Exchange Act. Your signatory rights on behalf of the Company shall lapse and expire as of such date, unless notified otherwise by the Company.</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1.4.The Parties hereby agrees that the arrangement set forth in this Letter of Agreement shall be in lieu of the prior notice of termination under the Employment Agreement.</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1.5.Except as explicitly specified herein, until the Effective Date of Termination your rights and obligations under the Employment Agreement and any applicable law (including, without limitation, your duty of care and duty of loyalty as a Company executive) shall remain unchanged. Thereafter, you shall be entitled to certain rights and privileges specifically set forth hereinbelow.</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1.6.You shall continue to serve as a board member at the Board of Directors of Kaltura Ltd. and Kaltura (Europe) Ltd. (herein, the “</w:t>
      </w:r>
      <w:r>
        <w:rPr>
          <w:rFonts w:ascii="Times New Roman;sans-serif" w:hAnsi="Times New Roman;sans-serif"/>
          <w:b/>
          <w:color w:val="000000"/>
          <w:sz w:val="22"/>
        </w:rPr>
        <w:t>Subsidiaries</w:t>
      </w:r>
      <w:r>
        <w:rPr>
          <w:color w:val="000000"/>
        </w:rPr>
        <w:t>”</w:t>
      </w:r>
      <w:r>
        <w:rPr>
          <w:rFonts w:ascii="Times New Roman;sans-serif" w:hAnsi="Times New Roman;sans-serif"/>
          <w:b w:val="false"/>
          <w:color w:val="000000"/>
          <w:sz w:val="22"/>
        </w:rPr>
        <w:t>), until December 31, 2026, provided that either you or Kaltura may terminate such service by delivery of a 90-day prior written notice.</w:t>
      </w:r>
    </w:p>
    <w:p>
      <w:pPr>
        <w:pStyle w:val="TextBody"/>
        <w:bidi w:val="0"/>
        <w:spacing w:before="120" w:after="283"/>
        <w:jc w:val="both"/>
        <w:rPr/>
      </w:pPr>
      <w:r>
        <w:rPr/>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your term of service as a board member at the Board of Directors of the Subsidiaries or any of them, (i) you shall be continued to be covered under the existing D&amp;O Insurance Policy as set forth in Section 3 hereof; (ii) your D&amp;O Indemnification Agreement with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76045"/>
                <wp:effectExtent l="0" t="0" r="0" b="0"/>
                <wp:wrapNone/>
                <wp:docPr id="154" name="Frame151"/>
                <a:graphic xmlns:a="http://schemas.openxmlformats.org/drawingml/2006/main">
                  <a:graphicData uri="http://schemas.microsoft.com/office/word/2010/wordprocessingShape">
                    <wps:wsp>
                      <wps:cNvSpPr txBox="1"/>
                      <wps:spPr>
                        <a:xfrm>
                          <a:off x="0" y="0"/>
                          <a:ext cx="6480175" cy="1376045"/>
                        </a:xfrm>
                        <a:prstGeom prst="rect"/>
                        <a:solidFill>
                          <a:srgbClr val="FFFFFF"/>
                        </a:solidFill>
                      </wps:spPr>
                      <wps:txbx>
                        <w:txbxContent>
                          <w:tbl>
                            <w:tblPr>
                              <w:tblW w:w="7740" w:type="dxa"/>
                              <w:jc w:val="left"/>
                              <w:tblInd w:w="0" w:type="dxa"/>
                              <w:tblLayout w:type="fixed"/>
                              <w:tblCellMar>
                                <w:top w:w="28" w:type="dxa"/>
                                <w:left w:w="28" w:type="dxa"/>
                                <w:bottom w:w="28" w:type="dxa"/>
                                <w:right w:w="28" w:type="dxa"/>
                              </w:tblCellMar>
                            </w:tblPr>
                            <w:tblGrid>
                              <w:gridCol w:w="2476"/>
                              <w:gridCol w:w="2177"/>
                              <w:gridCol w:w="3087"/>
                            </w:tblGrid>
                            <w:tr>
                              <w:trPr/>
                              <w:tc>
                                <w:tcPr>
                                  <w:tcW w:w="2476" w:type="dxa"/>
                                  <w:tcBorders/>
                                  <w:vAlign w:val="center"/>
                                </w:tcPr>
                                <w:p>
                                  <w:pPr>
                                    <w:pStyle w:val="TableContents"/>
                                    <w:bidi w:val="0"/>
                                    <w:spacing w:before="0" w:after="283"/>
                                    <w:jc w:val="left"/>
                                    <w:rPr>
                                      <w:sz w:val="4"/>
                                      <w:szCs w:val="4"/>
                                    </w:rPr>
                                  </w:pPr>
                                  <w:r>
                                    <w:rPr>
                                      <w:sz w:val="4"/>
                                      <w:szCs w:val="4"/>
                                    </w:rPr>
                                  </w:r>
                                  <w:r>
                                    <w:br w:type="page"/>
                                  </w:r>
                                </w:p>
                              </w:tc>
                              <w:tc>
                                <w:tcPr>
                                  <w:tcW w:w="217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Kaltura, Inc. • 860 Broadway, 3rd Floor New York, NY 10003 • Tel: 646-290-5445</w:t>
                                    <w:br/>
                                    <w:t xml:space="preserve">Kaltura (Europe) Ltd. • 4th Floor, LABs House, 16-19 Bloomsbury, London, WC1A 2BA, UK </w:t>
                                    <w:br/>
                                    <w:t>Kaltura Ltd. • Allied Tower, 9 Ben-Gurion Road, Bnei-Brak, Israel 5126014</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808080"/>
                                      <w:sz w:val="18"/>
                                    </w:rPr>
                                  </w:pPr>
                                  <w:r>
                                    <w:rPr>
                                      <w:rFonts w:ascii="Times New Roman;sans-serif" w:hAnsi="Times New Roman;sans-serif"/>
                                      <w:b w:val="false"/>
                                      <w:color w:val="808080"/>
                                      <w:sz w:val="18"/>
                                    </w:rPr>
                                    <w:t>www.kaltura.com</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8.35pt;mso-wrap-distance-left:0pt;mso-wrap-distance-right:0pt;mso-wrap-distance-top:0pt;mso-wrap-distance-bottom:0pt;margin-top:0pt;mso-position-vertical:top;mso-position-vertical-relative:text;margin-left:0pt;mso-position-horizontal:left;mso-position-horizontal-relative:text">
                <v:textbox>
                  <w:txbxContent>
                    <w:tbl>
                      <w:tblPr>
                        <w:tblW w:w="7740" w:type="dxa"/>
                        <w:jc w:val="left"/>
                        <w:tblInd w:w="0" w:type="dxa"/>
                        <w:tblLayout w:type="fixed"/>
                        <w:tblCellMar>
                          <w:top w:w="28" w:type="dxa"/>
                          <w:left w:w="28" w:type="dxa"/>
                          <w:bottom w:w="28" w:type="dxa"/>
                          <w:right w:w="28" w:type="dxa"/>
                        </w:tblCellMar>
                      </w:tblPr>
                      <w:tblGrid>
                        <w:gridCol w:w="2476"/>
                        <w:gridCol w:w="2177"/>
                        <w:gridCol w:w="3087"/>
                      </w:tblGrid>
                      <w:tr>
                        <w:trPr/>
                        <w:tc>
                          <w:tcPr>
                            <w:tcW w:w="247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Kaltura, Inc. • 860 Broadway, 3rd Floor New York, NY 10003 • Tel: 646-290-5445</w:t>
                              <w:br/>
                              <w:t xml:space="preserve">Kaltura (Europe) Ltd. • 4th Floor, LABs House, 16-19 Bloomsbury, London, WC1A 2BA, UK </w:t>
                              <w:br/>
                              <w:t>Kaltura Ltd. • Allied Tower, 9 Ben-Gurion Road, Bnei-Brak, Israel 5126014</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808080"/>
                                <w:sz w:val="18"/>
                              </w:rPr>
                            </w:pPr>
                            <w:r>
                              <w:rPr>
                                <w:rFonts w:ascii="Times New Roman;sans-serif" w:hAnsi="Times New Roman;sans-serif"/>
                                <w:b w:val="false"/>
                                <w:color w:val="808080"/>
                                <w:sz w:val="18"/>
                              </w:rPr>
                              <w:t>www.kaltura.com</w:t>
                            </w:r>
                          </w:p>
                        </w:tc>
                      </w:tr>
                    </w:tbl>
                    <w:p>
                      <w:pPr>
                        <w:pStyle w:val="TextBody"/>
                        <w:bidi w:val="0"/>
                        <w:spacing w:before="0" w:after="0"/>
                        <w:jc w:val="both"/>
                        <w:rPr/>
                      </w:pPr>
                      <w:r>
                        <w:rPr/>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15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 descr=""/>
                          <pic:cNvPicPr>
                            <a:picLocks noChangeAspect="1" noChangeArrowheads="1"/>
                          </pic:cNvPicPr>
                        </pic:nvPicPr>
                        <pic:blipFill>
                          <a:blip r:embed="rId94"/>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p>
      <w:pPr>
        <w:pStyle w:val="TextBody"/>
        <w:bidi w:val="0"/>
        <w:spacing w:before="0" w:after="0"/>
        <w:jc w:val="both"/>
        <w:rPr/>
      </w:pPr>
      <w:r>
        <w:rPr/>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shall continue to be in full force and effect; and (iii) you shall be able to maintain the Company’s laptop and devices, save for organizational operating systems and software. </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1.7.You shall continue to receive your base salary, remuneration and benefits in accordance with the Employment Agreement and subject to its terms (collectively, the “</w:t>
      </w:r>
      <w:r>
        <w:rPr>
          <w:rFonts w:ascii="Times New Roman;sans-serif" w:hAnsi="Times New Roman;sans-serif"/>
          <w:b/>
          <w:color w:val="000000"/>
          <w:sz w:val="22"/>
        </w:rPr>
        <w:t>Base Salary</w:t>
      </w:r>
      <w:r>
        <w:rPr>
          <w:color w:val="000000"/>
        </w:rPr>
        <w:t>”</w:t>
      </w:r>
      <w:r>
        <w:rPr>
          <w:rFonts w:ascii="Times New Roman;sans-serif" w:hAnsi="Times New Roman;sans-serif"/>
          <w:b w:val="false"/>
          <w:color w:val="000000"/>
          <w:sz w:val="22"/>
        </w:rPr>
        <w:t>), until January 14, 2024, and thereafter you shall receive your paid-time-off vacation days until the Effective Date of Termination.</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1.8.The Company shall forfeiture all the Option and Stock Appreciation Right (namely, all the Options and/or RSUs) which have been granted to you under any and all equity award agreements, including award agreements under the Kaltura, Inc. 2021 Incentive Award Plan and Israeli Sub-Plan or previous plans that are still in effect (collectively, the “</w:t>
      </w:r>
      <w:r>
        <w:rPr>
          <w:rFonts w:ascii="Times New Roman;sans-serif" w:hAnsi="Times New Roman;sans-serif"/>
          <w:b/>
          <w:color w:val="000000"/>
          <w:sz w:val="22"/>
        </w:rPr>
        <w:t>Plans</w:t>
      </w:r>
      <w:r>
        <w:rPr>
          <w:color w:val="000000"/>
        </w:rPr>
        <w:t>”</w:t>
      </w:r>
      <w:r>
        <w:rPr>
          <w:rFonts w:ascii="Times New Roman;sans-serif" w:hAnsi="Times New Roman;sans-serif"/>
          <w:b w:val="false"/>
          <w:color w:val="000000"/>
          <w:sz w:val="22"/>
        </w:rPr>
        <w:t>; the “</w:t>
      </w:r>
      <w:r>
        <w:rPr>
          <w:rFonts w:ascii="Times New Roman;sans-serif" w:hAnsi="Times New Roman;sans-serif"/>
          <w:b/>
          <w:color w:val="000000"/>
          <w:sz w:val="22"/>
        </w:rPr>
        <w:t>Options and RSUs</w:t>
      </w:r>
      <w:r>
        <w:rPr>
          <w:color w:val="000000"/>
        </w:rPr>
        <w:t>”</w:t>
      </w:r>
      <w:r>
        <w:rPr>
          <w:rFonts w:ascii="Times New Roman;sans-serif" w:hAnsi="Times New Roman;sans-serif"/>
          <w:b w:val="false"/>
          <w:color w:val="000000"/>
          <w:sz w:val="22"/>
        </w:rPr>
        <w:t>), that had NOT vested on or before the Effective Date of Termination and shall be unexercisable as of such date, and such unvested and unexercisable Options and RSUs shall be cancelled and annulled as of the Effective Date of Termination.</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All the other Options and RSUS that had vested and shall have become exercisable on or before the Effective Date of Termination shall continue to be in effect in Accordance with the terms of the Plans and the respective award agreements, and remain exercisable so long as you shall continue to be an Israeli Employee Participant as defined under the Israeli Sub-Plan to Kaltura, Inc. 2021 Incentive Award Plan.</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1.9.From January 14, 2024 until the Effective Date of Termination you shall exercise your annual leave, so that on the Effective Date of Termination your vacation days/days of paid time off balance shall equal to zero.</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2.In addition, until the Effective Date of Termination and thereafter, you shall execute and sign, and do all such acts and things as may be reasonably required, necessary, useful or desirable for the removal and replacement of your nomination with any corporate body or entity at which you are serving or in which you are recorded as serving on behalf of the Company.</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3.The Company hereby confirms that (i) the Company’s D&amp;O Insurance Policy covers current and former directors and officers of the Company (as such terms are defined in the policy) on a “Claims Made Basis”, and accordingly, you shall remain covered under such insurance policy and any extensions thereof, subject to the policy’s thresholds, deductibles, contingencies, terms and conditions; and (ii) subject to the Company’s corporate approvals, the Company intends to continue renewing the D&amp;O Insurance Policy substantially in the terms prevailing as of the date hereof. </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4.Subject to your signature below, and as full and final settlement between you and the Company, in the framework of conducting your final settlement of accounts (to be conducted on or following the Effective Date of Termination), the Company shall pay you a final aggregate amount which shall be comprised of the following:</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4.1.The aggregate consideration and Base Salary entitled by you for the period ending on the Effective Date of Termination.</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4.2.All expenses owed to you, based on expense reports relating to the time period up and until January 15, 2023 and approved by the Company’s Chief of Staff in accordance with the Company’s policies.</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4.3.The Company shall release and enable the transfer of your US and Israeli Mobile phone numbers to your name and account.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 xml:space="preserve">5.All Company calculations and determinations of the amounts specified herein above or elsewhere in this Letter of Agreement or in connection therewith, shall be deemed as a </w:t>
      </w:r>
      <w:r>
        <w:rPr>
          <w:rFonts w:ascii="Times New Roman;sans-serif" w:hAnsi="Times New Roman;sans-serif"/>
          <w:b w:val="false"/>
          <w:i/>
          <w:color w:val="000000"/>
          <w:sz w:val="22"/>
        </w:rPr>
        <w:t>prima-facia</w:t>
      </w:r>
      <w:r>
        <w:rPr>
          <w:color w:val="000000"/>
        </w:rPr>
        <w:t xml:space="preserve"> </w:t>
      </w:r>
      <w:r>
        <w:rPr>
          <w:rFonts w:ascii="Times New Roman;sans-serif" w:hAnsi="Times New Roman;sans-serif"/>
          <w:b w:val="false"/>
          <w:color w:val="000000"/>
          <w:sz w:val="22"/>
        </w:rPr>
        <w:t>evidence that such sums and amounts are true and accurate and were rightfully affixed by the Company under the terms of the respective Employment Agreement or Plans and of this Letter of Agreement, as applicable.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5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15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 descr=""/>
                          <pic:cNvPicPr>
                            <a:picLocks noChangeAspect="1" noChangeArrowheads="1"/>
                          </pic:cNvPicPr>
                        </pic:nvPicPr>
                        <pic:blipFill>
                          <a:blip r:embed="rId95"/>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p>
      <w:pPr>
        <w:pStyle w:val="TextBody"/>
        <w:bidi w:val="0"/>
        <w:spacing w:before="0" w:after="0"/>
        <w:jc w:val="both"/>
        <w:rPr/>
      </w:pPr>
      <w:r>
        <w:rPr/>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6.Any and all payments and expense reimbursement shall be made to you in accordance with the Employment Agreement and the applicable laws. Any and all payments hereunder shall be subject to any applicable statutory deductions and withholdings. You acknowledge that you shall bear any and all taxes associated with the above payments and/or rights, save where explicitly specified otherwise in writing. The Company shall be entitled to set off any amounts due to you hereunder from any amounts whatsoever owed by you (if owed) to it or any of its affiliates.</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7.You hereby certify that you have complied, and agree to comply with, all the terms and conditions of your Employment Agreement with Company relating to secrecy, non-disclosure, non-compete, ownership of property and rights (including Intellectual Property) undertakings, the terms of which are hereby incorporated by reference.</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8.You further undertake, in accordance with the Employment Agreement, and except as expressly set forth in this Letter of Agreement, to return to the Company, by no later than the Effective Date of Termination, all equipment and items placed at your disposal by the Company and any of its affiliates, including without limitation any item, document and/or materials in your possession and that belongs to the Company or otherwise relating to the Company’s business, without retaining any copies thereof.</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9.You hereby agree that the existence of this Letter of Agreement and its content shall be considered “Confidential Information” pursuant to the Employment Agreement, subject to any disclosure obligations of the Company that may apply.</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10.This Letter of Agreement shall serve as a certificate for the termination of the employment relationship between you and the Company, which will end on the Effective Date of Termination.</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11.Neither Party shall assign or otherwise transfer any of its rights or obligations under this Letter of Agreement to any third party without the prior written consent of the other Party and any attempted assignment or transfer without such prior written consent shall be null and void.</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12.In the event that any provision of this Letter of Agreement is declared invalid, illegal or unenforceable, the validity, legality or enforceability of the remaining provisions shall not in any way be affected nor impaired thereby.</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13.This Letter of Agreement constitutes the entire agreement between you and the Company with respect to the termination of the Employment Agreement, including, without limitation, the terms to which you are entitled in connection with your resignation and employment termination, and hereby cancels and replaces any previous agreement, arrangement, undertaking, obligation, representation, warranty, draft and/or understanding, either oral, in writing or otherwise, pertaining to the termination of your employment. In any case of discrepancy, inconsistence or contradiction between this Letter of Agreement and the Employment Agreement, the provisions of this Letter of Agreement shall prevail. Save as expressly superseded, supplemented and amended by this Letter of Agreement, the Employment Agreement shall remain unaltered and in full force and effect. To dispel doubt, the terms of the provisions of any equity compensation Plan or award, other than with respect to affixing the Participant’s Termination of Service date as the Effective Date of Termination, are and shall remain unchanged and in full force and effect in accordance with their terms.</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14.This Letter of Agreement shall be deemed also as an agreement for the benefit of third parties with respect to the Company Group members who are not a direct party thereto.</w:t>
      </w:r>
    </w:p>
    <w:p>
      <w:pPr>
        <w:pStyle w:val="TextBody"/>
        <w:bidi w:val="0"/>
        <w:spacing w:lineRule="auto" w:line="240" w:before="120" w:after="283"/>
        <w:ind w:left="0" w:right="0" w:hanging="397"/>
        <w:jc w:val="both"/>
        <w:rPr>
          <w:rFonts w:ascii="Times New Roman;sans-serif" w:hAnsi="Times New Roman;sans-serif"/>
          <w:b w:val="false"/>
          <w:color w:val="000000"/>
          <w:sz w:val="22"/>
        </w:rPr>
      </w:pPr>
      <w:r>
        <w:rPr>
          <w:rFonts w:ascii="Times New Roman;sans-serif" w:hAnsi="Times New Roman;sans-serif"/>
          <w:b w:val="false"/>
          <w:color w:val="000000"/>
          <w:sz w:val="22"/>
        </w:rPr>
        <w:t>15.You confirm that your signature of this Letter of Agreement was done freely and willingly and constitutes full and complete waiver of any claim against the Company Group members, in the past, the present and the future, relating to your employment and/or provision of services and the termination of your employment with and/or provision of services to and/or on behalf of the Company.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Please sign this Letter of Agreement and return the original copy to us. We would like to take this opportunity to thank you for the work that you have performed for the Company, and we wish you every success in the future.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Yours faithfully,</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8"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1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 descr=""/>
                          <pic:cNvPicPr>
                            <a:picLocks noChangeAspect="1" noChangeArrowheads="1"/>
                          </pic:cNvPicPr>
                        </pic:nvPicPr>
                        <pic:blipFill>
                          <a:blip r:embed="rId96"/>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Kaltura Ltd.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hereby confirm that I have read, fully understood, acknowledge and accept the above, and further affirm that my signature of this letter was done freely and willingly.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I hereby confirm and declare that I had the opportunity to fully examine my legal status for tax purposes in connection with the termination of my employment and my awards and Plans and hereby confirm and declare that I had not received any representations or warranties, legal or tax advice from the Company or any of its affiliates or any one of their behalf, with respect to the tax consequences arising from my employment with the Company and the termination thereof and/or in connection with my service as a director in the Board of Directors of Kaltura Ltd. and Kaltura (Europe) Ltd. and the resignation therefrom, and that I had been given the opportunity to consult, and have consulted, with my own attorney, accountant and/or tax advisor with regard to all of the matters referred to above.</w:t>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                ________________</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Ms. Michal Tsur                    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0"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Incentive Award Cancellation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This Incentive Award</w:t>
      </w:r>
      <w:r>
        <w:rPr>
          <w:color w:val="000000"/>
        </w:rPr>
        <w:t xml:space="preserve"> </w:t>
      </w:r>
      <w:r>
        <w:rPr>
          <w:rFonts w:ascii="Times New Roman;sans-serif" w:hAnsi="Times New Roman;sans-serif"/>
          <w:b w:val="false"/>
          <w:color w:val="000000"/>
          <w:sz w:val="22"/>
        </w:rPr>
        <w:t>Cancellation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made as of February 13, 2024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by and between Michal Tsur (the “</w:t>
      </w:r>
      <w:r>
        <w:rPr>
          <w:rFonts w:ascii="Times New Roman;sans-serif" w:hAnsi="Times New Roman;sans-serif"/>
          <w:b/>
          <w:color w:val="000000"/>
          <w:sz w:val="22"/>
        </w:rPr>
        <w:t>Executive</w:t>
      </w:r>
      <w:r>
        <w:rPr>
          <w:color w:val="000000"/>
        </w:rPr>
        <w:t>”</w:t>
      </w:r>
      <w:r>
        <w:rPr>
          <w:rFonts w:ascii="Times New Roman;sans-serif" w:hAnsi="Times New Roman;sans-serif"/>
          <w:b w:val="false"/>
          <w:color w:val="000000"/>
          <w:sz w:val="22"/>
        </w:rPr>
        <w:t>) and Kaltura,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Capitalized terms not specifically defined herein shall have the meanings set forth in the Kaltura, Inc. 2021 Incentive Award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Executive’s employment with the Company shall terminate due to Executive’s voluntary resignation as of March 4, 2024 (the “</w:t>
      </w:r>
      <w:r>
        <w:rPr>
          <w:rFonts w:ascii="Times New Roman;sans-serif" w:hAnsi="Times New Roman;sans-serif"/>
          <w:b/>
          <w:color w:val="000000"/>
          <w:sz w:val="22"/>
        </w:rPr>
        <w:t>Employment Termination Date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Executive will continue to serve as a member of the board of directors of Kaltura Ltd. and Kaltura (Europe) Ltd. following the Employment Termination Date (the “</w:t>
      </w:r>
      <w:r>
        <w:rPr>
          <w:rFonts w:ascii="Times New Roman;sans-serif" w:hAnsi="Times New Roman;sans-serif"/>
          <w:b/>
          <w:color w:val="000000"/>
          <w:sz w:val="22"/>
        </w:rPr>
        <w:t>Continued Board Service</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that certain Letter Re: Employment Termination, Settlement, Waiver and Release, dated January 14, 2024 (the “</w:t>
      </w:r>
      <w:r>
        <w:rPr>
          <w:rFonts w:ascii="Times New Roman;sans-serif" w:hAnsi="Times New Roman;sans-serif"/>
          <w:b/>
          <w:color w:val="000000"/>
          <w:sz w:val="22"/>
        </w:rPr>
        <w:t>Termination Letter</w:t>
      </w:r>
      <w:r>
        <w:rPr>
          <w:color w:val="000000"/>
        </w:rPr>
        <w:t>”</w:t>
      </w:r>
      <w:r>
        <w:rPr>
          <w:rFonts w:ascii="Times New Roman;sans-serif" w:hAnsi="Times New Roman;sans-serif"/>
          <w:b w:val="false"/>
          <w:color w:val="000000"/>
          <w:sz w:val="22"/>
        </w:rPr>
        <w:t>), the Company and Executive have agreed that any Award, Prior Plan Awards or portion thereof that is unvested as of the Employment Termination Date would be automatically forfeited without consideration as of such date;</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Executive acknowledges and agrees that, pursuant to the terms of those certain Awards and Prior Plan Awards of Restricted Stock Units held by the Executive that are set forth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color w:val="000000"/>
          <w:sz w:val="22"/>
        </w:rPr>
        <w:t>Specified Awards</w:t>
      </w:r>
      <w:r>
        <w:rPr>
          <w:color w:val="000000"/>
        </w:rPr>
        <w:t>”</w:t>
      </w:r>
      <w:r>
        <w:rPr>
          <w:rFonts w:ascii="Times New Roman;sans-serif" w:hAnsi="Times New Roman;sans-serif"/>
          <w:b w:val="false"/>
          <w:color w:val="000000"/>
          <w:sz w:val="22"/>
        </w:rPr>
        <w:t>), the Specified Awards will not have become vested as of the Employment Termination Date; and</w:t>
      </w:r>
    </w:p>
    <w:p>
      <w:pPr>
        <w:pStyle w:val="TextBody"/>
        <w:bidi w:val="0"/>
        <w:spacing w:lineRule="auto" w:line="240" w:before="240"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notwithstanding anything to the contrary in the Plan, the Award Agreements covering the Specified Awards, or the Termination Letter, Executive has agreed that the Specified Awards and any right, title or interest Executive may have in or to the Specified Awards and any shares of common stock of the Company issuable, or cash payable, upon settlement of the underlying Specified Awards shall be forfeited without consideration, and the Specified Awards shall be cancelled and terminated entirely, effective as of the Effective Date of this Agreement (the “</w:t>
      </w:r>
      <w:r>
        <w:rPr>
          <w:rFonts w:ascii="Times New Roman;sans-serif" w:hAnsi="Times New Roman;sans-serif"/>
          <w:b/>
          <w:color w:val="000000"/>
          <w:sz w:val="22"/>
        </w:rPr>
        <w:t>Specified Award Cancellation</w:t>
      </w:r>
      <w:r>
        <w:rPr>
          <w:color w:val="000000"/>
        </w:rPr>
        <w:t>”</w:t>
      </w:r>
      <w:r>
        <w:rPr>
          <w:rFonts w:ascii="Times New Roman;sans-serif" w:hAnsi="Times New Roman;sans-serif"/>
          <w:b w:val="false"/>
          <w:color w:val="000000"/>
          <w:sz w:val="22"/>
        </w:rPr>
        <w:t>).</w:t>
      </w:r>
    </w:p>
    <w:p>
      <w:pPr>
        <w:pStyle w:val="TextBody"/>
        <w:bidi w:val="0"/>
        <w:spacing w:lineRule="auto" w:line="240" w:before="240" w:after="283"/>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Executive and the Company hereby agree as follows:</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Cancellation of Specified Awards</w:t>
      </w:r>
      <w:r>
        <w:rPr>
          <w:rFonts w:ascii="Times New Roman;sans-serif" w:hAnsi="Times New Roman;sans-serif"/>
          <w:b w:val="false"/>
          <w:color w:val="000000"/>
          <w:sz w:val="22"/>
        </w:rPr>
        <w:t>. The Executive expressly agrees and consents to the Specified Award Cancellation, effective as of the Effective Date. In connection therewith, as of the Effective Date, Executive fully releases any and all rights or claims with respect to the Specified Awards, and Executive and the Company agree that, following the Specified Award Cancellation, Executive shall have no further right, title or interest in respect of the Specified Awards or any shares of Company common stock issuable, or cash payable, upon settlement of the Restricted Stock Units underlying the Specified Awards, and each Award Agreement and any other agreement evidencing the grant or approval of the Specified Awards shall be null and void with respect to the Specified Awards.</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Reservation of Rights</w:t>
      </w:r>
      <w:r>
        <w:rPr>
          <w:rFonts w:ascii="Times New Roman;sans-serif" w:hAnsi="Times New Roman;sans-serif"/>
          <w:b w:val="false"/>
          <w:color w:val="000000"/>
          <w:sz w:val="22"/>
        </w:rPr>
        <w:t>. To dispel doubt, this Agreement does not apply to the Executive’s Option or Stock Appreciation Right (namely, all the Options and/or RSUs Awards and Prior Plan Awards) that are not included in the Specified Awards (herein, the “</w:t>
      </w:r>
      <w:r>
        <w:rPr>
          <w:rFonts w:ascii="Times New Roman;sans-serif" w:hAnsi="Times New Roman;sans-serif"/>
          <w:b/>
          <w:color w:val="000000"/>
          <w:sz w:val="22"/>
        </w:rPr>
        <w:t>Non-Specified Awards</w:t>
      </w:r>
      <w:r>
        <w:rPr>
          <w:color w:val="000000"/>
        </w:rPr>
        <w:t>”</w:t>
      </w:r>
      <w:r>
        <w:rPr>
          <w:rFonts w:ascii="Times New Roman;sans-serif" w:hAnsi="Times New Roman;sans-serif"/>
          <w:b w:val="false"/>
          <w:color w:val="000000"/>
          <w:sz w:val="22"/>
        </w:rPr>
        <w:t>). Accordingly, for the avoidance of doubt it is hereby clarified that under the Termination Letter, the Executive’s rights to exercise the Non-Specified Awards (i.e., the Awards and Prior Plan Awards that had vested and shall have become exercisable on or before the Effective Date of Termination) shall continue to be in effect and remain exercisable throughout the Continued Board Service and so long as the Executive shall continue to be an Israeli Employee Participant as defined under the Israeli Sub-Plan to Kaltura, Inc. 2021 Incentive Award Plan, as set forth in the Termination Letter.</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Governing Law, Jurisdiction</w:t>
      </w:r>
      <w:r>
        <w:rPr>
          <w:rFonts w:ascii="Times New Roman;sans-serif" w:hAnsi="Times New Roman;sans-serif"/>
          <w:b w:val="false"/>
          <w:color w:val="000000"/>
          <w:sz w:val="22"/>
        </w:rPr>
        <w:t xml:space="preserve">. This Agreement shall be governed by and construed in accordance with the laws of the State of Israel without reference to the choice of law principles thereof. Any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1"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dispute arising under or in relation to this Agreement shall be resolved solely and exclusively in the Tel Aviv - Jaffa competent Courts, and each of the parties hereby submits irrevocably to the jurisdiction of such court.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This Agreement shall be binding upon and inure to the benefit of the parties hereto and their respective successors and assigns.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any number of counterparts, each of which shall be deemed to be an original and all of which together shall constitute one and the same document.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Advice of Counsel and Tax Advisor</w:t>
      </w:r>
      <w:r>
        <w:rPr>
          <w:rFonts w:ascii="Times New Roman;sans-serif" w:hAnsi="Times New Roman;sans-serif"/>
          <w:b w:val="false"/>
          <w:color w:val="000000"/>
          <w:sz w:val="22"/>
        </w:rPr>
        <w:t>. Executive represents and warrants that Executive has read this Agreement, has had adequate time to consider this Agreement, and has had an opportunity to consult with an attorney and Executive’s personal tax advisor prior to executing this Agreement. Executive acknowledges that Executive understands the meaning and effect of this Agreement and has executed this Agreement knowingly, voluntarily and with the intent of being bound by this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Complete Agreement</w:t>
      </w:r>
      <w:r>
        <w:rPr>
          <w:rFonts w:ascii="Times New Roman;sans-serif" w:hAnsi="Times New Roman;sans-serif"/>
          <w:b w:val="false"/>
          <w:color w:val="000000"/>
          <w:sz w:val="22"/>
        </w:rPr>
        <w:t xml:space="preserve">. Except as expressly set forth herein, the Termination Letter shall remain in full force and effect, in accordance with its terms, following the Effective Date. The Termination Letter and this Agreement constitutes the entire agreement between Executive and the Company and they are the complete, final and exclusive embodiment of their agreement with regard to this subject matter. </w:t>
      </w:r>
    </w:p>
    <w:p>
      <w:pPr>
        <w:pStyle w:val="TextBody"/>
        <w:bidi w:val="0"/>
        <w:spacing w:before="240" w:after="120"/>
        <w:jc w:val="center"/>
        <w:rPr/>
      </w:pPr>
      <w:r>
        <w:rPr/>
      </w:r>
    </w:p>
    <w:p>
      <w:pPr>
        <w:pStyle w:val="TextBody"/>
        <w:bidi w:val="0"/>
        <w:spacing w:lineRule="auto" w:line="240" w:before="240" w:after="12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42620"/>
                <wp:effectExtent l="0" t="0" r="0" b="0"/>
                <wp:wrapNone/>
                <wp:docPr id="162" name="Frame156"/>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Michal Tsur-Kaltura - Incentive Award Cancellation Agreement (Execution Copy) (1) - 2-13-2024||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Michal Tsur-Kaltura - Incentive Award Cancellation Agreement (Execution Copy) (1) - 2-13-2024||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and Executive have caused this Agreement to be executed as of the Effective Date.</w:t>
      </w:r>
    </w:p>
    <w:p>
      <w:pPr>
        <w:pStyle w:val="TextBody"/>
        <w:bidi w:val="0"/>
        <w:spacing w:lineRule="auto" w:line="240" w:before="240" w:after="120"/>
        <w:ind w:left="0" w:right="0" w:firstLine="5040"/>
        <w:jc w:val="left"/>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bidi w:val="0"/>
        <w:spacing w:lineRule="auto" w:line="240" w:before="240" w:after="120"/>
        <w:ind w:left="0" w:right="0" w:firstLine="5040"/>
        <w:jc w:val="left"/>
        <w:rPr/>
      </w:pPr>
      <w:r>
        <w:rPr>
          <w:rFonts w:ascii="Times New Roman;sans-serif" w:hAnsi="Times New Roman;sans-serif"/>
          <w:b w:val="false"/>
          <w:color w:val="000000"/>
          <w:sz w:val="22"/>
        </w:rPr>
        <w:t xml:space="preserve">By: </w:t>
      </w:r>
      <w:r>
        <w:rPr>
          <w:color w:val="000000"/>
          <w:u w:val="single"/>
        </w:rPr>
        <w:t>                </w:t>
      </w:r>
    </w:p>
    <w:p>
      <w:pPr>
        <w:pStyle w:val="TextBody"/>
        <w:bidi w:val="0"/>
        <w:spacing w:lineRule="auto" w:line="240" w:before="240" w:after="12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Name: Sigal Srur</w:t>
      </w:r>
    </w:p>
    <w:p>
      <w:pPr>
        <w:pStyle w:val="TextBody"/>
        <w:bidi w:val="0"/>
        <w:spacing w:lineRule="auto" w:line="240" w:before="240" w:after="12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Human Resources     Officer</w:t>
      </w:r>
    </w:p>
    <w:p>
      <w:pPr>
        <w:pStyle w:val="TextBody"/>
        <w:bidi w:val="0"/>
        <w:spacing w:before="240" w:after="120"/>
        <w:ind w:left="0" w:right="0" w:firstLine="5040"/>
        <w:jc w:val="left"/>
        <w:rPr/>
      </w:pPr>
      <w:r>
        <w:rPr/>
      </w:r>
    </w:p>
    <w:p>
      <w:pPr>
        <w:pStyle w:val="TextBody"/>
        <w:bidi w:val="0"/>
        <w:spacing w:before="240" w:after="120"/>
        <w:ind w:left="0" w:right="0" w:firstLine="5040"/>
        <w:jc w:val="left"/>
        <w:rPr/>
      </w:pPr>
      <w:r>
        <w:rPr/>
      </w:r>
    </w:p>
    <w:p>
      <w:pPr>
        <w:pStyle w:val="TextBody"/>
        <w:bidi w:val="0"/>
        <w:spacing w:lineRule="auto" w:line="240" w:before="240" w:after="120"/>
        <w:ind w:left="0" w:right="0" w:firstLine="5040"/>
        <w:jc w:val="left"/>
        <w:rPr>
          <w:rFonts w:ascii="Times New Roman;sans-serif" w:hAnsi="Times New Roman;sans-serif"/>
          <w:b/>
          <w:color w:val="000000"/>
          <w:sz w:val="22"/>
        </w:rPr>
      </w:pPr>
      <w:r>
        <w:rPr>
          <w:rFonts w:ascii="Times New Roman;sans-serif" w:hAnsi="Times New Roman;sans-serif"/>
          <w:b/>
          <w:color w:val="000000"/>
          <w:sz w:val="22"/>
        </w:rPr>
        <w:t>EXECUTIVE</w:t>
      </w:r>
    </w:p>
    <w:p>
      <w:pPr>
        <w:pStyle w:val="TextBody"/>
        <w:bidi w:val="0"/>
        <w:spacing w:before="240" w:after="283"/>
        <w:ind w:left="0" w:right="0" w:firstLine="5040"/>
        <w:jc w:val="left"/>
        <w:rPr/>
      </w:pPr>
      <w:r>
        <w:rPr/>
      </w:r>
    </w:p>
    <w:p>
      <w:pPr>
        <w:pStyle w:val="TextBody"/>
        <w:bidi w:val="0"/>
        <w:spacing w:lineRule="auto" w:line="240" w:before="240" w:after="283"/>
        <w:ind w:left="0" w:right="0" w:firstLine="5040"/>
        <w:jc w:val="left"/>
        <w:rPr>
          <w:color w:val="000000"/>
          <w:u w:val="single"/>
        </w:rPr>
      </w:pPr>
      <w:r>
        <w:rPr>
          <w:color w:val="000000"/>
          <w:u w:val="single"/>
        </w:rPr>
        <w:t>                        </w:t>
      </w:r>
    </w:p>
    <w:p>
      <w:pPr>
        <w:pStyle w:val="TextBody"/>
        <w:bidi w:val="0"/>
        <w:spacing w:lineRule="auto" w:line="240" w:before="0" w:after="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Michal Tsur</w:t>
      </w:r>
    </w:p>
    <w:p>
      <w:pPr>
        <w:pStyle w:val="TextBody"/>
        <w:bidi w:val="0"/>
        <w:spacing w:before="240" w:after="283"/>
        <w:ind w:left="0" w:right="0" w:firstLine="5040"/>
        <w:jc w:val="left"/>
        <w:rPr/>
      </w:pPr>
      <w:r>
        <w:rPr/>
      </w:r>
    </w:p>
    <w:p>
      <w:pPr>
        <w:pStyle w:val="TextBody"/>
        <w:bidi w:val="0"/>
        <w:spacing w:before="240" w:after="283"/>
        <w:jc w:val="both"/>
        <w:rPr/>
      </w:pPr>
      <w:r>
        <w:rPr/>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42620"/>
                <wp:effectExtent l="0" t="0" r="0" b="0"/>
                <wp:wrapNone/>
                <wp:docPr id="163" name="Frame157"/>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Michal Tsur-Kaltura - Incentive Award Cancellation Agreement (Execution Copy) (1) - 2-13-2024||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Michal Tsur-Kaltura - Incentive Award Cancellation Agreement (Execution Copy) (1) - 2-13-2024||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SPECIFIED AWARDS</w:t>
      </w:r>
    </w:p>
    <w:p>
      <w:pPr>
        <w:pStyle w:val="TextBody"/>
        <w:bidi w:val="0"/>
        <w:spacing w:before="0" w:after="0"/>
        <w:jc w:val="center"/>
        <w:rPr/>
      </w:pPr>
      <w:r>
        <w:rPr/>
      </w:r>
    </w:p>
    <w:tbl>
      <w:tblPr>
        <w:tblW w:w="7214" w:type="dxa"/>
        <w:jc w:val="left"/>
        <w:tblInd w:w="0" w:type="dxa"/>
        <w:tblLayout w:type="fixed"/>
        <w:tblCellMar>
          <w:top w:w="28" w:type="dxa"/>
          <w:left w:w="28" w:type="dxa"/>
          <w:bottom w:w="28" w:type="dxa"/>
          <w:right w:w="28" w:type="dxa"/>
        </w:tblCellMar>
      </w:tblPr>
      <w:tblGrid>
        <w:gridCol w:w="721"/>
        <w:gridCol w:w="634"/>
        <w:gridCol w:w="640"/>
        <w:gridCol w:w="544"/>
        <w:gridCol w:w="544"/>
        <w:gridCol w:w="546"/>
        <w:gridCol w:w="1049"/>
        <w:gridCol w:w="1049"/>
        <w:gridCol w:w="1487"/>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Grant Date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Grant Number</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Number of Restricted Stock Units</w:t>
            </w:r>
          </w:p>
        </w:tc>
      </w:tr>
      <w:tr>
        <w:trPr/>
        <w:tc>
          <w:tcPr>
            <w:tcW w:w="19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24, 2020</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G2626</w:t>
            </w:r>
          </w:p>
        </w:tc>
        <w:tc>
          <w:tcPr>
            <w:tcW w:w="35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787,500</w:t>
            </w:r>
          </w:p>
        </w:tc>
      </w:tr>
    </w:tbl>
    <w:p>
      <w:pPr>
        <w:pStyle w:val="TextBody"/>
        <w:bidi w:val="0"/>
        <w:spacing w:before="24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ind w:left="0" w:right="0" w:hanging="10"/>
        <w:jc w:val="center"/>
        <w:rPr/>
      </w:pPr>
      <w:r>
        <w:rPr>
          <w:rFonts w:ascii="Times New Roman;sans-serif" w:hAnsi="Times New Roman;sans-serif"/>
          <w:b/>
          <w:color w:val="000000"/>
          <w:sz w:val="20"/>
          <w:u w:val="single"/>
        </w:rPr>
        <w:t>EMPLOYMENT AGREEMENT</w:t>
      </w:r>
      <w:r>
        <w:rPr>
          <w:color w:val="000000"/>
        </w:rPr>
        <w:t xml:space="preserve">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42620"/>
                <wp:effectExtent l="0" t="0" r="0" b="0"/>
                <wp:wrapNone/>
                <wp:docPr id="164" name="Frame158"/>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Michal Tsur-Kaltura - Incentive Award Cancellation Agreement (Execution Copy) (1) - 2-13-2024||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154.1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Michal Tsur-Kaltura - Incentive Award Cancellation Agreement (Execution Copy) (1) - 2-13-2024||</w:t>
                      </w:r>
                    </w:p>
                  </w:txbxContent>
                </v:textbox>
                <w10:wrap type="none"/>
              </v:rect>
            </w:pict>
          </mc:Fallback>
        </mc:AlternateContent>
      </w:r>
    </w:p>
    <w:p>
      <w:pPr>
        <w:pStyle w:val="TextBody"/>
        <w:bidi w:val="0"/>
        <w:spacing w:before="0" w:after="8"/>
        <w:ind w:left="0" w:right="0" w:hanging="10"/>
        <w:jc w:val="both"/>
        <w:rPr/>
      </w:pPr>
      <w:r>
        <w:rPr/>
      </w:r>
    </w:p>
    <w:p>
      <w:pPr>
        <w:pStyle w:val="TextBody"/>
        <w:bidi w:val="0"/>
        <w:spacing w:before="0" w:after="114"/>
        <w:ind w:left="0" w:right="0" w:hanging="10"/>
        <w:jc w:val="left"/>
        <w:rPr/>
      </w:pPr>
      <w:r>
        <w:rPr/>
      </w:r>
    </w:p>
    <w:p>
      <w:pPr>
        <w:pStyle w:val="TextBody"/>
        <w:bidi w:val="0"/>
        <w:spacing w:lineRule="auto" w:line="288" w:before="0" w:after="114"/>
        <w:ind w:left="0" w:right="0" w:hanging="10"/>
        <w:jc w:val="left"/>
        <w:rPr/>
      </w:pPr>
      <w:r>
        <w:rPr>
          <w:rFonts w:ascii="Times New Roman;sans-serif" w:hAnsi="Times New Roman;sans-serif"/>
          <w:b/>
          <w:color w:val="000000"/>
          <w:sz w:val="20"/>
        </w:rPr>
        <w:t>This</w:t>
      </w:r>
      <w:r>
        <w:rPr>
          <w:color w:val="000000"/>
        </w:rPr>
        <w:t xml:space="preserve"> </w:t>
      </w:r>
      <w:r>
        <w:rPr>
          <w:rFonts w:ascii="Times New Roman;sans-serif" w:hAnsi="Times New Roman;sans-serif"/>
          <w:b/>
          <w:color w:val="000000"/>
          <w:sz w:val="20"/>
        </w:rPr>
        <w:t>Employment Agreement</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Employment Agreement</w:t>
      </w:r>
      <w:r>
        <w:rPr>
          <w:color w:val="000000"/>
        </w:rPr>
        <w:t>”</w:t>
      </w:r>
      <w:r>
        <w:rPr>
          <w:rFonts w:ascii="Times New Roman;sans-serif" w:hAnsi="Times New Roman;sans-serif"/>
          <w:b w:val="false"/>
          <w:color w:val="000000"/>
          <w:sz w:val="20"/>
        </w:rPr>
        <w:t>) is made as of December 22,</w:t>
      </w:r>
      <w:r>
        <w:rPr>
          <w:color w:val="2E74B5"/>
        </w:rPr>
        <w:t xml:space="preserve"> </w:t>
      </w:r>
      <w:r>
        <w:rPr>
          <w:rFonts w:ascii="Times New Roman;sans-serif" w:hAnsi="Times New Roman;sans-serif"/>
          <w:b w:val="false"/>
          <w:color w:val="000000"/>
          <w:sz w:val="20"/>
        </w:rPr>
        <w:t xml:space="preserve">2020 by and between </w:t>
      </w:r>
    </w:p>
    <w:p>
      <w:pPr>
        <w:pStyle w:val="TextBody"/>
        <w:bidi w:val="0"/>
        <w:spacing w:lineRule="auto" w:line="285" w:before="0" w:after="234"/>
        <w:ind w:left="0" w:right="0" w:hanging="10"/>
        <w:jc w:val="left"/>
        <w:rPr/>
      </w:pPr>
      <w:r>
        <w:rPr>
          <w:rFonts w:ascii="Times New Roman;sans-serif" w:hAnsi="Times New Roman;sans-serif"/>
          <w:b/>
          <w:color w:val="000000"/>
          <w:sz w:val="20"/>
        </w:rPr>
        <w:t>Kaltura Ltd.</w:t>
      </w:r>
      <w:r>
        <w:rPr>
          <w:rFonts w:ascii="Times New Roman;sans-serif" w:hAnsi="Times New Roman;sans-serif"/>
          <w:b w:val="false"/>
          <w:color w:val="000000"/>
          <w:sz w:val="20"/>
        </w:rPr>
        <w:t>, Company Number 5-1391737-7, an Israeli company, having its principal place of business at 2 Shoham St. Ramat Gan, Israel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and Eynav Azaria holder of an Israeli ID number 027471689 (the “</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114"/>
        <w:ind w:left="0" w:right="0" w:hanging="10"/>
        <w:jc w:val="left"/>
        <w:rPr/>
      </w:pPr>
      <w:r>
        <w:rPr>
          <w:rFonts w:ascii="Times New Roman;sans-serif" w:hAnsi="Times New Roman;sans-serif"/>
          <w:b/>
          <w:i/>
          <w:color w:val="000000"/>
          <w:sz w:val="20"/>
        </w:rPr>
        <w:t>WHEREAS</w:t>
      </w:r>
      <w:r>
        <w:rPr>
          <w:rFonts w:ascii="Times New Roman;sans-serif" w:hAnsi="Times New Roman;sans-serif"/>
          <w:b w:val="false"/>
          <w:color w:val="000000"/>
          <w:sz w:val="20"/>
        </w:rPr>
        <w:t>, the Company wishes to employ the Employee, and the Employee agrees to be employed by the Company, as of December 22, 2020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xml:space="preserve">) and throughout the Term (as such term is defined below), all in accordance with the terms and conditions set forth in this Employment Agreement; and </w:t>
      </w:r>
    </w:p>
    <w:p>
      <w:pPr>
        <w:pStyle w:val="TextBody"/>
        <w:bidi w:val="0"/>
        <w:spacing w:lineRule="auto" w:line="290" w:before="0" w:after="114"/>
        <w:ind w:left="0" w:right="0" w:hanging="10"/>
        <w:jc w:val="left"/>
        <w:rPr/>
      </w:pPr>
      <w:r>
        <w:rPr>
          <w:rFonts w:ascii="Times New Roman;sans-serif" w:hAnsi="Times New Roman;sans-serif"/>
          <w:b/>
          <w:i/>
          <w:color w:val="000000"/>
          <w:sz w:val="20"/>
        </w:rPr>
        <w:t>WHEREAS</w:t>
      </w:r>
      <w:r>
        <w:rPr>
          <w:rFonts w:ascii="Times New Roman;sans-serif" w:hAnsi="Times New Roman;sans-serif"/>
          <w:b w:val="false"/>
          <w:color w:val="000000"/>
          <w:sz w:val="20"/>
        </w:rPr>
        <w:t xml:space="preserve">, the Employee represents that he has significant expertise and knowledge with regard to the Position (as defined below). </w:t>
      </w:r>
    </w:p>
    <w:p>
      <w:pPr>
        <w:pStyle w:val="TextBody"/>
        <w:bidi w:val="0"/>
        <w:spacing w:lineRule="auto" w:line="290" w:before="0" w:after="114"/>
        <w:ind w:left="0" w:right="0" w:hanging="10"/>
        <w:jc w:val="left"/>
        <w:rPr/>
      </w:pPr>
      <w:r>
        <w:rPr>
          <w:rFonts w:ascii="Times New Roman;sans-serif" w:hAnsi="Times New Roman;sans-serif"/>
          <w:b/>
          <w:i/>
          <w:color w:val="000000"/>
          <w:sz w:val="20"/>
        </w:rPr>
        <w:t>NOW, THEREFORE</w:t>
      </w:r>
      <w:r>
        <w:rPr>
          <w:rFonts w:ascii="Times New Roman;sans-serif" w:hAnsi="Times New Roman;sans-serif"/>
          <w:b w:val="false"/>
          <w:color w:val="000000"/>
          <w:sz w:val="20"/>
        </w:rPr>
        <w:t xml:space="preserve">, in consideration of the mutual premises, covenants and other agreements contained herein, the parties hereby agree as follows: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1</w:t>
      </w:r>
      <w:r>
        <w:rPr>
          <w:color w:val="000000"/>
        </w:rPr>
        <w:t xml:space="preserve">     </w:t>
      </w:r>
      <w:r>
        <w:rPr>
          <w:rFonts w:ascii="Times New Roman;sans-serif" w:hAnsi="Times New Roman;sans-serif"/>
          <w:b/>
          <w:color w:val="000000"/>
          <w:sz w:val="20"/>
          <w:u w:val="single"/>
        </w:rPr>
        <w:t>General</w:t>
      </w:r>
      <w:r>
        <w:rPr>
          <w:color w:val="000000"/>
        </w:rPr>
        <w:t xml:space="preserve"> </w:t>
      </w:r>
    </w:p>
    <w:p>
      <w:pPr>
        <w:pStyle w:val="TextBody"/>
        <w:bidi w:val="0"/>
        <w:spacing w:lineRule="auto" w:line="290" w:before="0" w:after="114"/>
        <w:jc w:val="left"/>
        <w:rPr/>
      </w:pPr>
      <w:r>
        <w:rPr>
          <w:color w:val="000000"/>
        </w:rPr>
        <w:t>    </w:t>
      </w: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20"/>
        </w:rPr>
        <w:t xml:space="preserve">The preamble to this Employment Agreement constitutes an integral part thereof.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1.2</w:t>
      </w:r>
      <w:r>
        <w:rPr>
          <w:color w:val="000000"/>
        </w:rPr>
        <w:t xml:space="preserve"> </w:t>
      </w:r>
      <w:r>
        <w:rPr>
          <w:rFonts w:ascii="Times New Roman;sans-serif" w:hAnsi="Times New Roman;sans-serif"/>
          <w:b w:val="false"/>
          <w:color w:val="000000"/>
          <w:sz w:val="20"/>
        </w:rPr>
        <w:t xml:space="preserve">The appendices to this Employment Agreement are an integral part thereof and are hereby incorporated by reference.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1.3</w:t>
      </w:r>
      <w:r>
        <w:rPr>
          <w:color w:val="000000"/>
        </w:rPr>
        <w:t xml:space="preserve">     </w:t>
      </w:r>
      <w:r>
        <w:rPr>
          <w:rFonts w:ascii="Times New Roman;sans-serif" w:hAnsi="Times New Roman;sans-serif"/>
          <w:b w:val="false"/>
          <w:color w:val="000000"/>
          <w:sz w:val="20"/>
        </w:rPr>
        <w:t xml:space="preserve">The headings in this Employment Agreement are for the purpose of convenience only and shall not be used for the purposes of interpretation. </w:t>
      </w:r>
    </w:p>
    <w:p>
      <w:pPr>
        <w:pStyle w:val="TextBody"/>
        <w:bidi w:val="0"/>
        <w:spacing w:lineRule="auto" w:line="290" w:before="0" w:after="114"/>
        <w:jc w:val="left"/>
        <w:rPr/>
      </w:pPr>
      <w:r>
        <w:rPr>
          <w:color w:val="000000"/>
        </w:rPr>
        <w:t>    </w:t>
      </w:r>
      <w:r>
        <w:rPr>
          <w:rFonts w:ascii="Times New Roman;sans-serif" w:hAnsi="Times New Roman;sans-serif"/>
          <w:b w:val="false"/>
          <w:color w:val="000000"/>
          <w:sz w:val="20"/>
        </w:rPr>
        <w:t>1.4</w:t>
      </w:r>
      <w:r>
        <w:rPr>
          <w:color w:val="000000"/>
        </w:rPr>
        <w:t xml:space="preserve">     </w:t>
      </w:r>
      <w:r>
        <w:rPr>
          <w:rFonts w:ascii="Times New Roman;sans-serif" w:hAnsi="Times New Roman;sans-serif"/>
          <w:b w:val="false"/>
          <w:color w:val="000000"/>
          <w:sz w:val="20"/>
        </w:rPr>
        <w:t xml:space="preserve">In this Employment Agreement words referring to a male employee are intended also for a female employee. </w:t>
      </w:r>
    </w:p>
    <w:p>
      <w:pPr>
        <w:pStyle w:val="TextBody"/>
        <w:bidi w:val="0"/>
        <w:spacing w:lineRule="auto" w:line="300" w:before="0" w:after="126"/>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u w:val="single"/>
        </w:rPr>
        <w:t>Employment and Position.</w:t>
      </w:r>
      <w:r>
        <w:rPr>
          <w:color w:val="000000"/>
        </w:rPr>
        <w:t xml:space="preserve"> </w:t>
      </w:r>
    </w:p>
    <w:p>
      <w:pPr>
        <w:pStyle w:val="TextBody"/>
        <w:bidi w:val="0"/>
        <w:spacing w:lineRule="auto" w:line="290" w:before="0" w:after="114"/>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2.1The Employee’s employment with the Company shall commence on the Effective Date and shall continue for an unlimited period, in accordance with the provisions of this Employment Agreement. </w:t>
      </w:r>
    </w:p>
    <w:p>
      <w:pPr>
        <w:pStyle w:val="TextBody"/>
        <w:bidi w:val="0"/>
        <w:spacing w:lineRule="auto" w:line="290" w:before="0" w:after="114"/>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2.2In in the period between Effective date to January 31, 2021, the employment of the employee will be in a scope of 50%. The compensation and terms as mentioned in the employment agreement will be in accordance. </w:t>
      </w:r>
    </w:p>
    <w:p>
      <w:pPr>
        <w:pStyle w:val="TextBody"/>
        <w:bidi w:val="0"/>
        <w:spacing w:lineRule="auto" w:line="290" w:before="0" w:after="8"/>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2.3The Company hereby agrees to employ the Employee and the Employee hereby agrees to be employed by </w:t>
      </w:r>
    </w:p>
    <w:p>
      <w:pPr>
        <w:pStyle w:val="TextBody"/>
        <w:bidi w:val="0"/>
        <w:spacing w:lineRule="auto" w:line="290" w:before="0" w:after="114"/>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in the position as described in Exhibit A hereto (the “Position”). The Employee shall have such authority as shall be delegated to him/her by the authorized representative(s) of the Company from time to time. The Company may, at its sole discretion, change the Position, the scope of authority, the content of the Position and its definitions, and/or to ask the Employee to render services out of the scope of the Position. </w:t>
      </w:r>
    </w:p>
    <w:p>
      <w:pPr>
        <w:pStyle w:val="TextBody"/>
        <w:bidi w:val="0"/>
        <w:spacing w:lineRule="auto" w:line="290" w:before="0" w:after="149"/>
        <w:ind w:left="0" w:right="0" w:hanging="540"/>
        <w:jc w:val="left"/>
        <w:rPr/>
      </w:pPr>
      <w:r>
        <w:rPr>
          <w:rFonts w:ascii="Times New Roman;sans-serif" w:hAnsi="Times New Roman;sans-serif"/>
          <w:b w:val="false"/>
          <w:color w:val="000000"/>
          <w:sz w:val="20"/>
        </w:rPr>
        <w:t xml:space="preserve">2.4The Employee shall report regularly to the person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 or to any other person or position as Company, at its sole discretion, shall instruct the Employee from time to time (the “</w:t>
      </w:r>
      <w:r>
        <w:rPr>
          <w:rFonts w:ascii="Times New Roman;sans-serif" w:hAnsi="Times New Roman;sans-serif"/>
          <w:b/>
          <w:color w:val="000000"/>
          <w:sz w:val="20"/>
        </w:rPr>
        <w:t>Direct Manager</w:t>
      </w:r>
      <w:r>
        <w:rPr>
          <w:color w:val="000000"/>
        </w:rPr>
        <w:t>”</w:t>
      </w:r>
      <w:r>
        <w:rPr>
          <w:rFonts w:ascii="Times New Roman;sans-serif" w:hAnsi="Times New Roman;sans-serif"/>
          <w:b w:val="false"/>
          <w:color w:val="000000"/>
          <w:sz w:val="20"/>
        </w:rPr>
        <w:t xml:space="preserve">). </w:t>
      </w:r>
    </w:p>
    <w:p>
      <w:pPr>
        <w:pStyle w:val="TextBody"/>
        <w:bidi w:val="0"/>
        <w:spacing w:lineRule="auto" w:line="300" w:before="0" w:after="100"/>
        <w:ind w:left="0" w:right="0" w:hanging="360"/>
        <w:jc w:val="left"/>
        <w:rPr/>
      </w:pPr>
      <w:r>
        <w:rPr>
          <w:rFonts w:ascii="Times New Roman;sans-serif" w:hAnsi="Times New Roman;sans-serif"/>
          <w:b w:val="false"/>
          <w:color w:val="000000"/>
          <w:sz w:val="20"/>
        </w:rPr>
        <w:t>3</w:t>
      </w:r>
      <w:r>
        <w:rPr>
          <w:rFonts w:ascii="Times New Roman;sans-serif" w:hAnsi="Times New Roman;sans-serif"/>
          <w:b/>
          <w:color w:val="000000"/>
          <w:sz w:val="20"/>
          <w:u w:val="single"/>
        </w:rPr>
        <w:t>Employee’s Duties</w:t>
      </w:r>
      <w:r>
        <w:rPr>
          <w:rFonts w:ascii="Times New Roman;sans-serif" w:hAnsi="Times New Roman;sans-serif"/>
          <w:b w:val="false"/>
          <w:color w:val="000000"/>
          <w:sz w:val="20"/>
        </w:rPr>
        <w:t xml:space="preserve">. </w:t>
      </w:r>
    </w:p>
    <w:p>
      <w:pPr>
        <w:pStyle w:val="TextBody"/>
        <w:bidi w:val="0"/>
        <w:spacing w:lineRule="auto" w:line="290" w:before="0" w:after="114"/>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3.1The Employee affirms and undertakes throughout the term of this Agreement: </w: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3.1.1To devote his entire working time, know-how, expertise, talent, experience and best efforts to the business and affairs of the Company and to perform his/her duties and functions diligently and skillfully with the utmost expertise and devotion. </w: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3.1.2To travel abroad from time to time if and as may be required pursuant to his Position. </w: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3.1.3Not to receive, at any time, whether during the term of this Agreement and/or at any time thereafter, directly or indirectly, any payment, benefit and/or other consideration, from any third party in connection with her employment with the Company, without the Company’s prior written authorization. </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5"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3.1.4To immediately and without delay inform the Company of any affairs and/or matters that might constitute a conflict of interest with Employee’s Position and/or employment with Company (including its affiliates) and/or the interests of the Company (including its affiliates). </w: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3.1.5Not, without the prior written consent of the Company, to undertake or accept any other paid or unpaid employment or occupation or engage in or be associated with, directly or indirectly, any other businesses, duties or pursuits except for de minimis non-commercial or non-business activities. </w:t>
      </w:r>
    </w:p>
    <w:p>
      <w:pPr>
        <w:pStyle w:val="TextBody"/>
        <w:bidi w:val="0"/>
        <w:spacing w:lineRule="auto" w:line="290" w:before="0" w:after="114"/>
        <w:ind w:left="0" w:right="0" w:firstLine="540"/>
        <w:jc w:val="left"/>
        <w:rPr/>
      </w:pPr>
      <w:r>
        <w:rPr>
          <w:rFonts w:ascii="Times New Roman;sans-serif" w:hAnsi="Times New Roman;sans-serif"/>
          <w:b w:val="false"/>
          <w:color w:val="000000"/>
          <w:sz w:val="20"/>
        </w:rPr>
        <w:t>3.1.6To comply with all the Company's regulations, work-rules, policies, procedures and objectives, as shall be in effect from time to time (the “</w:t>
      </w:r>
      <w:r>
        <w:rPr>
          <w:rFonts w:ascii="Times New Roman;sans-serif" w:hAnsi="Times New Roman;sans-serif"/>
          <w:b/>
          <w:color w:val="000000"/>
          <w:sz w:val="20"/>
        </w:rPr>
        <w:t>Company’s Rules</w:t>
      </w:r>
      <w:r>
        <w:rPr>
          <w:color w:val="000000"/>
        </w:rPr>
        <w:t>”</w:t>
      </w:r>
      <w:r>
        <w:rPr>
          <w:rFonts w:ascii="Times New Roman;sans-serif" w:hAnsi="Times New Roman;sans-serif"/>
          <w:b w:val="false"/>
          <w:color w:val="000000"/>
          <w:sz w:val="20"/>
        </w:rPr>
        <w:t xml:space="preserve">). In the event of inconsistency or contradiction between the provisions of this Employment Agreement and the Company’s Rules, this Agreement shall prevail. </w: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3.1.7To comply with any applicable law or provision, pertaining to his employment, including, without limitation, the Company’s Rules for Prevention of Sexual Harassment at the Workplace. </w:t>
      </w:r>
    </w:p>
    <w:p>
      <w:pPr>
        <w:pStyle w:val="TextBody"/>
        <w:bidi w:val="0"/>
        <w:spacing w:lineRule="auto" w:line="290" w:before="0" w:after="114"/>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3.1.8To the transfer of any information related to the Employee and held by the Company to a database (including a database located abroad) and to any other person or entity, as the Company shall deem necessary and reasonable for business purposes or to pursue the Company's business interests. </w:t>
      </w:r>
    </w:p>
    <w:p>
      <w:pPr>
        <w:pStyle w:val="TextBody"/>
        <w:bidi w:val="0"/>
        <w:spacing w:lineRule="auto" w:line="290" w:before="0" w:after="114"/>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3.2This Employment Agreement is confidential and therefore the Employee shall not disclose this Employment Agreement as a whole, or any part thereof, to any third party (not including the Employee's spouse, attorney or tax advisor), including, without limitation, to any other employee of the Company.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4</w:t>
      </w:r>
      <w:r>
        <w:rPr>
          <w:color w:val="000000"/>
        </w:rPr>
        <w:t xml:space="preserve">     </w:t>
      </w:r>
      <w:r>
        <w:rPr>
          <w:rFonts w:ascii="Times New Roman;sans-serif" w:hAnsi="Times New Roman;sans-serif"/>
          <w:b/>
          <w:color w:val="000000"/>
          <w:sz w:val="20"/>
          <w:u w:val="single"/>
        </w:rPr>
        <w:t>Time and Attention</w:t>
      </w:r>
      <w:r>
        <w:rPr>
          <w:color w:val="000000"/>
        </w:rPr>
        <w:t xml:space="preserv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4.1</w:t>
      </w:r>
      <w:r>
        <w:rPr>
          <w:color w:val="000000"/>
        </w:rPr>
        <w:t xml:space="preserve"> </w:t>
      </w:r>
      <w:r>
        <w:rPr>
          <w:rFonts w:ascii="Times New Roman;sans-serif" w:hAnsi="Times New Roman;sans-serif"/>
          <w:b w:val="false"/>
          <w:color w:val="000000"/>
          <w:sz w:val="20"/>
        </w:rPr>
        <w:t xml:space="preserve">In general, work for the Company shall be performed on Sunday through Thursday, unless determined and instructed otherwise by the Company, as set forth hereunder. A regular workday with the Company, other than Sunday shall consist of 8.6 hours, not including a daily break which shall be taken by the Employee, and which shall be the Employee's responsibility to take. Sunday shall consist of 7.6 hours, no including a daily break. Saturday shall be the Employee's recognized and official rest day.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4.2</w:t>
      </w:r>
      <w:r>
        <w:rPr>
          <w:color w:val="000000"/>
        </w:rPr>
        <w:t xml:space="preserve"> </w:t>
      </w:r>
      <w:r>
        <w:rPr>
          <w:rFonts w:ascii="Times New Roman;sans-serif" w:hAnsi="Times New Roman;sans-serif"/>
          <w:b w:val="false"/>
          <w:color w:val="000000"/>
          <w:sz w:val="20"/>
        </w:rPr>
        <w:t xml:space="preserve">Per the requirements under applicable law, the Employee shall cooperate with the Company in maintaining a record of the number of hours of work performed, in accordance with the Company's Rules and instructions.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4.3</w:t>
      </w:r>
      <w:r>
        <w:rPr>
          <w:color w:val="000000"/>
        </w:rPr>
        <w:t xml:space="preserve"> </w:t>
      </w:r>
      <w:r>
        <w:rPr>
          <w:rFonts w:ascii="Times New Roman;sans-serif" w:hAnsi="Times New Roman;sans-serif"/>
          <w:b w:val="false"/>
          <w:color w:val="000000"/>
          <w:sz w:val="20"/>
        </w:rPr>
        <w:t>Employee agrees and acknowledges that due to the Employee's senior managerial position in the Company, the special personal trust involved in the position in which the Employee shall be employed, and the inability to monitor the Employee’s actual work hours, the Hours of Work and Rest Law, 1951 (the “</w:t>
      </w:r>
      <w:r>
        <w:rPr>
          <w:rFonts w:ascii="Times New Roman;sans-serif" w:hAnsi="Times New Roman;sans-serif"/>
          <w:b/>
          <w:color w:val="000000"/>
          <w:sz w:val="20"/>
        </w:rPr>
        <w:t>Hours of Work and Rest Law</w:t>
      </w:r>
      <w:r>
        <w:rPr>
          <w:color w:val="000000"/>
        </w:rPr>
        <w:t>”</w:t>
      </w:r>
      <w:r>
        <w:rPr>
          <w:rFonts w:ascii="Times New Roman;sans-serif" w:hAnsi="Times New Roman;sans-serif"/>
          <w:b w:val="false"/>
          <w:color w:val="000000"/>
          <w:sz w:val="20"/>
        </w:rPr>
        <w:t xml:space="preserve">) shall not apply to the Employee. The Employee acknowledges that the set amount of the Monthly Salary (as defined hereunder), as well as all other compensation and benefits provided to the Employee by the Company, as agreed upon between the Employee and the Company, reflect the requirements of the position to work additional and irregular hours and days. Accordingly, the Employee shall not be entitled to claim or receive payments or any additional pay for work performed at overtime hours, nights, weekends, or at any other times in which the Hours of Work and Rest Law requires payment of special payments (to employees who are not in a position such as the position of the Employee). </w:t>
      </w:r>
    </w:p>
    <w:p>
      <w:pPr>
        <w:pStyle w:val="TextBody"/>
        <w:bidi w:val="0"/>
        <w:spacing w:lineRule="auto" w:line="300" w:before="0" w:after="236"/>
        <w:jc w:val="left"/>
        <w:rPr/>
      </w:pPr>
      <w:r>
        <w:rPr>
          <w:color w:val="000000"/>
        </w:rPr>
        <w:t>    </w:t>
      </w:r>
      <w:r>
        <w:rPr>
          <w:rFonts w:ascii="Times New Roman;sans-serif" w:hAnsi="Times New Roman;sans-serif"/>
          <w:b w:val="false"/>
          <w:color w:val="000000"/>
          <w:sz w:val="20"/>
        </w:rPr>
        <w:t>5</w:t>
      </w:r>
      <w:r>
        <w:rPr>
          <w:color w:val="000000"/>
        </w:rPr>
        <w:t xml:space="preserve">     </w:t>
      </w:r>
      <w:r>
        <w:rPr>
          <w:rFonts w:ascii="Times New Roman;sans-serif" w:hAnsi="Times New Roman;sans-serif"/>
          <w:b/>
          <w:color w:val="000000"/>
          <w:sz w:val="20"/>
          <w:u w:val="single"/>
        </w:rPr>
        <w:t>Term and Termination</w:t>
      </w:r>
      <w:r>
        <w:rPr>
          <w:color w:val="000000"/>
        </w:rPr>
        <w:t xml:space="preserve"> </w:t>
      </w:r>
    </w:p>
    <w:p>
      <w:pPr>
        <w:pStyle w:val="TextBody"/>
        <w:bidi w:val="0"/>
        <w:spacing w:lineRule="auto" w:line="290" w:before="0" w:after="232"/>
        <w:ind w:left="0" w:right="0" w:hanging="10"/>
        <w:jc w:val="left"/>
        <w:rPr/>
      </w:pPr>
      <w:r>
        <w:rPr>
          <w:rFonts w:ascii="Times New Roman;sans-serif" w:hAnsi="Times New Roman;sans-serif"/>
          <w:b w:val="false"/>
          <w:color w:val="000000"/>
          <w:sz w:val="20"/>
        </w:rPr>
        <w:t>5.1</w:t>
      </w:r>
      <w:r>
        <w:rPr>
          <w:color w:val="000000"/>
        </w:rPr>
        <w:t xml:space="preserve"> </w:t>
      </w:r>
      <w:r>
        <w:rPr>
          <w:rFonts w:ascii="Times New Roman;sans-serif" w:hAnsi="Times New Roman;sans-serif"/>
          <w:b w:val="false"/>
          <w:color w:val="000000"/>
          <w:sz w:val="20"/>
        </w:rPr>
        <w:t>Employee’s employment under this Employment Agreement shall commence on the Effective Date and shall remain in full force and effect unless terminated in accordance with the terms and conditions herein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232"/>
        <w:ind w:left="0" w:right="0" w:hanging="10"/>
        <w:jc w:val="left"/>
        <w:rPr/>
      </w:pPr>
      <w:r>
        <w:rPr>
          <w:rFonts w:ascii="Times New Roman;sans-serif" w:hAnsi="Times New Roman;sans-serif"/>
          <w:b w:val="false"/>
          <w:color w:val="000000"/>
          <w:sz w:val="20"/>
        </w:rPr>
        <w:t>5.2</w:t>
      </w:r>
      <w:r>
        <w:rPr>
          <w:color w:val="000000"/>
        </w:rPr>
        <w:t xml:space="preserve"> </w:t>
      </w:r>
      <w:r>
        <w:rPr>
          <w:rFonts w:ascii="Times New Roman;sans-serif" w:hAnsi="Times New Roman;sans-serif"/>
          <w:b w:val="false"/>
          <w:color w:val="000000"/>
          <w:sz w:val="20"/>
        </w:rPr>
        <w:t xml:space="preserve">Either the Company or Employee may terminate the Employee's employment by providing prior written notice in the number of days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color w:val="000000"/>
          <w:sz w:val="20"/>
        </w:rPr>
        <w:t>Notice Period</w:t>
      </w:r>
      <w:r>
        <w:rPr>
          <w:color w:val="000000"/>
        </w:rPr>
        <w:t>”</w:t>
      </w:r>
      <w:r>
        <w:rPr>
          <w:rFonts w:ascii="Times New Roman;sans-serif" w:hAnsi="Times New Roman;sans-serif"/>
          <w:b w:val="false"/>
          <w:color w:val="000000"/>
          <w:sz w:val="20"/>
        </w:rPr>
        <w:t xml:space="preserve">). During the Notice Period, whether notice has been given by the Employee or by the Company, the Employee shall continue to work unless instructed </w:t>
      </w:r>
    </w:p>
    <w:p>
      <w:pPr>
        <w:pStyle w:val="TextBody"/>
        <w:bidi w:val="0"/>
        <w:spacing w:lineRule="auto" w:line="290" w:before="0" w:after="23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otherwise by the Company and shall cooperate with the Company and use his best efforts to assist the integration into the Company organization of the person or persons who will assume the Employee's responsibilities and duties. </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6"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26"/>
        <w:jc w:val="left"/>
        <w:rPr/>
      </w:pPr>
      <w:r>
        <w:rPr>
          <w:color w:val="000000"/>
        </w:rPr>
        <w:t>    </w:t>
      </w:r>
      <w:r>
        <w:rPr>
          <w:rFonts w:ascii="Times New Roman;sans-serif" w:hAnsi="Times New Roman;sans-serif"/>
          <w:b w:val="false"/>
          <w:color w:val="000000"/>
          <w:sz w:val="20"/>
        </w:rPr>
        <w:t>5.3</w:t>
      </w:r>
      <w:r>
        <w:rPr>
          <w:color w:val="000000"/>
        </w:rPr>
        <w:t xml:space="preserve">     </w:t>
      </w:r>
      <w:r>
        <w:rPr>
          <w:rFonts w:ascii="Times New Roman;sans-serif" w:hAnsi="Times New Roman;sans-serif"/>
          <w:b w:val="false"/>
          <w:color w:val="000000"/>
          <w:sz w:val="20"/>
        </w:rPr>
        <w:t xml:space="preserve">Nonetheless, the Company shall be entitled, but not obligated, at any time prior to the expiration of the Notice </w:t>
      </w:r>
    </w:p>
    <w:p>
      <w:pPr>
        <w:pStyle w:val="TextBody"/>
        <w:bidi w:val="0"/>
        <w:spacing w:lineRule="auto" w:line="290" w:before="0" w:after="114"/>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 at its sole discretion: (i) to waive the Employee’s actual work during the Notice Period, in which event the Company shall pay to the Employee during the remainder of the Notice Period the payments payable to the Employee under Section 6 below; or (ii) to immediately terminate this Employment Agreement and the employment relationship, at any time prior to the expiration of the Notice Period, in which event the Company shall pay the Employee upon termination of the Employment Agreement and the employment relationship the value of the Monthly Salary during the remainder of the Notice Period.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5.4</w:t>
      </w:r>
      <w:r>
        <w:rPr>
          <w:color w:val="000000"/>
        </w:rPr>
        <w:t xml:space="preserve"> </w:t>
      </w:r>
      <w:r>
        <w:rPr>
          <w:rFonts w:ascii="Times New Roman;sans-serif" w:hAnsi="Times New Roman;sans-serif"/>
          <w:b w:val="false"/>
          <w:color w:val="000000"/>
          <w:sz w:val="20"/>
        </w:rPr>
        <w:t>Notwithstanding the foregoing, the Company may immediately terminate this Employment Agreement and the employment relationship at any time for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(as defined below</w:t>
      </w:r>
      <w:r>
        <w:rPr>
          <w:rFonts w:ascii="Times New Roman;sans-serif" w:hAnsi="Times New Roman;sans-serif"/>
          <w:b/>
          <w:color w:val="000000"/>
          <w:sz w:val="20"/>
        </w:rPr>
        <w:t xml:space="preserve">) </w:t>
      </w:r>
      <w:r>
        <w:rPr>
          <w:rFonts w:ascii="Times New Roman;sans-serif" w:hAnsi="Times New Roman;sans-serif"/>
          <w:b w:val="false"/>
          <w:color w:val="000000"/>
          <w:sz w:val="20"/>
        </w:rPr>
        <w:t>without Notice Period or any compensation in lieu of Notice Period and/or severance pay (subject to applicable law). For the purpose of this Employment Agreement,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(i) the Employee’s breach of trust or fiduciary duties</w:t>
      </w:r>
      <w:r>
        <w:rPr>
          <w:rFonts w:ascii="Times New Roman;sans-serif" w:hAnsi="Times New Roman;sans-serif"/>
          <w:b/>
          <w:color w:val="000000"/>
          <w:sz w:val="20"/>
        </w:rPr>
        <w:t xml:space="preserve">, </w:t>
      </w:r>
      <w:r>
        <w:rPr>
          <w:rFonts w:ascii="Times New Roman;sans-serif" w:hAnsi="Times New Roman;sans-serif"/>
          <w:b w:val="false"/>
          <w:color w:val="000000"/>
          <w:sz w:val="20"/>
        </w:rPr>
        <w:t>including but not limited to theft, embezzlement, self-dealing, or breach of the provisions of the IP Agreement (as defined below); (ii) any willful failure to perform or failure to perform competently any of the Employee's material functions or duties hereunder (including violation of the Company’s Rules), or other breach of this Employment Agreement, which, if capable of cure, was not cured within five (5) days of receipt by the Employee of written notice thereof; (iii) an event in which the Employee deliberately or gross negligently causes harm</w:t>
      </w:r>
      <w:r>
        <w:rPr>
          <w:color w:val="000000"/>
        </w:rPr>
        <w:t xml:space="preserve"> </w:t>
      </w:r>
      <w:r>
        <w:rPr>
          <w:rFonts w:ascii="Times New Roman;sans-serif" w:hAnsi="Times New Roman;sans-serif"/>
          <w:b w:val="false"/>
          <w:color w:val="000000"/>
          <w:sz w:val="20"/>
        </w:rPr>
        <w:t xml:space="preserve">to the Company's business affairs or reputation; (iv) conviction of, or entry of any plea of guilty or nolo contendere by, the Employee for any felony or other lesser crime that would require removal from his position at the Company (e.g., any alcohol or drug related misdemeanor); (v) personal dishonesty; (vi) willful misconduct; (vii) other cause justifying termination or dismissal without severance payment under applicable law; or (viii) if the Employee has provided the Company with false information about past career and/or education during the recruiting phase.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6</w:t>
      </w:r>
      <w:r>
        <w:rPr>
          <w:color w:val="000000"/>
        </w:rPr>
        <w:t xml:space="preserve">     </w:t>
      </w:r>
      <w:r>
        <w:rPr>
          <w:rFonts w:ascii="Times New Roman;sans-serif" w:hAnsi="Times New Roman;sans-serif"/>
          <w:b/>
          <w:color w:val="000000"/>
          <w:sz w:val="20"/>
          <w:u w:val="single"/>
        </w:rPr>
        <w:t>Salary and Social Benefits</w:t>
      </w:r>
      <w:r>
        <w:rPr>
          <w:color w:val="000000"/>
        </w:rPr>
        <w:t xml:space="preserve"> </w:t>
      </w:r>
    </w:p>
    <w:p>
      <w:pPr>
        <w:pStyle w:val="TextBody"/>
        <w:bidi w:val="0"/>
        <w:spacing w:lineRule="auto" w:line="290" w:before="0" w:after="8"/>
        <w:jc w:val="left"/>
        <w:rPr/>
      </w:pPr>
      <w:r>
        <w:rPr>
          <w:color w:val="000000"/>
        </w:rPr>
        <w:t>    </w:t>
      </w:r>
      <w:r>
        <w:rPr>
          <w:rFonts w:ascii="Times New Roman;sans-serif" w:hAnsi="Times New Roman;sans-serif"/>
          <w:b w:val="false"/>
          <w:color w:val="000000"/>
          <w:sz w:val="20"/>
        </w:rPr>
        <w:t>6.1</w:t>
      </w:r>
      <w:r>
        <w:rPr>
          <w:color w:val="000000"/>
        </w:rPr>
        <w:t xml:space="preserve">      </w:t>
      </w:r>
      <w:r>
        <w:rPr>
          <w:rFonts w:ascii="Times New Roman;sans-serif" w:hAnsi="Times New Roman;sans-serif"/>
          <w:b w:val="false"/>
          <w:color w:val="000000"/>
          <w:sz w:val="20"/>
        </w:rPr>
        <w:t xml:space="preserve">Commencing from the Effective Date and during the Term, in consideration for the fulfillment of the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 xml:space="preserve">Employee’s work and other obligations set forth in this Employment Agreement, the Company shall pay the Employee a gross monthly salary in the amount as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 xml:space="preserve">hereto. </w:t>
      </w:r>
    </w:p>
    <w:p>
      <w:pPr>
        <w:pStyle w:val="TextBody"/>
        <w:bidi w:val="0"/>
        <w:spacing w:lineRule="auto" w:line="290" w:before="0" w:after="169"/>
        <w:jc w:val="left"/>
        <w:rPr/>
      </w:pPr>
      <w:r>
        <w:rPr>
          <w:color w:val="000000"/>
        </w:rPr>
        <w:t>    </w:t>
      </w:r>
      <w:r>
        <w:rPr>
          <w:rFonts w:ascii="Times New Roman;sans-serif" w:hAnsi="Times New Roman;sans-serif"/>
          <w:b w:val="false"/>
          <w:color w:val="000000"/>
          <w:sz w:val="20"/>
        </w:rPr>
        <w:t>6.2</w:t>
      </w:r>
      <w:r>
        <w:rPr>
          <w:color w:val="000000"/>
        </w:rPr>
        <w:t xml:space="preserve">     </w:t>
      </w:r>
      <w:r>
        <w:rPr>
          <w:rFonts w:ascii="Times New Roman;sans-serif" w:hAnsi="Times New Roman;sans-serif"/>
          <w:b w:val="false"/>
          <w:color w:val="000000"/>
          <w:sz w:val="20"/>
        </w:rPr>
        <w:t>The Monthly Salary shall be paid to the Employee no later than the 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day of the following month. </w:t>
      </w:r>
    </w:p>
    <w:p>
      <w:pPr>
        <w:pStyle w:val="TextBody"/>
        <w:bidi w:val="0"/>
        <w:spacing w:lineRule="auto" w:line="290" w:before="0" w:after="38"/>
        <w:jc w:val="left"/>
        <w:rPr/>
      </w:pPr>
      <w:r>
        <w:rPr>
          <w:color w:val="000000"/>
        </w:rPr>
        <w:t>    </w:t>
      </w:r>
      <w:r>
        <w:rPr>
          <w:rFonts w:ascii="Times New Roman;sans-serif" w:hAnsi="Times New Roman;sans-serif"/>
          <w:b w:val="false"/>
          <w:color w:val="000000"/>
          <w:sz w:val="20"/>
        </w:rPr>
        <w:t>6.3</w:t>
      </w:r>
      <w:r>
        <w:rPr>
          <w:color w:val="000000"/>
        </w:rPr>
        <w:t xml:space="preserve">     </w:t>
      </w:r>
      <w:r>
        <w:rPr>
          <w:rFonts w:ascii="Times New Roman;sans-serif" w:hAnsi="Times New Roman;sans-serif"/>
          <w:b w:val="false"/>
          <w:color w:val="000000"/>
          <w:sz w:val="20"/>
          <w:u w:val="single"/>
        </w:rPr>
        <w:t>Pension Plan:</w:t>
      </w:r>
      <w:r>
        <w:rPr>
          <w:color w:val="000000"/>
        </w:rPr>
        <w:t xml:space="preserve"> </w:t>
      </w:r>
      <w:r>
        <w:rPr>
          <w:rFonts w:ascii="Times New Roman;sans-serif" w:hAnsi="Times New Roman;sans-serif"/>
          <w:b w:val="false"/>
          <w:color w:val="000000"/>
          <w:sz w:val="20"/>
        </w:rPr>
        <w:t xml:space="preserve">The Company and the Employee will obtain and maintain Managers’ Insurance or a Pension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 xml:space="preserve">Fund, or combination of both (per the Employee’s preference) per the Employee's choice </w:t>
      </w:r>
      <w:r>
        <w:rPr>
          <w:rFonts w:ascii="Times New Roman;sans-serif" w:hAnsi="Times New Roman;sans-serif"/>
          <w:b/>
          <w:color w:val="000000"/>
          <w:sz w:val="20"/>
        </w:rPr>
        <w:t>(</w:t>
      </w:r>
      <w:r>
        <w:rPr>
          <w:rFonts w:ascii="Times New Roman;sans-serif" w:hAnsi="Times New Roman;sans-serif"/>
          <w:b w:val="false"/>
          <w:color w:val="000000"/>
          <w:sz w:val="20"/>
        </w:rPr>
        <w:t>the “</w:t>
      </w:r>
      <w:r>
        <w:rPr>
          <w:rFonts w:ascii="Times New Roman;sans-serif" w:hAnsi="Times New Roman;sans-serif"/>
          <w:b/>
          <w:color w:val="000000"/>
          <w:sz w:val="20"/>
        </w:rPr>
        <w:t>Pension Plan</w:t>
      </w:r>
      <w:r>
        <w:rPr>
          <w:color w:val="000000"/>
        </w:rPr>
        <w:t>”</w:t>
      </w:r>
      <w:r>
        <w:rPr>
          <w:rFonts w:ascii="Times New Roman;sans-serif" w:hAnsi="Times New Roman;sans-serif"/>
          <w:b w:val="false"/>
          <w:color w:val="000000"/>
          <w:sz w:val="20"/>
        </w:rPr>
        <w:t xml:space="preserve">). The contributions to the Pension Plan shall be as detailed below: </w:t>
      </w:r>
    </w:p>
    <w:p>
      <w:pPr>
        <w:pStyle w:val="TextBody"/>
        <w:bidi w:val="0"/>
        <w:spacing w:lineRule="auto" w:line="290" w:before="0" w:after="114"/>
        <w:ind w:left="0" w:right="0" w:hanging="566"/>
        <w:jc w:val="left"/>
        <w:rPr/>
      </w:pPr>
      <w:r>
        <w:rPr>
          <w:rFonts w:ascii="Times New Roman;sans-serif" w:hAnsi="Times New Roman;sans-serif"/>
          <w:b w:val="false"/>
          <w:color w:val="000000"/>
          <w:sz w:val="20"/>
        </w:rPr>
        <w:t>6.3.1</w:t>
      </w:r>
      <w:r>
        <w:rPr>
          <w:color w:val="000000"/>
        </w:rPr>
        <w:t xml:space="preserve"> </w:t>
      </w:r>
      <w:r>
        <w:rPr>
          <w:rFonts w:ascii="Times New Roman;sans-serif" w:hAnsi="Times New Roman;sans-serif"/>
          <w:b w:val="false"/>
          <w:color w:val="000000"/>
          <w:sz w:val="20"/>
        </w:rPr>
        <w:t xml:space="preserve">In the event that the Pension Plan is a </w:t>
      </w:r>
      <w:r>
        <w:rPr>
          <w:rFonts w:ascii="Times New Roman;sans-serif" w:hAnsi="Times New Roman;sans-serif"/>
          <w:b/>
          <w:i/>
          <w:color w:val="000000"/>
          <w:sz w:val="20"/>
          <w:u w:val="single"/>
        </w:rPr>
        <w:t xml:space="preserve">Pension Fund </w:t>
      </w:r>
      <w:r>
        <w:rPr>
          <w:rFonts w:ascii="Times New Roman;sans-serif" w:hAnsi="Times New Roman;sans-serif"/>
          <w:b w:val="false"/>
          <w:color w:val="000000"/>
          <w:sz w:val="20"/>
        </w:rPr>
        <w:t>: The Company shall contribute an amount equal to 14.833% of the Monthly Salary as follows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(i) 6.5% of the Monthly Salary toward the premiums payable; and (ii) 8.33% of the Monthly Salary towards severance. The Employee shall contribute 6% of the Monthly Salary payment toward the premiums payable (the “</w:t>
      </w:r>
      <w:r>
        <w:rPr>
          <w:rFonts w:ascii="Times New Roman;sans-serif" w:hAnsi="Times New Roman;sans-serif"/>
          <w:b/>
          <w:color w:val="000000"/>
          <w:sz w:val="20"/>
        </w:rPr>
        <w:t>Employee’s Contribution</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20"/>
        <w:ind w:left="0" w:right="0" w:hanging="566"/>
        <w:jc w:val="left"/>
        <w:rPr/>
      </w:pPr>
      <w:r>
        <w:rPr>
          <w:rFonts w:ascii="Times New Roman;sans-serif" w:hAnsi="Times New Roman;sans-serif"/>
          <w:b w:val="false"/>
          <w:color w:val="000000"/>
          <w:sz w:val="20"/>
        </w:rPr>
        <w:t>6.3.2</w:t>
      </w:r>
      <w:r>
        <w:rPr>
          <w:color w:val="000000"/>
        </w:rPr>
        <w:t xml:space="preserve"> </w:t>
      </w:r>
      <w:r>
        <w:rPr>
          <w:rFonts w:ascii="Times New Roman;sans-serif" w:hAnsi="Times New Roman;sans-serif"/>
          <w:b w:val="false"/>
          <w:color w:val="000000"/>
          <w:sz w:val="20"/>
        </w:rPr>
        <w:t xml:space="preserve">In the event that the Pension Plan is </w:t>
      </w:r>
      <w:r>
        <w:rPr>
          <w:rFonts w:ascii="Times New Roman;sans-serif" w:hAnsi="Times New Roman;sans-serif"/>
          <w:b/>
          <w:i/>
          <w:color w:val="000000"/>
          <w:sz w:val="20"/>
          <w:u w:val="single"/>
        </w:rPr>
        <w:t>Managers’ Insurance</w:t>
      </w:r>
      <w:r>
        <w:rPr>
          <w:rFonts w:ascii="Times New Roman;sans-serif" w:hAnsi="Times New Roman;sans-serif"/>
          <w:b w:val="false"/>
          <w:color w:val="000000"/>
          <w:sz w:val="20"/>
        </w:rPr>
        <w:t>: the Company shall contribute up to 15.833% as follows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xml:space="preserve">): (i) 8.33% of the Monthly Salary towards severance; (ii) the difference between 6.5% of the Monthly Salary and the actual percentage of the Monthly Salary contributed towards Disability Insurance (as described below) shall go towards premium payable (provided that the Company’s contribution towards premium payable are not less than 5% of the </w:t>
      </w:r>
    </w:p>
    <w:p>
      <w:pPr>
        <w:pStyle w:val="TextBody"/>
        <w:bidi w:val="0"/>
        <w:spacing w:lineRule="auto" w:line="290" w:before="0" w:after="158"/>
        <w:ind w:left="0" w:right="0" w:hanging="10"/>
        <w:jc w:val="left"/>
        <w:rPr/>
      </w:pPr>
      <w:r>
        <w:rPr>
          <w:rFonts w:ascii="Times New Roman;sans-serif" w:hAnsi="Times New Roman;sans-serif"/>
          <w:b w:val="false"/>
          <w:color w:val="000000"/>
          <w:sz w:val="20"/>
        </w:rPr>
        <w:t>Monthly Salary); and (iii) “Disability Insurance” - The Company shall purchase the Employee a Disability Insurance at the cost of 2.5% of the Monthly Salary or at such rate that will entitle him to a disability pension of 75% of his Monthly Salary, whichever is lesser.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The Employee shall contribute 6% of the Monthly Salary payment toward the premiums payable in respect of Managers’ Insurance (the “</w:t>
      </w:r>
      <w:r>
        <w:rPr>
          <w:rFonts w:ascii="Times New Roman;sans-serif" w:hAnsi="Times New Roman;sans-serif"/>
          <w:b/>
          <w:color w:val="000000"/>
          <w:sz w:val="20"/>
        </w:rPr>
        <w:t>Employee’s Contribution</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155"/>
        <w:ind w:left="0" w:right="0" w:hanging="566"/>
        <w:jc w:val="left"/>
        <w:rPr/>
      </w:pPr>
      <w:r>
        <w:rPr>
          <w:rFonts w:ascii="Times New Roman;sans-serif" w:hAnsi="Times New Roman;sans-serif"/>
          <w:b w:val="false"/>
          <w:color w:val="000000"/>
          <w:sz w:val="20"/>
        </w:rPr>
        <w:t>6.3.3</w:t>
      </w:r>
      <w:r>
        <w:rPr>
          <w:color w:val="000000"/>
        </w:rPr>
        <w:t xml:space="preserve"> </w:t>
      </w:r>
      <w:r>
        <w:rPr>
          <w:rFonts w:ascii="Times New Roman;sans-serif" w:hAnsi="Times New Roman;sans-serif"/>
          <w:b w:val="false"/>
          <w:color w:val="000000"/>
          <w:sz w:val="20"/>
        </w:rPr>
        <w:t xml:space="preserve">If the Employee chose to combine Managers’ Insurance and Pension Fund, the terms, structure and percentages, as defined above, with respect to Managers’ Insurance and Pension Fund shall apply, proportionally, to the portions of the Employee’s salary which the Employee chose to insure in Managers’ Insurance and Pension Fund. </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7"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151"/>
        <w:ind w:left="0" w:right="0" w:hanging="566"/>
        <w:jc w:val="left"/>
        <w:rPr/>
      </w:pPr>
      <w:r>
        <w:rPr>
          <w:rFonts w:ascii="Times New Roman;sans-serif" w:hAnsi="Times New Roman;sans-serif"/>
          <w:b w:val="false"/>
          <w:color w:val="000000"/>
          <w:sz w:val="20"/>
        </w:rPr>
        <w:t>6.3.4</w:t>
      </w:r>
      <w:r>
        <w:rPr>
          <w:color w:val="000000"/>
        </w:rPr>
        <w:t xml:space="preserve"> </w:t>
      </w:r>
      <w:r>
        <w:rPr>
          <w:rFonts w:ascii="Times New Roman;sans-serif" w:hAnsi="Times New Roman;sans-serif"/>
          <w:b w:val="false"/>
          <w:color w:val="000000"/>
          <w:sz w:val="20"/>
        </w:rPr>
        <w:t xml:space="preserve">For clarity’s sake, the abovementioned contributions to the Employee’s Pension Plan may be changed from time to time per the applicable law. </w:t>
      </w:r>
    </w:p>
    <w:p>
      <w:pPr>
        <w:pStyle w:val="TextBody"/>
        <w:bidi w:val="0"/>
        <w:spacing w:lineRule="auto" w:line="290" w:before="0" w:after="158"/>
        <w:ind w:left="0" w:right="0" w:hanging="10"/>
        <w:jc w:val="left"/>
        <w:rPr/>
      </w:pPr>
      <w:r>
        <w:rPr>
          <w:rFonts w:ascii="Times New Roman;sans-serif" w:hAnsi="Times New Roman;sans-serif"/>
          <w:b w:val="false"/>
          <w:color w:val="000000"/>
          <w:sz w:val="20"/>
        </w:rPr>
        <w:t>6.4</w:t>
      </w:r>
      <w:r>
        <w:rPr>
          <w:color w:val="000000"/>
        </w:rPr>
        <w:t xml:space="preserve"> </w:t>
      </w:r>
      <w:r>
        <w:rPr>
          <w:rFonts w:ascii="Times New Roman;sans-serif" w:hAnsi="Times New Roman;sans-serif"/>
          <w:b w:val="false"/>
          <w:color w:val="000000"/>
          <w:sz w:val="20"/>
        </w:rPr>
        <w:t>It is agreed and warranted between the parties that the Company’s provisions to the severance component are in lieu of severance pay, in accordance with the provisions of the General Approval regarding Employers’ Payments to a Pension Fund and Insurance Fund in lieu of Severance Pay issued by virtue of Section 14 of the Severance Pay Law 5723-1963 by the Labor Minister, dated June 30, 1998 (as amended and as may be amended from time to time) (the “</w:t>
      </w:r>
      <w:r>
        <w:rPr>
          <w:rFonts w:ascii="Times New Roman;sans-serif" w:hAnsi="Times New Roman;sans-serif"/>
          <w:b/>
          <w:color w:val="000000"/>
          <w:sz w:val="20"/>
        </w:rPr>
        <w:t>General Approval</w:t>
      </w:r>
      <w:r>
        <w:rPr>
          <w:color w:val="000000"/>
        </w:rPr>
        <w:t>”</w:t>
      </w:r>
      <w:r>
        <w:rPr>
          <w:rFonts w:ascii="Times New Roman;sans-serif" w:hAnsi="Times New Roman;sans-serif"/>
          <w:b w:val="false"/>
          <w:color w:val="000000"/>
          <w:sz w:val="20"/>
        </w:rPr>
        <w:t xml:space="preserve">). By signing this agreement, the parties are acknowledging their consent to applicability of the provisions of the General Approval, a copy of which is attached hereby as </w:t>
      </w:r>
      <w:r>
        <w:rPr>
          <w:rFonts w:ascii="Times New Roman;sans-serif" w:hAnsi="Times New Roman;sans-serif"/>
          <w:b/>
          <w:color w:val="000000"/>
          <w:sz w:val="20"/>
          <w:u w:val="single"/>
        </w:rPr>
        <w:t>Exhibit C</w:t>
      </w:r>
      <w:r>
        <w:rPr>
          <w:rFonts w:ascii="Times New Roman;sans-serif" w:hAnsi="Times New Roman;sans-serif"/>
          <w:b w:val="false"/>
          <w:color w:val="000000"/>
          <w:sz w:val="20"/>
        </w:rPr>
        <w:t xml:space="preserve">, together with an English translation of the same, attached hereto as </w:t>
      </w:r>
      <w:r>
        <w:rPr>
          <w:rFonts w:ascii="Times New Roman;sans-serif" w:hAnsi="Times New Roman;sans-serif"/>
          <w:b/>
          <w:color w:val="000000"/>
          <w:sz w:val="20"/>
          <w:u w:val="single"/>
        </w:rPr>
        <w:t>Exhibit D</w:t>
      </w:r>
      <w:r>
        <w:rPr>
          <w:rFonts w:ascii="Times New Roman;sans-serif" w:hAnsi="Times New Roman;sans-serif"/>
          <w:b w:val="false"/>
          <w:color w:val="000000"/>
          <w:sz w:val="20"/>
        </w:rPr>
        <w:t xml:space="preserve">, which constitutes an integral part hereof. In so far as amendments to the General Approval shall be necessary, according and subject to any law or regulations, the provisions of the amended General Approval shall prevail and replace the General Approval attached hereto as </w:t>
      </w:r>
      <w:r>
        <w:rPr>
          <w:rFonts w:ascii="Times New Roman;sans-serif" w:hAnsi="Times New Roman;sans-serif"/>
          <w:b/>
          <w:color w:val="000000"/>
          <w:sz w:val="20"/>
          <w:u w:val="single"/>
        </w:rPr>
        <w:t>Exhibit 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u w:val="single"/>
        </w:rPr>
        <w:t>Exhibit</w:t>
      </w:r>
      <w:r>
        <w:rPr>
          <w:color w:val="000000"/>
        </w:rPr>
        <w:t xml:space="preserve"> </w:t>
      </w:r>
      <w:r>
        <w:rPr>
          <w:rFonts w:ascii="Times New Roman;sans-serif" w:hAnsi="Times New Roman;sans-serif"/>
          <w:b/>
          <w:color w:val="000000"/>
          <w:sz w:val="20"/>
          <w:u w:val="single"/>
        </w:rPr>
        <w:t>D</w:t>
      </w:r>
      <w:r>
        <w:rPr>
          <w:rFonts w:ascii="Times New Roman;sans-serif" w:hAnsi="Times New Roman;sans-serif"/>
          <w:b w:val="false"/>
          <w:color w:val="000000"/>
          <w:sz w:val="20"/>
        </w:rPr>
        <w:t xml:space="preserv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6.5</w:t>
      </w:r>
      <w:r>
        <w:rPr>
          <w:color w:val="000000"/>
        </w:rPr>
        <w:t xml:space="preserve"> </w:t>
      </w:r>
      <w:r>
        <w:rPr>
          <w:rFonts w:ascii="Times New Roman;sans-serif" w:hAnsi="Times New Roman;sans-serif"/>
          <w:b w:val="false"/>
          <w:color w:val="000000"/>
          <w:sz w:val="20"/>
        </w:rPr>
        <w:t>The Company and the Employee shall open and maintain an education fund (“Keren Hishtalmut” in Hebrew) (the “</w:t>
      </w:r>
      <w:r>
        <w:rPr>
          <w:rFonts w:ascii="Times New Roman;sans-serif" w:hAnsi="Times New Roman;sans-serif"/>
          <w:b/>
          <w:color w:val="000000"/>
          <w:sz w:val="20"/>
        </w:rPr>
        <w:t>Education Fund</w:t>
      </w:r>
      <w:r>
        <w:rPr>
          <w:color w:val="000000"/>
        </w:rPr>
        <w:t>”</w:t>
      </w:r>
      <w:r>
        <w:rPr>
          <w:rFonts w:ascii="Times New Roman;sans-serif" w:hAnsi="Times New Roman;sans-serif"/>
          <w:b w:val="false"/>
          <w:color w:val="000000"/>
          <w:sz w:val="20"/>
        </w:rPr>
        <w:t xml:space="preserve">). The Company shall contribute to the Education Fund an amount equal to seven and a half percent (7.5%) and the Employee shall contribute to such Education Fund an amount equal to two and a half percent (2.5%) of each Monthly Salary payment. Notwithstanding the above, the amounts contributed by the Company to the Education Fund will exceed the limit recognized by the Income Tax Authority from time to time. In any event, any tax liability related to the Education Fund shall be borne, exclusively, by the employee. The Employee hereby authorizes the Company to transfer to the Education Fund the amount of the employee's and the Company's contribution from each Monthly Salary payment.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6.6</w:t>
      </w:r>
      <w:r>
        <w:rPr>
          <w:color w:val="000000"/>
        </w:rPr>
        <w:t xml:space="preserve"> </w:t>
      </w:r>
      <w:r>
        <w:rPr>
          <w:rFonts w:ascii="Times New Roman;sans-serif" w:hAnsi="Times New Roman;sans-serif"/>
          <w:b w:val="false"/>
          <w:color w:val="000000"/>
          <w:sz w:val="20"/>
        </w:rPr>
        <w:t xml:space="preserve">The Employee shall be entitled to paid annual vacation days as set forth in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 xml:space="preserve">hereto. Accumulation, execution and redemption of such annual vacation days shall be made in accordance with the applicable Company’s Rules, as may be amended from time to time. </w:t>
      </w:r>
    </w:p>
    <w:p>
      <w:pPr>
        <w:pStyle w:val="TextBody"/>
        <w:bidi w:val="0"/>
        <w:spacing w:lineRule="auto" w:line="290" w:before="0" w:after="150"/>
        <w:ind w:left="0" w:right="0" w:hanging="10"/>
        <w:jc w:val="left"/>
        <w:rPr/>
      </w:pPr>
      <w:r>
        <w:rPr>
          <w:rFonts w:ascii="Times New Roman;sans-serif" w:hAnsi="Times New Roman;sans-serif"/>
          <w:b w:val="false"/>
          <w:color w:val="000000"/>
          <w:sz w:val="20"/>
        </w:rPr>
        <w:t>6.7</w:t>
      </w:r>
      <w:r>
        <w:rPr>
          <w:color w:val="000000"/>
        </w:rPr>
        <w:t xml:space="preserve"> </w:t>
      </w:r>
      <w:r>
        <w:rPr>
          <w:rFonts w:ascii="Times New Roman;sans-serif" w:hAnsi="Times New Roman;sans-serif"/>
          <w:b w:val="false"/>
          <w:color w:val="000000"/>
          <w:sz w:val="20"/>
        </w:rPr>
        <w:t xml:space="preserve">It is explicitly acknowledged and agreed that the Monthly Salary includes mandatory travel expenses in accordance with applicable law and Employee shall not be entitled to receive any additional reimbursement of travel expenses.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6.8</w:t>
      </w:r>
      <w:r>
        <w:rPr>
          <w:color w:val="000000"/>
        </w:rPr>
        <w:t xml:space="preserve"> </w:t>
      </w:r>
      <w:r>
        <w:rPr>
          <w:rFonts w:ascii="Times New Roman;sans-serif" w:hAnsi="Times New Roman;sans-serif"/>
          <w:b w:val="false"/>
          <w:color w:val="000000"/>
          <w:sz w:val="20"/>
        </w:rPr>
        <w:t xml:space="preserve">The Employee shall be entitled to sick leave and convalescence payments (known as “Dmei Havra’a”) in accordance with the applicable law, extension orders and in accordance with the applicable Company’ Rules, as may be amended from time to time.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6.9</w:t>
      </w:r>
      <w:r>
        <w:rPr>
          <w:color w:val="000000"/>
        </w:rPr>
        <w:t xml:space="preserve"> </w:t>
      </w:r>
      <w:r>
        <w:rPr>
          <w:rFonts w:ascii="Times New Roman;sans-serif" w:hAnsi="Times New Roman;sans-serif"/>
          <w:b w:val="false"/>
          <w:color w:val="000000"/>
          <w:sz w:val="20"/>
        </w:rPr>
        <w:t xml:space="preserve">The Employee shall bring to the attention of his Direct Manager any call-up order for military reserve duty immediately upon receipt of the order. </w:t>
      </w:r>
    </w:p>
    <w:p>
      <w:pPr>
        <w:pStyle w:val="TextBody"/>
        <w:bidi w:val="0"/>
        <w:spacing w:lineRule="auto" w:line="300" w:before="0" w:after="100"/>
        <w:jc w:val="left"/>
        <w:rPr/>
      </w:pPr>
      <w:r>
        <w:rPr>
          <w:color w:val="000000"/>
        </w:rPr>
        <w:t>    </w:t>
      </w: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u w:val="single"/>
        </w:rPr>
        <w:t>Bonus</w:t>
      </w:r>
      <w:r>
        <w:rPr>
          <w:color w:val="000000"/>
        </w:rPr>
        <w:t xml:space="preserve"> </w:t>
      </w:r>
    </w:p>
    <w:p>
      <w:pPr>
        <w:pStyle w:val="TextBody"/>
        <w:bidi w:val="0"/>
        <w:spacing w:lineRule="auto" w:line="290" w:before="0" w:after="114"/>
        <w:jc w:val="left"/>
        <w:rPr/>
      </w:pPr>
      <w:r>
        <w:rPr>
          <w:color w:val="000000"/>
        </w:rPr>
        <w:t>    </w:t>
      </w:r>
      <w:r>
        <w:rPr>
          <w:rFonts w:ascii="Times New Roman;sans-serif" w:hAnsi="Times New Roman;sans-serif"/>
          <w:b w:val="false"/>
          <w:color w:val="000000"/>
          <w:sz w:val="20"/>
        </w:rPr>
        <w:t>7.1</w:t>
      </w:r>
      <w:r>
        <w:rPr>
          <w:color w:val="000000"/>
        </w:rPr>
        <w:t xml:space="preserve">     </w:t>
      </w:r>
      <w:r>
        <w:rPr>
          <w:rFonts w:ascii="Times New Roman;sans-serif" w:hAnsi="Times New Roman;sans-serif"/>
          <w:b w:val="false"/>
          <w:color w:val="000000"/>
          <w:sz w:val="20"/>
        </w:rPr>
        <w:t xml:space="preserve">The Employee shall be entitled to MBO incentive payments, according to the CEO’s decision. </w:t>
      </w:r>
    </w:p>
    <w:p>
      <w:pPr>
        <w:pStyle w:val="TextBody"/>
        <w:bidi w:val="0"/>
        <w:spacing w:lineRule="auto" w:line="290" w:before="0" w:after="114"/>
        <w:jc w:val="left"/>
        <w:rPr/>
      </w:pPr>
      <w:r>
        <w:rPr>
          <w:color w:val="000000"/>
        </w:rPr>
        <w:t>    </w:t>
      </w:r>
      <w:r>
        <w:rPr>
          <w:rFonts w:ascii="Times New Roman;sans-serif" w:hAnsi="Times New Roman;sans-serif"/>
          <w:b w:val="false"/>
          <w:color w:val="000000"/>
          <w:sz w:val="20"/>
        </w:rPr>
        <w:t>7.2</w:t>
      </w:r>
      <w:r>
        <w:rPr>
          <w:color w:val="000000"/>
        </w:rPr>
        <w:t xml:space="preserve">     </w:t>
      </w:r>
      <w:r>
        <w:rPr>
          <w:rFonts w:ascii="Times New Roman;sans-serif" w:hAnsi="Times New Roman;sans-serif"/>
          <w:b w:val="false"/>
          <w:color w:val="000000"/>
          <w:sz w:val="20"/>
        </w:rPr>
        <w:t xml:space="preserve">The maximum Bonus payment per year shall be as follows: </w:t>
      </w:r>
    </w:p>
    <w:p>
      <w:pPr>
        <w:pStyle w:val="TextBody"/>
        <w:bidi w:val="0"/>
        <w:spacing w:lineRule="auto" w:line="290" w:before="0" w:after="86"/>
        <w:jc w:val="left"/>
        <w:rPr/>
      </w:pPr>
      <w:r>
        <w:rPr>
          <w:color w:val="000000"/>
        </w:rPr>
        <w:t>    </w:t>
      </w:r>
      <w:r>
        <w:rPr>
          <w:rFonts w:ascii="Times New Roman;sans-serif" w:hAnsi="Times New Roman;sans-serif"/>
          <w:b w:val="false"/>
          <w:color w:val="000000"/>
          <w:sz w:val="20"/>
        </w:rPr>
        <w:t>7.2.1</w:t>
      </w:r>
      <w:r>
        <w:rPr>
          <w:color w:val="000000"/>
        </w:rPr>
        <w:t xml:space="preserve">     </w:t>
      </w:r>
      <w:r>
        <w:rPr>
          <w:rFonts w:ascii="Times New Roman;sans-serif" w:hAnsi="Times New Roman;sans-serif"/>
          <w:b w:val="false"/>
          <w:color w:val="000000"/>
          <w:sz w:val="20"/>
        </w:rPr>
        <w:t>The maximum Annual Bonus shall be 480,000</w:t>
      </w:r>
      <w:r>
        <w:rPr>
          <w:color w:val="000000"/>
        </w:rPr>
        <w:t xml:space="preserve"> </w:t>
      </w:r>
      <w:r>
        <w:rPr>
          <w:rFonts w:ascii="Times New Roman;sans-serif" w:hAnsi="Times New Roman;sans-serif"/>
          <w:b w:val="false"/>
          <w:color w:val="000000"/>
          <w:sz w:val="20"/>
        </w:rPr>
        <w:t xml:space="preserve">NIS (gross). </w:t>
      </w:r>
    </w:p>
    <w:p>
      <w:pPr>
        <w:pStyle w:val="TextBody"/>
        <w:bidi w:val="0"/>
        <w:spacing w:lineRule="auto" w:line="290" w:before="0" w:after="114"/>
        <w:jc w:val="left"/>
        <w:rPr/>
      </w:pPr>
      <w:r>
        <w:rPr>
          <w:color w:val="000000"/>
        </w:rPr>
        <w:t>    </w:t>
      </w:r>
      <w:r>
        <w:rPr>
          <w:rFonts w:ascii="Times New Roman;sans-serif" w:hAnsi="Times New Roman;sans-serif"/>
          <w:b w:val="false"/>
          <w:color w:val="000000"/>
          <w:sz w:val="20"/>
        </w:rPr>
        <w:t>7.2.2</w:t>
      </w:r>
      <w:r>
        <w:rPr>
          <w:color w:val="000000"/>
        </w:rPr>
        <w:t xml:space="preserve">     </w:t>
      </w:r>
      <w:r>
        <w:rPr>
          <w:rFonts w:ascii="Times New Roman;sans-serif" w:hAnsi="Times New Roman;sans-serif"/>
          <w:b w:val="false"/>
          <w:color w:val="000000"/>
          <w:sz w:val="20"/>
        </w:rPr>
        <w:t>The maximum Annual Additional Stretch Bonus shall be 138,667</w:t>
      </w:r>
      <w:r>
        <w:rPr>
          <w:color w:val="000000"/>
        </w:rPr>
        <w:t xml:space="preserve"> </w:t>
      </w:r>
      <w:r>
        <w:rPr>
          <w:rFonts w:ascii="Times New Roman;sans-serif" w:hAnsi="Times New Roman;sans-serif"/>
          <w:b w:val="false"/>
          <w:color w:val="000000"/>
          <w:sz w:val="20"/>
        </w:rPr>
        <w:t xml:space="preserve">NIS (gross)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7.3</w:t>
      </w:r>
      <w:r>
        <w:rPr>
          <w:color w:val="000000"/>
        </w:rPr>
        <w:t xml:space="preserve"> </w:t>
      </w:r>
      <w:r>
        <w:rPr>
          <w:rFonts w:ascii="Times New Roman;sans-serif" w:hAnsi="Times New Roman;sans-serif"/>
          <w:b w:val="false"/>
          <w:color w:val="000000"/>
          <w:sz w:val="20"/>
        </w:rPr>
        <w:t>Employee’s entitlement to the Annual Bonus and Annual Additional Stretch Bonus shall be determined, for each calendar year, on the basis of Employee’s (and the Company’s) attainment of certain goals and objectives defined by the Company, which are set forth in the Employee’s annual Bonus Plan (the “</w:t>
      </w:r>
      <w:r>
        <w:rPr>
          <w:rFonts w:ascii="Times New Roman;sans-serif" w:hAnsi="Times New Roman;sans-serif"/>
          <w:b/>
          <w:color w:val="000000"/>
          <w:sz w:val="20"/>
        </w:rPr>
        <w:t>Qualifying Objectives</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7.4</w:t>
      </w:r>
      <w:r>
        <w:rPr>
          <w:color w:val="000000"/>
        </w:rPr>
        <w:t xml:space="preserve"> </w:t>
      </w:r>
      <w:r>
        <w:rPr>
          <w:rFonts w:ascii="Times New Roman;sans-serif" w:hAnsi="Times New Roman;sans-serif"/>
          <w:b w:val="false"/>
          <w:color w:val="000000"/>
          <w:sz w:val="20"/>
        </w:rPr>
        <w:t>The Company will pay the Employee a monthly amount of 28,000 NIS (gross) (“</w:t>
      </w:r>
      <w:r>
        <w:rPr>
          <w:rFonts w:ascii="Times New Roman;sans-serif" w:hAnsi="Times New Roman;sans-serif"/>
          <w:b/>
          <w:color w:val="000000"/>
          <w:sz w:val="20"/>
        </w:rPr>
        <w:t>Monthly Bonus Amount</w:t>
      </w:r>
      <w:r>
        <w:rPr>
          <w:color w:val="000000"/>
        </w:rPr>
        <w:t>”</w:t>
      </w:r>
      <w:r>
        <w:rPr>
          <w:rFonts w:ascii="Times New Roman;sans-serif" w:hAnsi="Times New Roman;sans-serif"/>
          <w:b w:val="false"/>
          <w:color w:val="000000"/>
          <w:sz w:val="20"/>
        </w:rPr>
        <w:t xml:space="preserve">) which is the equivalent of 70% of the pro-rated maximum Annual Bonus. </w:t>
      </w:r>
    </w:p>
    <w:p>
      <w:pPr>
        <w:pStyle w:val="TextBody"/>
        <w:bidi w:val="0"/>
        <w:spacing w:lineRule="auto" w:line="290" w:before="0" w:after="135"/>
        <w:ind w:left="0" w:right="0" w:hanging="10"/>
        <w:jc w:val="left"/>
        <w:rPr/>
      </w:pPr>
      <w:r>
        <w:rPr>
          <w:rFonts w:ascii="Times New Roman;sans-serif" w:hAnsi="Times New Roman;sans-serif"/>
          <w:b w:val="false"/>
          <w:color w:val="000000"/>
          <w:sz w:val="20"/>
        </w:rPr>
        <w:t>7.5</w:t>
      </w:r>
      <w:r>
        <w:rPr>
          <w:color w:val="000000"/>
        </w:rPr>
        <w:t xml:space="preserve"> </w:t>
      </w:r>
      <w:r>
        <w:rPr>
          <w:rFonts w:ascii="Times New Roman;sans-serif" w:hAnsi="Times New Roman;sans-serif"/>
          <w:b w:val="false"/>
          <w:color w:val="000000"/>
          <w:sz w:val="20"/>
        </w:rPr>
        <w:t xml:space="preserve">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part of the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If the applicable Annual Bonus and Annual Additional Stretch Bonus attainment amounts are lower than the aggregate Bonus amounts paid during the applicable calendar year, then such shortfall amount will be taken into account and deducted from Employee’s future Bonus payments. </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8"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7.6</w:t>
      </w:r>
      <w:r>
        <w:rPr>
          <w:color w:val="000000"/>
        </w:rPr>
        <w:t xml:space="preserve"> </w:t>
      </w:r>
      <w:r>
        <w:rPr>
          <w:rFonts w:ascii="Times New Roman;sans-serif" w:hAnsi="Times New Roman;sans-serif"/>
          <w:b w:val="false"/>
          <w:color w:val="000000"/>
          <w:sz w:val="20"/>
        </w:rPr>
        <w:t xml:space="preserve">If Employee’s employment is terminated prior to the end of a semi-annual term as set above, or if Employee was on notice period during the relevant semi-annual term and was not actively and fully performing all of his duties through the relevant semi-annual term, then the Bonus will be calculated on a pro rata basis for such period. </w:t>
      </w:r>
    </w:p>
    <w:p>
      <w:pPr>
        <w:pStyle w:val="TextBody"/>
        <w:bidi w:val="0"/>
        <w:spacing w:lineRule="auto" w:line="290" w:before="0" w:after="148"/>
        <w:ind w:left="0" w:right="0" w:hanging="10"/>
        <w:jc w:val="left"/>
        <w:rPr/>
      </w:pPr>
      <w:r>
        <w:rPr>
          <w:rFonts w:ascii="Times New Roman;sans-serif" w:hAnsi="Times New Roman;sans-serif"/>
          <w:b w:val="false"/>
          <w:color w:val="000000"/>
          <w:sz w:val="20"/>
        </w:rPr>
        <w:t>7.7</w:t>
      </w:r>
      <w:r>
        <w:rPr>
          <w:color w:val="000000"/>
        </w:rPr>
        <w:t xml:space="preserve"> </w:t>
      </w:r>
      <w:r>
        <w:rPr>
          <w:rFonts w:ascii="Times New Roman;sans-serif" w:hAnsi="Times New Roman;sans-serif"/>
          <w:b w:val="false"/>
          <w:color w:val="000000"/>
          <w:sz w:val="20"/>
        </w:rPr>
        <w:t xml:space="preserve">Since Bonus payments, if paid, are conditional and discretionary payments, Bonus payments shall not be deemed to be part of the Employee’s salary and shall not be taken into account in the calculation of the Employee’s allocations to pension plan, education fund, severance pay, redemption of vacation, or any other employment related payment or benefit.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7.8</w:t>
      </w:r>
      <w:r>
        <w:rPr>
          <w:color w:val="000000"/>
        </w:rPr>
        <w:t xml:space="preserve"> </w:t>
      </w:r>
      <w:r>
        <w:rPr>
          <w:rFonts w:ascii="Times New Roman;sans-serif" w:hAnsi="Times New Roman;sans-serif"/>
          <w:b w:val="false"/>
          <w:color w:val="000000"/>
          <w:sz w:val="20"/>
        </w:rPr>
        <w:t xml:space="preserve">All Bonus payments shall be subject to all mandatory deductions and shall be deemed to be quoted in gross figures. </w:t>
      </w:r>
    </w:p>
    <w:p>
      <w:pPr>
        <w:pStyle w:val="TextBody"/>
        <w:bidi w:val="0"/>
        <w:spacing w:lineRule="auto" w:line="300" w:before="0" w:after="100"/>
        <w:jc w:val="left"/>
        <w:rPr/>
      </w:pPr>
      <w:r>
        <w:rPr>
          <w:color w:val="000000"/>
        </w:rPr>
        <w:t>    </w:t>
      </w: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u w:val="single"/>
        </w:rPr>
        <w:t>Additional Benefits</w:t>
      </w:r>
      <w:r>
        <w:rPr>
          <w:color w:val="000000"/>
        </w:rPr>
        <w:t xml:space="preserve"> </w:t>
      </w:r>
    </w:p>
    <w:p>
      <w:pPr>
        <w:pStyle w:val="TextBody"/>
        <w:bidi w:val="0"/>
        <w:spacing w:lineRule="auto" w:line="300" w:before="0" w:after="97"/>
        <w:ind w:left="0" w:right="0" w:hanging="10"/>
        <w:jc w:val="left"/>
        <w:rPr/>
      </w:pPr>
      <w:r>
        <w:rPr>
          <w:rFonts w:ascii="Times New Roman;sans-serif" w:hAnsi="Times New Roman;sans-serif"/>
          <w:b w:val="false"/>
          <w:color w:val="000000"/>
          <w:sz w:val="20"/>
        </w:rPr>
        <w:t>8.1</w:t>
      </w:r>
      <w:r>
        <w:rPr>
          <w:color w:val="000000"/>
        </w:rPr>
        <w:t xml:space="preserve"> </w:t>
      </w:r>
      <w:r>
        <w:rPr>
          <w:rFonts w:ascii="Times New Roman;sans-serif" w:hAnsi="Times New Roman;sans-serif"/>
          <w:b/>
          <w:color w:val="000000"/>
          <w:sz w:val="20"/>
        </w:rPr>
        <w:t xml:space="preserve">Stock Options. </w:t>
      </w:r>
    </w:p>
    <w:p>
      <w:pPr>
        <w:pStyle w:val="TextBody"/>
        <w:bidi w:val="0"/>
        <w:spacing w:lineRule="auto" w:line="290" w:before="0" w:after="114"/>
        <w:ind w:left="0" w:right="0" w:firstLine="540"/>
        <w:jc w:val="left"/>
        <w:rPr/>
      </w:pPr>
      <w:r>
        <w:rPr>
          <w:rFonts w:ascii="Times New Roman;sans-serif" w:hAnsi="Times New Roman;sans-serif"/>
          <w:b w:val="false"/>
          <w:color w:val="000000"/>
          <w:sz w:val="20"/>
        </w:rPr>
        <w:t>8.1.1</w:t>
      </w:r>
      <w:r>
        <w:rPr>
          <w:color w:val="000000"/>
        </w:rPr>
        <w:t xml:space="preserve"> </w:t>
      </w:r>
      <w:r>
        <w:rPr>
          <w:rFonts w:ascii="Times New Roman;sans-serif" w:hAnsi="Times New Roman;sans-serif"/>
          <w:b w:val="false"/>
          <w:color w:val="000000"/>
          <w:sz w:val="20"/>
        </w:rPr>
        <w:t>Following the date hereof, the management of the Company shall recommend to the Board of Directors of Kaltura, Inc., the Company’s parent company (“</w:t>
      </w:r>
      <w:r>
        <w:rPr>
          <w:rFonts w:ascii="Times New Roman;sans-serif" w:hAnsi="Times New Roman;sans-serif"/>
          <w:b/>
          <w:color w:val="000000"/>
          <w:sz w:val="20"/>
        </w:rPr>
        <w:t>Kaltura</w:t>
      </w:r>
      <w:r>
        <w:rPr>
          <w:color w:val="000000"/>
        </w:rPr>
        <w:t>”</w:t>
      </w:r>
      <w:r>
        <w:rPr>
          <w:rFonts w:ascii="Times New Roman;sans-serif" w:hAnsi="Times New Roman;sans-serif"/>
          <w:b w:val="false"/>
          <w:color w:val="000000"/>
          <w:sz w:val="20"/>
        </w:rPr>
        <w:t>), to consider that Employee will participate in Kaltura’s 2017 Equity Incentive Plan and any applicable sub-plan (together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xml:space="preserve">), subject to its terms and conditions and such additional terms and conditions of an equity award agreement to be entered into between Employee and Kaltura, all as will be determined by the Board of Directors of Kaltura. Accordingly, subject to the approval of the Board of Directors of Kaltura, Employee will be granted the option to purchase up to </w:t>
      </w:r>
      <w:r>
        <w:rPr>
          <w:rFonts w:ascii="Times New Roman;sans-serif" w:hAnsi="Times New Roman;sans-serif"/>
          <w:b/>
          <w:color w:val="000000"/>
          <w:sz w:val="20"/>
        </w:rPr>
        <w:t>120,000</w:t>
      </w:r>
      <w:r>
        <w:rPr>
          <w:color w:val="000000"/>
        </w:rPr>
        <w:t xml:space="preserve"> </w:t>
      </w:r>
      <w:r>
        <w:rPr>
          <w:rFonts w:ascii="Times New Roman;sans-serif" w:hAnsi="Times New Roman;sans-serif"/>
          <w:b w:val="false"/>
          <w:color w:val="000000"/>
          <w:sz w:val="20"/>
        </w:rPr>
        <w:t>shares of common stock of Kaltura (the “</w:t>
      </w:r>
      <w:r>
        <w:rPr>
          <w:rFonts w:ascii="Times New Roman;sans-serif" w:hAnsi="Times New Roman;sans-serif"/>
          <w:b/>
          <w:color w:val="000000"/>
          <w:sz w:val="20"/>
        </w:rPr>
        <w:t>Options</w:t>
      </w:r>
      <w:r>
        <w:rPr>
          <w:color w:val="000000"/>
        </w:rPr>
        <w:t>”</w:t>
      </w:r>
      <w:r>
        <w:rPr>
          <w:rFonts w:ascii="Times New Roman;sans-serif" w:hAnsi="Times New Roman;sans-serif"/>
          <w:b w:val="false"/>
          <w:color w:val="000000"/>
          <w:sz w:val="20"/>
        </w:rPr>
        <w:t xml:space="preserve">), at a price per share to be determined by the Board of Directors of Kaltura as the fair market value of such shares as of the applicable grant date. </w:t>
      </w:r>
    </w:p>
    <w:p>
      <w:pPr>
        <w:pStyle w:val="TextBody"/>
        <w:bidi w:val="0"/>
        <w:spacing w:lineRule="auto" w:line="290" w:before="0" w:after="14"/>
        <w:ind w:left="0" w:right="0" w:firstLine="540"/>
        <w:jc w:val="left"/>
        <w:rPr/>
      </w:pPr>
      <w:r>
        <w:rPr>
          <w:rFonts w:ascii="Times New Roman;sans-serif" w:hAnsi="Times New Roman;sans-serif"/>
          <w:b w:val="false"/>
          <w:color w:val="000000"/>
          <w:sz w:val="20"/>
        </w:rPr>
        <w:t>8.1.2</w:t>
      </w:r>
      <w:r>
        <w:rPr>
          <w:color w:val="000000"/>
        </w:rPr>
        <w:t xml:space="preserve"> </w:t>
      </w:r>
      <w:r>
        <w:rPr>
          <w:rFonts w:ascii="Times New Roman;sans-serif" w:hAnsi="Times New Roman;sans-serif"/>
          <w:b w:val="false"/>
          <w:color w:val="000000"/>
          <w:sz w:val="20"/>
        </w:rPr>
        <w:t>The commencement date of the vesting schedule of the Options shall be the Effective Date (the “</w:t>
      </w:r>
      <w:r>
        <w:rPr>
          <w:rFonts w:ascii="Times New Roman;sans-serif" w:hAnsi="Times New Roman;sans-serif"/>
          <w:b/>
          <w:color w:val="000000"/>
          <w:sz w:val="20"/>
        </w:rPr>
        <w:t>Vesting</w:t>
      </w:r>
      <w:r>
        <w:rPr>
          <w:color w:val="000000"/>
        </w:rPr>
        <w:t xml:space="preserve"> </w:t>
      </w:r>
      <w:r>
        <w:rPr>
          <w:rFonts w:ascii="Times New Roman;sans-serif" w:hAnsi="Times New Roman;sans-serif"/>
          <w:b/>
          <w:color w:val="000000"/>
          <w:sz w:val="20"/>
        </w:rPr>
        <w:t>Commencement Date</w:t>
      </w:r>
      <w:r>
        <w:rPr>
          <w:color w:val="000000"/>
        </w:rPr>
        <w:t>”</w:t>
      </w:r>
      <w:r>
        <w:rPr>
          <w:rFonts w:ascii="Times New Roman;sans-serif" w:hAnsi="Times New Roman;sans-serif"/>
          <w:b w:val="false"/>
          <w:color w:val="000000"/>
          <w:sz w:val="20"/>
        </w:rPr>
        <w:t>). The Options shall vest and be exercisable over a four (4) year-period (“</w:t>
      </w:r>
      <w:r>
        <w:rPr>
          <w:rFonts w:ascii="Times New Roman;sans-serif" w:hAnsi="Times New Roman;sans-serif"/>
          <w:b/>
          <w:color w:val="000000"/>
          <w:sz w:val="20"/>
        </w:rPr>
        <w:t xml:space="preserve">Vesting </w:t>
      </w:r>
    </w:p>
    <w:p>
      <w:pPr>
        <w:pStyle w:val="TextBody"/>
        <w:bidi w:val="0"/>
        <w:spacing w:lineRule="auto" w:line="290" w:before="0" w:after="114"/>
        <w:ind w:left="0" w:right="0" w:hanging="10"/>
        <w:jc w:val="left"/>
        <w:rPr/>
      </w:pPr>
      <w:r>
        <w:rPr>
          <w:rFonts w:ascii="Times New Roman;sans-serif" w:hAnsi="Times New Roman;sans-serif"/>
          <w:b/>
          <w:color w:val="000000"/>
          <w:sz w:val="20"/>
        </w:rPr>
        <w:t>Period</w:t>
      </w:r>
      <w:r>
        <w:rPr>
          <w:color w:val="000000"/>
        </w:rPr>
        <w:t>”</w:t>
      </w:r>
      <w:r>
        <w:rPr>
          <w:rFonts w:ascii="Times New Roman;sans-serif" w:hAnsi="Times New Roman;sans-serif"/>
          <w:b w:val="false"/>
          <w:color w:val="000000"/>
          <w:sz w:val="20"/>
        </w:rPr>
        <w:t>) as follows: (i) 1/4 of the Options shall vest on the first anniversary of the Vesting Commencement Date (the “</w:t>
      </w:r>
      <w:r>
        <w:rPr>
          <w:rFonts w:ascii="Times New Roman;sans-serif" w:hAnsi="Times New Roman;sans-serif"/>
          <w:b/>
          <w:color w:val="000000"/>
          <w:sz w:val="20"/>
        </w:rPr>
        <w:t>First Anniversary</w:t>
      </w:r>
      <w:r>
        <w:rPr>
          <w:color w:val="000000"/>
        </w:rPr>
        <w:t>”</w:t>
      </w:r>
      <w:r>
        <w:rPr>
          <w:rFonts w:ascii="Times New Roman;sans-serif" w:hAnsi="Times New Roman;sans-serif"/>
          <w:b w:val="false"/>
          <w:color w:val="000000"/>
          <w:sz w:val="20"/>
        </w:rPr>
        <w:t xml:space="preserve">); (ii) thereafter, additional 1/48 of the Options shall vest at the end of each subsequent month following the First Anniversary over a three (3) year-period; (iii) in accordance with the above and provided that Employee has been continuously engaged with the Company throughout the Vesting Period, all Options shall become fully vested by the fourth (4th) anniversary of the Vesting Commencement Date. Notwithstanding the foregoing, all unvested portions of the Options shall become fully vested and exercisable subject to the occurrence of the following “double trigger” conditions: (i) during Employee’s employment with the Company (or its subsidiary, parent, or another subsidiary of Kaltura), Kaltura consummates a Merger Transaction (as such term is defined in the Plan), and (ii) within 12 months following the closing of such Merger Transaction, Employee’s employment with the Company (or the entity that employs Employee after the consummation of the Merger Transaction) is terminated (a) by the Company (or by such entity that employs Employee) for any reason other than for Cause (as such term is defined in the Plan); or (b) by Employee for Good Reason. “Good Reason” means any of the following: (i) unless agreed to otherwise by Employee, the failure by the Company (or by such entity that employs Employee) to provide Employee with all or part of his agreed upon salary and/or any other benefits required under law and/or any other material breach by the Company (or by such entity that employs Employee) of any provision of the applicable employment agreement which breach, in each case, is not cured within five (5) days after the receipt of written notice by the Company (or by such entity that employs Employee) of a description of such breach, if the breach is curable; (ii) a reduction resulting in the value of Employee’s salary and/or the monetary value of Employee’s benefits, of more than 12.5%, unless such reductions are made in the same proportion as part of across-the-board </w:t>
      </w:r>
    </w:p>
    <w:p>
      <w:pPr>
        <w:pStyle w:val="TextBody"/>
        <w:bidi w:val="0"/>
        <w:spacing w:lineRule="auto" w:line="290" w:before="0" w:after="1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salary reductions for substantially all other employees with a similar level; (iii) a substantial diminution in the nature or status of Employee’s responsibilities, duties, titles or reporting level (unless otherwise agreed to by Employee), provided, however, that notwithstanding the foregoing, for purposes of this subsection (iii), a substantial diminution in such nature or status shall not exist in the event that due to a Merger Transaction the Employee has authority and responsibility over a division, subsidiary or entity that is substantially similar in size to the division, subsidiary or entity over which Employee had authority and responsibility immediately prior to such Merger Transaction. </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69"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114"/>
        <w:ind w:left="0" w:right="0" w:firstLine="540"/>
        <w:jc w:val="left"/>
        <w:rPr/>
      </w:pPr>
      <w:r>
        <w:rPr>
          <w:rFonts w:ascii="Times New Roman;sans-serif" w:hAnsi="Times New Roman;sans-serif"/>
          <w:b w:val="false"/>
          <w:color w:val="000000"/>
          <w:sz w:val="20"/>
        </w:rPr>
        <w:t>8.1.3</w:t>
      </w:r>
      <w:r>
        <w:rPr>
          <w:color w:val="000000"/>
        </w:rPr>
        <w:t xml:space="preserve"> </w:t>
      </w:r>
      <w:r>
        <w:rPr>
          <w:rFonts w:ascii="Times New Roman;sans-serif" w:hAnsi="Times New Roman;sans-serif"/>
          <w:b w:val="false"/>
          <w:color w:val="000000"/>
          <w:sz w:val="20"/>
        </w:rPr>
        <w:t xml:space="preserve">Employee acknowledges and agrees that Employee will be required to execute additional documents in compliance with any applicable law and the Plan, including, without limitation, an irrevocable proxy empowering a person designated by the Board of Directors of Kaltura to vote any and all shares underlying the Options, in its exclusive discretion. Any and all tax consequences arising from the grant and/or exercise of the Options to the Employee, from the payment for, or the subsequent disposition of, shares covered thereby or from any other event or act of the Company, Kaltura or of the Employee hereunder, shall be borne solely by the Employee, and the Employee will indemnify the Company and Kaltura and hold them harmless against and from any and all liability for any such tax or interest or penalty thereon, including, without limitation, liabilities relating to the necessity to withhold, or to have withheld, any such tax. The Employee hereby irrevocably authorizes the Company to deduct from any payment, which may be due to the Employee from the Company, any amount which the Employee may owe to the Company hereunder. </w:t>
      </w:r>
    </w:p>
    <w:p>
      <w:pPr>
        <w:pStyle w:val="TextBody"/>
        <w:bidi w:val="0"/>
        <w:spacing w:lineRule="auto" w:line="290" w:before="0" w:after="114"/>
        <w:ind w:left="0" w:right="0" w:firstLine="540"/>
        <w:jc w:val="left"/>
        <w:rPr/>
      </w:pPr>
      <w:r>
        <w:rPr>
          <w:rFonts w:ascii="Times New Roman;sans-serif" w:hAnsi="Times New Roman;sans-serif"/>
          <w:b w:val="false"/>
          <w:color w:val="000000"/>
          <w:sz w:val="20"/>
        </w:rPr>
        <w:t>8.1.4</w:t>
      </w:r>
      <w:r>
        <w:rPr>
          <w:color w:val="000000"/>
        </w:rPr>
        <w:t xml:space="preserve"> </w:t>
      </w:r>
      <w:r>
        <w:rPr>
          <w:rFonts w:ascii="Times New Roman;sans-serif" w:hAnsi="Times New Roman;sans-serif"/>
          <w:b w:val="false"/>
          <w:color w:val="000000"/>
          <w:sz w:val="20"/>
        </w:rPr>
        <w:t xml:space="preserve">The Employee acknowledges and confirms that as of the Effective Date, the above provisions constitute the sole promise made by the Company with respect to the grant of options and any other equity securities of Kaltura to the Employee, in his capacity as an Employee and in any other capacity; provided that notwithstanding the foregoing, Employee acknowledges and agrees that Employee has no right to receive any such stock or options to acquire stock unless the grant is approved by the Board of Directors of Kaltura.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9</w:t>
      </w:r>
      <w:r>
        <w:rPr>
          <w:color w:val="000000"/>
        </w:rPr>
        <w:t xml:space="preserve">     </w:t>
      </w:r>
      <w:r>
        <w:rPr>
          <w:rFonts w:ascii="Times New Roman;sans-serif" w:hAnsi="Times New Roman;sans-serif"/>
          <w:b/>
          <w:color w:val="000000"/>
          <w:sz w:val="20"/>
          <w:u w:val="single"/>
        </w:rPr>
        <w:t>Confidentiality, Non-Compete and Proprietary Rights</w:t>
      </w:r>
      <w:r>
        <w:rPr>
          <w:color w:val="000000"/>
        </w:rPr>
        <w:t xml:space="preserv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9.1</w:t>
      </w:r>
      <w:r>
        <w:rPr>
          <w:color w:val="000000"/>
        </w:rPr>
        <w:t xml:space="preserve"> </w:t>
      </w:r>
      <w:r>
        <w:rPr>
          <w:rFonts w:ascii="Times New Roman;sans-serif" w:hAnsi="Times New Roman;sans-serif"/>
          <w:b w:val="false"/>
          <w:color w:val="000000"/>
          <w:sz w:val="20"/>
        </w:rPr>
        <w:t xml:space="preserve">The Employee shall be required, as a condition to Employee's employment with the Company, to sign the NonCompetition, Proprietary Information and Inventions Agreement in the form attached hereto as </w:t>
      </w:r>
      <w:r>
        <w:rPr>
          <w:rFonts w:ascii="Times New Roman;sans-serif" w:hAnsi="Times New Roman;sans-serif"/>
          <w:b/>
          <w:color w:val="000000"/>
          <w:sz w:val="20"/>
          <w:u w:val="single"/>
        </w:rPr>
        <w:t>Exhibit B</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color w:val="000000"/>
          <w:sz w:val="20"/>
        </w:rPr>
        <w:t>IP Agreement</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147"/>
        <w:ind w:left="0" w:right="0" w:hanging="10"/>
        <w:jc w:val="left"/>
        <w:rPr/>
      </w:pPr>
      <w:r>
        <w:rPr>
          <w:rFonts w:ascii="Times New Roman;sans-serif" w:hAnsi="Times New Roman;sans-serif"/>
          <w:b w:val="false"/>
          <w:color w:val="000000"/>
          <w:sz w:val="20"/>
        </w:rPr>
        <w:t>9.2</w:t>
      </w:r>
      <w:r>
        <w:rPr>
          <w:color w:val="000000"/>
        </w:rPr>
        <w:t xml:space="preserve"> </w:t>
      </w:r>
      <w:r>
        <w:rPr>
          <w:rFonts w:ascii="Times New Roman;sans-serif" w:hAnsi="Times New Roman;sans-serif"/>
          <w:b w:val="false"/>
          <w:color w:val="000000"/>
          <w:sz w:val="20"/>
        </w:rPr>
        <w:t xml:space="preserve">Employee represents and warrants to the Company that he is aware that any breach of, or failure to comply with, the terms and conditions set forth in the IP Agreement, or part of them, will cause the Company or the Company’s affiliates serious and irreparable damage, and that no financial compensation can be an appropriate remedy to such damage. Therefore, Employee agrees, that if such a breach occurs, the Company, any of the Company’s affiliates or any of their designee(s) shall be entitled, without prejudice, to take all legal means necessary, and all and any injunctive relief as is necessary to restrain any continuing or further breach of this Agreement and the IP Agreement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9.3</w:t>
      </w:r>
      <w:r>
        <w:rPr>
          <w:color w:val="000000"/>
        </w:rPr>
        <w:t xml:space="preserve"> </w:t>
      </w:r>
      <w:r>
        <w:rPr>
          <w:rFonts w:ascii="Times New Roman;sans-serif" w:hAnsi="Times New Roman;sans-serif"/>
          <w:b w:val="false"/>
          <w:color w:val="000000"/>
          <w:sz w:val="20"/>
        </w:rPr>
        <w:t xml:space="preserve">For the removal of doubt, it is hereby clarified that the Employee‘s compensation under this Employment Agreement has been calculated to include special consideration for the commitments under </w:t>
      </w:r>
      <w:r>
        <w:rPr>
          <w:rFonts w:ascii="Times New Roman;sans-serif" w:hAnsi="Times New Roman;sans-serif"/>
          <w:b/>
          <w:color w:val="000000"/>
          <w:sz w:val="20"/>
          <w:u w:val="single"/>
        </w:rPr>
        <w:t>Exhibit B</w:t>
      </w:r>
      <w:r>
        <w:rPr>
          <w:color w:val="000000"/>
        </w:rPr>
        <w:t xml:space="preserve"> </w:t>
      </w:r>
      <w:r>
        <w:rPr>
          <w:rFonts w:ascii="Times New Roman;sans-serif" w:hAnsi="Times New Roman;sans-serif"/>
          <w:b w:val="false"/>
          <w:color w:val="000000"/>
          <w:sz w:val="20"/>
        </w:rPr>
        <w:t>and the Employee will not be entitled to any further consideration for such commitments, expressly including no entitlement to royalties for any Service Inventions as defined in Section 132 of the Patent Law, 1967 (the “</w:t>
      </w:r>
      <w:r>
        <w:rPr>
          <w:rFonts w:ascii="Times New Roman;sans-serif" w:hAnsi="Times New Roman;sans-serif"/>
          <w:b/>
          <w:color w:val="000000"/>
          <w:sz w:val="20"/>
        </w:rPr>
        <w:t>Patent Law</w:t>
      </w:r>
      <w:r>
        <w:rPr>
          <w:color w:val="000000"/>
        </w:rPr>
        <w:t>”</w:t>
      </w:r>
      <w:r>
        <w:rPr>
          <w:rFonts w:ascii="Times New Roman;sans-serif" w:hAnsi="Times New Roman;sans-serif"/>
          <w:b w:val="false"/>
          <w:color w:val="000000"/>
          <w:sz w:val="20"/>
        </w:rPr>
        <w:t xml:space="preserve">). This clause constitutes an express waiver of my rights under Section 134 of the Patent Law.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9.4</w:t>
      </w:r>
      <w:r>
        <w:rPr>
          <w:color w:val="000000"/>
        </w:rPr>
        <w:t xml:space="preserve"> </w:t>
      </w:r>
      <w:r>
        <w:rPr>
          <w:rFonts w:ascii="Times New Roman;sans-serif" w:hAnsi="Times New Roman;sans-serif"/>
          <w:b w:val="false"/>
          <w:color w:val="000000"/>
          <w:sz w:val="20"/>
        </w:rPr>
        <w:t>To the extent the services, deliverables, Inventions (as defined in the IP Agreement) or any other work product provided by Employee include any software, computer code and/or firmware, any such services, deliverables, Inventions or work product shall not incorporate or include any Open Source (as defined below), unless explicitly approved in writing by Company in each instance. In addition, all services, deliverables, Inventions and any other work product provided by Employee shall on delivery be free of viruses, malicious code, time bombs, Trojan horses, back doors, drop dead devices, worms, or other code of any kind that may disable, erase, display any unauthorized message, permit unauthorized access, automatically or remotely stop software, code and/or firmware from operating, or otherwise impair the services, deliverables, Inventions or work product or the Company network or any part thereof. “</w:t>
      </w:r>
      <w:r>
        <w:rPr>
          <w:rFonts w:ascii="Times New Roman;sans-serif" w:hAnsi="Times New Roman;sans-serif"/>
          <w:b/>
          <w:color w:val="000000"/>
          <w:sz w:val="20"/>
        </w:rPr>
        <w:t>Open Source</w:t>
      </w:r>
      <w:r>
        <w:rPr>
          <w:color w:val="000000"/>
        </w:rPr>
        <w:t xml:space="preserve">” </w:t>
      </w:r>
      <w:r>
        <w:rPr>
          <w:rFonts w:ascii="Times New Roman;sans-serif" w:hAnsi="Times New Roman;sans-serif"/>
          <w:b w:val="false"/>
          <w:color w:val="000000"/>
          <w:sz w:val="20"/>
        </w:rPr>
        <w:t xml:space="preserve">means any software that requires as a condition of its use, the modification and/or distribution of such software or other software incorporated into, derived from or distributed with such software be: (i) disclosed or distributed in source code form; (ii) licensed for the purpose of making derivative works; or (ii) redistributable at no charge. </w:t>
      </w:r>
    </w:p>
    <w:p>
      <w:pPr>
        <w:pStyle w:val="TextBody"/>
        <w:bidi w:val="0"/>
        <w:spacing w:lineRule="auto" w:line="300" w:before="0" w:after="100"/>
        <w:ind w:left="0" w:right="0" w:hanging="10"/>
        <w:jc w:val="left"/>
        <w:rPr/>
      </w:pPr>
      <w:r>
        <w:rPr>
          <w:rFonts w:ascii="Times New Roman;sans-serif" w:hAnsi="Times New Roman;sans-serif"/>
          <w:b w:val="false"/>
          <w:color w:val="000000"/>
          <w:sz w:val="20"/>
        </w:rPr>
        <w:t>10</w:t>
      </w:r>
      <w:r>
        <w:rPr>
          <w:color w:val="000000"/>
        </w:rPr>
        <w:t xml:space="preserve"> </w:t>
      </w:r>
      <w:r>
        <w:rPr>
          <w:rFonts w:ascii="Times New Roman;sans-serif" w:hAnsi="Times New Roman;sans-serif"/>
          <w:b/>
          <w:color w:val="000000"/>
          <w:sz w:val="20"/>
          <w:u w:val="single"/>
        </w:rPr>
        <w:t>Employee Representations and Warranties</w:t>
      </w:r>
      <w:r>
        <w:rPr>
          <w:color w:val="000000"/>
        </w:rPr>
        <w:t xml:space="preserve">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0"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114"/>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 The Employee represents and warrants to the Company that the execution and delivery of this Employment Agreement and the fulfillment of the terms hereof: (i) will not constitute a default under or breach of any agreement or other instrument to which he/she is a party or by which he is bound, including without limitation, any confidentiality, invention assignment or non-competition agreement; (ii) that no provision of any law, regulation, agreement or other document prohibits him/her from entering into this Employment Agreement; (iii) do not require the consent of any person or entity; and (iv) shall not utilize during the term of his employment any proprietary information of any third party, including prior employers of the Employee (other than any affiliate of the Company).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10.1</w:t>
      </w:r>
      <w:r>
        <w:rPr>
          <w:color w:val="000000"/>
        </w:rPr>
        <w:t xml:space="preserve"> </w:t>
      </w:r>
      <w:r>
        <w:rPr>
          <w:rFonts w:ascii="Times New Roman;sans-serif" w:hAnsi="Times New Roman;sans-serif"/>
          <w:b w:val="false"/>
          <w:color w:val="000000"/>
          <w:sz w:val="20"/>
        </w:rPr>
        <w:t xml:space="preserve">The Employee acknowledges that the Company is relying on the Employee's representations under this Section 8 upon entering into this Employment Agreement and any misrepresentation under this section by the Employee shall constitute a material breach of this Employment Agreement.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10.2</w:t>
      </w:r>
      <w:r>
        <w:rPr>
          <w:color w:val="000000"/>
        </w:rPr>
        <w:t xml:space="preserve"> </w:t>
      </w:r>
      <w:r>
        <w:rPr>
          <w:rFonts w:ascii="Times New Roman;sans-serif" w:hAnsi="Times New Roman;sans-serif"/>
          <w:b w:val="false"/>
          <w:color w:val="000000"/>
          <w:sz w:val="20"/>
        </w:rPr>
        <w:t xml:space="preserve">The Employee hereby agrees and acknowledges that he has read, understands and consents to the Company Computer Policy attached hereto as </w:t>
      </w:r>
      <w:r>
        <w:rPr>
          <w:rFonts w:ascii="Times New Roman;sans-serif" w:hAnsi="Times New Roman;sans-serif"/>
          <w:b/>
          <w:color w:val="000000"/>
          <w:sz w:val="20"/>
          <w:u w:val="single"/>
        </w:rPr>
        <w:t>Exhibit E</w:t>
      </w:r>
      <w:r>
        <w:rPr>
          <w:color w:val="000000"/>
        </w:rPr>
        <w:t xml:space="preserve"> </w:t>
      </w:r>
      <w:r>
        <w:rPr>
          <w:rFonts w:ascii="Times New Roman;sans-serif" w:hAnsi="Times New Roman;sans-serif"/>
          <w:b w:val="false"/>
          <w:color w:val="000000"/>
          <w:sz w:val="20"/>
        </w:rPr>
        <w:t xml:space="preserve">and incorporated herein by reference, and agrees to, concurrently with the execution of this Employment Agreement, to execute such form.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10.3</w:t>
      </w:r>
      <w:r>
        <w:rPr>
          <w:color w:val="000000"/>
        </w:rPr>
        <w:t xml:space="preserve"> </w:t>
      </w:r>
      <w:r>
        <w:rPr>
          <w:rFonts w:ascii="Times New Roman;sans-serif" w:hAnsi="Times New Roman;sans-serif"/>
          <w:b w:val="false"/>
          <w:color w:val="000000"/>
          <w:sz w:val="20"/>
        </w:rPr>
        <w:t xml:space="preserve">The Employee shall immediately and without delay inform the Company of any affairs and/or matters that might constitute a conflict of interest with the Employee’s Position and/or employment with Company and/or the interests of the Company. </w:t>
      </w:r>
    </w:p>
    <w:p>
      <w:pPr>
        <w:pStyle w:val="TextBody"/>
        <w:bidi w:val="0"/>
        <w:spacing w:lineRule="auto" w:line="300" w:before="0" w:after="100"/>
        <w:ind w:left="0" w:right="0" w:hanging="10"/>
        <w:jc w:val="left"/>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color w:val="000000"/>
          <w:sz w:val="20"/>
          <w:u w:val="single"/>
        </w:rPr>
        <w:t>General</w:t>
      </w:r>
      <w:r>
        <w:rPr>
          <w:color w:val="000000"/>
        </w:rPr>
        <w:t xml:space="preserv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11.1</w:t>
      </w:r>
      <w:r>
        <w:rPr>
          <w:color w:val="000000"/>
        </w:rPr>
        <w:t xml:space="preserve"> </w:t>
      </w:r>
      <w:r>
        <w:rPr>
          <w:rFonts w:ascii="Times New Roman;sans-serif" w:hAnsi="Times New Roman;sans-serif"/>
          <w:b w:val="false"/>
          <w:color w:val="000000"/>
          <w:sz w:val="20"/>
        </w:rPr>
        <w:t xml:space="preserve">This Employment Agreement, together with its Exhibit and Schedules, constitute the entire understanding and agreement between the parties hereto, supersedes any and all prior discussions, agreements and correspondence with regard to the subject matter hereof, and may not be amended, modified or supplemented in any respect, except by a subsequent written document executed by both Employee and the Company.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11.2</w:t>
      </w:r>
      <w:r>
        <w:rPr>
          <w:color w:val="000000"/>
        </w:rPr>
        <w:t xml:space="preserve"> </w:t>
      </w:r>
      <w:r>
        <w:rPr>
          <w:rFonts w:ascii="Times New Roman;sans-serif" w:hAnsi="Times New Roman;sans-serif"/>
          <w:b w:val="false"/>
          <w:color w:val="000000"/>
          <w:sz w:val="20"/>
        </w:rPr>
        <w:t xml:space="preserve">The Company may assign or transfer this Employment Agreement or any right, claim or obligation provided herein subject to any applicable law, provided however that none of the Employee’s rights under this Agreement are thereby diminished. The obligations of the Employee hereunder shall not be assignable or delegable.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11.3</w:t>
      </w:r>
      <w:r>
        <w:rPr>
          <w:color w:val="000000"/>
        </w:rPr>
        <w:t xml:space="preserve"> </w:t>
      </w:r>
      <w:r>
        <w:rPr>
          <w:rFonts w:ascii="Times New Roman;sans-serif" w:hAnsi="Times New Roman;sans-serif"/>
          <w:b w:val="false"/>
          <w:color w:val="000000"/>
          <w:sz w:val="20"/>
        </w:rPr>
        <w:t xml:space="preserve">All notices, requests and other communications to any party hereunder shall be given or made in writing and faxed, emailed, mailed (by registered or certified mail) or delivered by hand to the respective party at the address set forth in the caption of this Employment Agreement or to such other address (or fax number or email address) as such party may hereafter specify for the purpose of notice to the other party hereto. Each such notice, request or other communication shall be effective (a) if given by fax or email, one (1) business day after such fax is transmitted to the fax number or email address specified herein and the appropriate answerback is received, or (b) if given by any other means, when delivered at the address specified in the Employment Agreement.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11.4</w:t>
      </w:r>
      <w:r>
        <w:rPr>
          <w:color w:val="000000"/>
        </w:rPr>
        <w:t xml:space="preserve"> </w:t>
      </w:r>
      <w:r>
        <w:rPr>
          <w:rFonts w:ascii="Times New Roman;sans-serif" w:hAnsi="Times New Roman;sans-serif"/>
          <w:b w:val="false"/>
          <w:color w:val="000000"/>
          <w:sz w:val="20"/>
        </w:rPr>
        <w:t xml:space="preserve">This Employment Agreement shall be governed by, and construed and enforced in accordance with, the laws of Israel without giving effect to principles of conflicts of law thereof. The parties submit to the exclusive jurisdiction of the competent courts of Israel in any dispute related to this Employment Agreement.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11.5</w:t>
      </w:r>
      <w:r>
        <w:rPr>
          <w:color w:val="000000"/>
        </w:rPr>
        <w:t xml:space="preserve"> </w:t>
      </w:r>
      <w:r>
        <w:rPr>
          <w:rFonts w:ascii="Times New Roman;sans-serif" w:hAnsi="Times New Roman;sans-serif"/>
          <w:b w:val="false"/>
          <w:color w:val="000000"/>
          <w:sz w:val="20"/>
        </w:rPr>
        <w:t xml:space="preserve">The parties hereby confirm that this is a personal services contract and that the relationship between the parties hereto shall not be subject to any general or special collective employment agreement or any custom or practice of the Company in respect of any of its other employees or contractors. </w:t>
      </w:r>
    </w:p>
    <w:p>
      <w:pPr>
        <w:pStyle w:val="TextBody"/>
        <w:bidi w:val="0"/>
        <w:spacing w:lineRule="auto" w:line="290" w:before="0" w:after="114"/>
        <w:ind w:left="0" w:right="0" w:hanging="10"/>
        <w:jc w:val="left"/>
        <w:rPr/>
      </w:pPr>
      <w:r>
        <w:rPr>
          <w:rFonts w:ascii="Times New Roman;sans-serif" w:hAnsi="Times New Roman;sans-serif"/>
          <w:b w:val="false"/>
          <w:color w:val="000000"/>
          <w:sz w:val="20"/>
        </w:rPr>
        <w:t>11.6</w:t>
      </w:r>
      <w:r>
        <w:rPr>
          <w:color w:val="000000"/>
        </w:rPr>
        <w:t xml:space="preserve"> </w:t>
      </w:r>
      <w:r>
        <w:rPr>
          <w:rFonts w:ascii="Times New Roman;sans-serif" w:hAnsi="Times New Roman;sans-serif"/>
          <w:b w:val="false"/>
          <w:color w:val="000000"/>
          <w:sz w:val="20"/>
        </w:rPr>
        <w:t xml:space="preserve">This Employment Agreement includes the terms to be contained in, and constitutes, the written notice to be delivered to the Employee pursuant to the Notice to Employee Law (Terms of Employment), 2002. Accordingly, this Employment Agreement shall come in lieu of the notice that is required under the Notice to Employee Law. </w:t>
      </w:r>
    </w:p>
    <w:p>
      <w:pPr>
        <w:pStyle w:val="TextBody"/>
        <w:bidi w:val="0"/>
        <w:spacing w:lineRule="auto" w:line="290" w:before="0" w:after="191"/>
        <w:ind w:left="0" w:right="0" w:hanging="10"/>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xml:space="preserve">, the Company and the Employee have executed this Employment Agreement as of the date first appearing above.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1"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2"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11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415"/>
        <w:gridCol w:w="415"/>
        <w:gridCol w:w="595"/>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Eynav Azaria</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lineRule="auto" w:line="276"/>
        <w:jc w:val="left"/>
        <w:rPr>
          <w:color w:val="000000"/>
        </w:rPr>
      </w:pPr>
      <w:r>
        <w:rPr>
          <w:color w:val="000000"/>
        </w:rPr>
        <w:t xml:space="preserve">     </w:t>
      </w:r>
    </w:p>
    <w:p>
      <w:pPr>
        <w:pStyle w:val="TextBody"/>
        <w:bidi w:val="0"/>
        <w:spacing w:lineRule="auto" w:line="300" w:before="0" w:after="0"/>
        <w:ind w:left="0" w:right="0" w:hanging="10"/>
        <w:jc w:val="center"/>
        <w:rPr/>
      </w:pPr>
      <w:r>
        <w:rPr>
          <w:rFonts w:ascii="Times New Roman;sans-serif" w:hAnsi="Times New Roman;sans-serif"/>
          <w:b/>
          <w:color w:val="000000"/>
          <w:sz w:val="20"/>
          <w:u w:val="single"/>
        </w:rPr>
        <w:t>Exhibit A</w:t>
      </w:r>
      <w:r>
        <w:rPr>
          <w:color w:val="000000"/>
        </w:rPr>
        <w:t xml:space="preserve">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3"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4.4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08"/>
        <w:jc w:val="center"/>
        <w:rPr>
          <w:rFonts w:ascii="Times New Roman;sans-serif" w:hAnsi="Times New Roman;sans-serif"/>
          <w:b/>
          <w:i/>
          <w:color w:val="000000"/>
          <w:sz w:val="20"/>
        </w:rPr>
      </w:pPr>
      <w:r>
        <w:rPr>
          <w:rFonts w:ascii="Times New Roman;sans-serif" w:hAnsi="Times New Roman;sans-serif"/>
          <w:b/>
          <w:i/>
          <w:color w:val="000000"/>
          <w:sz w:val="20"/>
        </w:rPr>
        <w:t xml:space="preserve">Employment Terms </w:t>
      </w:r>
    </w:p>
    <w:p>
      <w:pPr>
        <w:pStyle w:val="TextBody"/>
        <w:bidi w:val="0"/>
        <w:spacing w:lineRule="auto" w:line="290" w:before="0" w:after="8"/>
        <w:ind w:left="0" w:right="0" w:hanging="10"/>
        <w:jc w:val="both"/>
        <w:rPr/>
      </w:pPr>
      <w:r>
        <w:rPr>
          <w:rFonts w:ascii="Times New Roman;sans-serif" w:hAnsi="Times New Roman;sans-serif"/>
          <w:b w:val="false"/>
          <w:color w:val="000000"/>
          <w:sz w:val="20"/>
        </w:rPr>
        <w:t>Set forth below is a table detailing the specific terms of your employment (the “</w:t>
      </w:r>
      <w:r>
        <w:rPr>
          <w:rFonts w:ascii="Times New Roman;sans-serif" w:hAnsi="Times New Roman;sans-serif"/>
          <w:b/>
          <w:i/>
          <w:color w:val="000000"/>
          <w:sz w:val="20"/>
        </w:rPr>
        <w:t>Employment Terms</w:t>
      </w:r>
      <w:r>
        <w:rPr>
          <w:color w:val="000000"/>
        </w:rPr>
        <w:t>”</w:t>
      </w:r>
      <w:r>
        <w:rPr>
          <w:rFonts w:ascii="Times New Roman;sans-serif" w:hAnsi="Times New Roman;sans-serif"/>
          <w:b w:val="false"/>
          <w:color w:val="000000"/>
          <w:sz w:val="20"/>
        </w:rPr>
        <w:t>) with Kaltura Ltd., an Israeli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Please review carefully both the “Employment Terms” and the terms and conditions of the Employment Agreement to which this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is attached. Once you fully understand the terms and conditions set forth herein and agreed to all of the terms and conditions, you are kindly requested to sign the Employment Agreement and the ancillary forms attached thereto and return them to the Company. Your execution of this document constitutes your agreement to the Employment Agreement, including your Employment Terms. The Employment Terms set forth below are subject to the terms and conditions set forth in the Employment Agreement.</w:t>
      </w:r>
      <w:r>
        <w:rPr>
          <w:color w:val="000000"/>
        </w:rPr>
        <w:t xml:space="preserve"> </w:t>
      </w:r>
      <w:r>
        <w:rPr>
          <w:rFonts w:ascii="Times New Roman;sans-serif" w:hAnsi="Times New Roman;sans-serif"/>
          <w:b w:val="false"/>
          <w:color w:val="000000"/>
          <w:sz w:val="20"/>
        </w:rPr>
        <w:t xml:space="preserve">Capitalized terms used but not defined herein shall have the meanings as ascribed to them under the Employment Agreement. </w:t>
      </w:r>
    </w:p>
    <w:tbl>
      <w:tblPr>
        <w:tblW w:w="10205" w:type="dxa"/>
        <w:jc w:val="left"/>
        <w:tblInd w:w="0" w:type="dxa"/>
        <w:tblLayout w:type="fixed"/>
        <w:tblCellMar>
          <w:top w:w="28" w:type="dxa"/>
          <w:left w:w="28" w:type="dxa"/>
          <w:bottom w:w="28" w:type="dxa"/>
          <w:right w:w="28" w:type="dxa"/>
        </w:tblCellMar>
      </w:tblPr>
      <w:tblGrid>
        <w:gridCol w:w="921"/>
        <w:gridCol w:w="775"/>
        <w:gridCol w:w="780"/>
        <w:gridCol w:w="1253"/>
        <w:gridCol w:w="1253"/>
        <w:gridCol w:w="1253"/>
        <w:gridCol w:w="1159"/>
        <w:gridCol w:w="1159"/>
        <w:gridCol w:w="1652"/>
      </w:tblGrid>
      <w:tr>
        <w:trPr/>
        <w:tc>
          <w:tcPr>
            <w:tcW w:w="92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Personal Details</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Full Name: Eynav Azaria </w:t>
            </w:r>
          </w:p>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 Number: 027471689 </w:t>
            </w:r>
          </w:p>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Arie Disenzhik 16 suite 1, Tel Aviv, Israel. </w:t>
            </w:r>
          </w:p>
          <w:p>
            <w:pPr>
              <w:pStyle w:val="TableContents"/>
              <w:bidi w:val="0"/>
              <w:spacing w:lineRule="auto" w:line="300" w:before="0" w:after="0"/>
              <w:jc w:val="left"/>
              <w:rPr/>
            </w:pPr>
            <w:r>
              <w:rPr>
                <w:rFonts w:ascii="Times New Roman;sans-serif" w:hAnsi="Times New Roman;sans-serif"/>
                <w:b w:val="false"/>
                <w:color w:val="000000"/>
                <w:sz w:val="20"/>
              </w:rPr>
              <w:t>Telephone Number (cell):</w:t>
            </w:r>
            <w:r>
              <w:rPr>
                <w:color w:val="2E74B5"/>
              </w:rPr>
              <w:t xml:space="preserve"> </w:t>
            </w:r>
            <w:r>
              <w:rPr>
                <w:rFonts w:ascii="Times New Roman;sans-serif" w:hAnsi="Times New Roman;sans-serif"/>
                <w:b w:val="false"/>
                <w:color w:val="000000"/>
                <w:sz w:val="20"/>
              </w:rPr>
              <w:t xml:space="preserve">+972545775020 </w:t>
            </w:r>
          </w:p>
          <w:p>
            <w:pPr>
              <w:pStyle w:val="TableContents"/>
              <w:bidi w:val="0"/>
              <w:spacing w:lineRule="auto" w:line="300" w:before="0" w:after="0"/>
              <w:jc w:val="left"/>
              <w:rPr/>
            </w:pPr>
            <w:r>
              <w:rPr>
                <w:rFonts w:ascii="Times New Roman;sans-serif" w:hAnsi="Times New Roman;sans-serif"/>
                <w:b w:val="false"/>
                <w:color w:val="000000"/>
                <w:sz w:val="20"/>
              </w:rPr>
              <w:t xml:space="preserve">E-mail: </w:t>
            </w:r>
            <w:r>
              <w:rPr>
                <w:rFonts w:ascii="Times New Roman;sans-serif" w:hAnsi="Times New Roman;sans-serif"/>
                <w:b w:val="false"/>
                <w:color w:val="0000FF"/>
                <w:sz w:val="20"/>
                <w:u w:val="single"/>
              </w:rPr>
              <w:t>eynava@gmail.com</w:t>
            </w:r>
            <w:r>
              <w:rPr>
                <w:color w:val="000000"/>
              </w:rPr>
              <w:t xml:space="preserve"> </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Position</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Manager Enterprise Division</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Manager</w:t>
            </w:r>
          </w:p>
        </w:tc>
        <w:tc>
          <w:tcPr>
            <w:tcW w:w="7729"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r>
      <w:tr>
        <w:trPr/>
        <w:tc>
          <w:tcPr>
            <w:tcW w:w="24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4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Monthly Salary </w:t>
            </w:r>
          </w:p>
          <w:p>
            <w:pPr>
              <w:pStyle w:val="TableContents"/>
              <w:bidi w:val="0"/>
              <w:spacing w:lineRule="auto" w:line="300" w:before="0" w:after="0"/>
              <w:jc w:val="left"/>
              <w:rPr>
                <w:color w:val="000000"/>
              </w:rPr>
            </w:pPr>
            <w:r>
              <w:rPr>
                <w:color w:val="000000"/>
              </w:rPr>
              <w:t> </w:t>
            </w:r>
          </w:p>
        </w:tc>
        <w:tc>
          <w:tcPr>
            <w:tcW w:w="3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Base Salary: 64,000 </w:t>
            </w:r>
          </w:p>
          <w:p>
            <w:pPr>
              <w:pStyle w:val="TableContents"/>
              <w:bidi w:val="0"/>
              <w:spacing w:lineRule="auto" w:line="30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Global Overtime Pay: 16,000 </w:t>
            </w:r>
          </w:p>
          <w:p>
            <w:pPr>
              <w:pStyle w:val="TableContents"/>
              <w:bidi w:val="0"/>
              <w:spacing w:lineRule="auto" w:line="300" w:before="0" w:after="0"/>
              <w:jc w:val="left"/>
              <w:rPr/>
            </w:pPr>
            <w:r>
              <w:rPr>
                <w:rFonts w:ascii="Times New Roman;sans-serif" w:hAnsi="Times New Roman;sans-serif"/>
                <w:b w:val="false"/>
                <w:color w:val="000000"/>
                <w:sz w:val="18"/>
              </w:rPr>
              <w:t>Monthly Salary: 80,000</w:t>
            </w:r>
            <w:r>
              <w:rPr>
                <w:color w:val="000000"/>
              </w:rPr>
              <w:t xml:space="preserve"> </w:t>
            </w:r>
          </w:p>
        </w:tc>
        <w:tc>
          <w:tcPr>
            <w:tcW w:w="39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color w:val="000000"/>
              </w:rPr>
            </w:pPr>
            <w:r>
              <w:rPr>
                <w:color w:val="000000"/>
              </w:rPr>
              <w:t> </w:t>
            </w:r>
            <w:r>
              <w:rPr>
                <w:rFonts w:ascii="Times New Roman;sans-serif" w:hAnsi="Times New Roman;sans-serif"/>
                <w:b w:val="false"/>
                <w:color w:val="000000"/>
                <w:sz w:val="18"/>
              </w:rPr>
              <w:t xml:space="preserve">NIS (gross) </w:t>
            </w:r>
          </w:p>
          <w:p>
            <w:pPr>
              <w:pStyle w:val="TableContents"/>
              <w:bidi w:val="0"/>
              <w:spacing w:lineRule="auto" w:line="300" w:before="0" w:after="0"/>
              <w:jc w:val="left"/>
              <w:rPr>
                <w:color w:val="000000"/>
              </w:rPr>
            </w:pPr>
            <w:r>
              <w:rPr>
                <w:color w:val="000000"/>
              </w:rPr>
              <w:t> </w:t>
            </w:r>
            <w:r>
              <w:rPr>
                <w:rFonts w:ascii="Times New Roman;sans-serif" w:hAnsi="Times New Roman;sans-serif"/>
                <w:b w:val="false"/>
                <w:color w:val="000000"/>
                <w:sz w:val="18"/>
              </w:rPr>
              <w:t xml:space="preserve">NIS (gross) </w:t>
            </w:r>
          </w:p>
          <w:p>
            <w:pPr>
              <w:pStyle w:val="TableContents"/>
              <w:bidi w:val="0"/>
              <w:spacing w:lineRule="auto" w:line="300" w:before="0" w:after="0"/>
              <w:jc w:val="left"/>
              <w:rPr/>
            </w:pPr>
            <w:r>
              <w:rPr>
                <w:rFonts w:ascii="Times New Roman;sans-serif" w:hAnsi="Times New Roman;sans-serif"/>
                <w:b w:val="false"/>
                <w:color w:val="000000"/>
                <w:sz w:val="18"/>
              </w:rPr>
              <w:t>NIS (gross)</w:t>
            </w:r>
            <w:r>
              <w:rPr>
                <w:color w:val="000000"/>
              </w:rPr>
              <w:t xml:space="preserve"> </w:t>
            </w:r>
          </w:p>
        </w:tc>
      </w:tr>
      <w:tr>
        <w:trPr/>
        <w:tc>
          <w:tcPr>
            <w:tcW w:w="24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6"/>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of Work – 50%</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22, 2020 – January 31, 2021</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of Work – 100%</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February 1, 2021</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Period (by the Company or the Employee)</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days</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Entitled under Section 14 route. Per the terms detailed in the Employment Agreement. </w:t>
            </w:r>
          </w:p>
          <w:p>
            <w:pPr>
              <w:pStyle w:val="TableContents"/>
              <w:bidi w:val="0"/>
              <w:spacing w:lineRule="auto" w:line="300" w:before="0" w:after="0"/>
              <w:jc w:val="left"/>
              <w:rPr>
                <w:color w:val="000000"/>
              </w:rPr>
            </w:pPr>
            <w:r>
              <w:rPr>
                <w:color w:val="000000"/>
              </w:rPr>
              <w:t> </w:t>
            </w:r>
          </w:p>
        </w:tc>
      </w:tr>
      <w:tr>
        <w:trPr/>
        <w:tc>
          <w:tcPr>
            <w:tcW w:w="24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4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Keren Hishtalmut </w:t>
            </w:r>
          </w:p>
          <w:p>
            <w:pPr>
              <w:pStyle w:val="TableContents"/>
              <w:bidi w:val="0"/>
              <w:spacing w:lineRule="auto" w:line="300" w:before="0" w:after="3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(Education Fund) </w:t>
            </w:r>
          </w:p>
          <w:p>
            <w:pPr>
              <w:pStyle w:val="TableContents"/>
              <w:bidi w:val="0"/>
              <w:spacing w:lineRule="auto" w:line="300" w:before="0" w:after="0"/>
              <w:jc w:val="left"/>
              <w:rPr>
                <w:color w:val="000000"/>
              </w:rPr>
            </w:pPr>
            <w:r>
              <w:rPr>
                <w:color w:val="000000"/>
              </w:rPr>
              <w:t> </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4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Entitled. </w:t>
            </w:r>
          </w:p>
          <w:p>
            <w:pPr>
              <w:pStyle w:val="TableContents"/>
              <w:bidi w:val="0"/>
              <w:spacing w:lineRule="auto" w:line="300" w:before="0" w:after="3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Contribution- 7.5% of the Monthly Salary </w:t>
            </w:r>
          </w:p>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Contribution- 2.5% of the Monthly Salary </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Days</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workdays per year.</w:t>
            </w:r>
          </w:p>
        </w:tc>
      </w:tr>
      <w:tr>
        <w:trPr/>
        <w:tc>
          <w:tcPr>
            <w:tcW w:w="24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Sick Leave Days per Year</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Applicable Law. Notwithstanding the aforementioned, Employee shall be entitled to full payment with regard to his Sick Days as of the first day of absence due to sick leave.</w:t>
            </w:r>
          </w:p>
        </w:tc>
      </w:tr>
      <w:tr>
        <w:trPr/>
        <w:tc>
          <w:tcPr>
            <w:tcW w:w="247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Recreation Days</w:t>
            </w:r>
          </w:p>
        </w:tc>
        <w:tc>
          <w:tcPr>
            <w:tcW w:w="7729"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Applicable Law.</w:t>
            </w:r>
          </w:p>
        </w:tc>
      </w:tr>
    </w:tbl>
    <w:p>
      <w:pPr>
        <w:pStyle w:val="TextBody"/>
        <w:bidi w:val="0"/>
        <w:spacing w:before="0" w:after="176"/>
        <w:ind w:left="0" w:right="0" w:hanging="10"/>
        <w:jc w:val="left"/>
        <w:rPr/>
      </w:pPr>
      <w:r>
        <w:rPr/>
      </w:r>
    </w:p>
    <w:p>
      <w:pPr>
        <w:pStyle w:val="TextBody"/>
        <w:bidi w:val="0"/>
        <w:spacing w:lineRule="auto" w:line="290" w:before="0" w:after="207"/>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xml:space="preserve">, the parties have executed these Employment Terms Agreement effective as of the Effective Date. </w:t>
      </w:r>
    </w:p>
    <w:p>
      <w:pPr>
        <w:pStyle w:val="TextBody"/>
        <w:bidi w:val="0"/>
        <w:spacing w:lineRule="auto" w:line="300" w:before="0" w:after="3"/>
        <w:jc w:val="left"/>
        <w:rPr>
          <w:color w:val="000000"/>
        </w:rPr>
      </w:pPr>
      <w:r>
        <w:rPr>
          <w:color w:val="000000"/>
        </w:rPr>
        <w:t>    </w:t>
      </w:r>
    </w:p>
    <w:p>
      <w:pPr>
        <w:pStyle w:val="TextBody"/>
        <w:bidi w:val="0"/>
        <w:spacing w:before="0" w:after="114"/>
        <w:ind w:left="0" w:right="0" w:hanging="1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5"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11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415"/>
        <w:gridCol w:w="415"/>
        <w:gridCol w:w="595"/>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Eynav Azaria</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5"/>
        <w:jc w:val="left"/>
        <w:rPr/>
      </w:pPr>
      <w:r>
        <w:rPr/>
      </w:r>
    </w:p>
    <w:p>
      <w:pPr>
        <w:pStyle w:val="TextBody"/>
        <w:bidi w:val="0"/>
        <w:spacing w:before="0" w:after="185"/>
        <w:jc w:val="left"/>
        <w:rPr/>
      </w:pPr>
      <w:r>
        <w:rPr/>
      </w:r>
    </w:p>
    <w:p>
      <w:pPr>
        <w:pStyle w:val="TextBody"/>
        <w:bidi w:val="0"/>
        <w:spacing w:before="0" w:after="185"/>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before="0" w:after="114"/>
        <w:ind w:left="0" w:right="0" w:hanging="10"/>
        <w:jc w:val="left"/>
        <w:rPr/>
      </w:pPr>
      <w:r>
        <w:rPr/>
      </w:r>
    </w:p>
    <w:p>
      <w:pPr>
        <w:pStyle w:val="TextBody"/>
        <w:bidi w:val="0"/>
        <w:spacing w:lineRule="auto" w:line="300" w:before="0" w:after="0"/>
        <w:ind w:left="0" w:right="0" w:hanging="1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ADDENDUM TO PERSONAL EMPLOYMENT AGREEMENT</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8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14"/>
        <w:ind w:left="0" w:right="0" w:hanging="10"/>
        <w:jc w:val="left"/>
        <w:rPr/>
      </w:pPr>
      <w:r>
        <w:rPr/>
      </w:r>
    </w:p>
    <w:p>
      <w:pPr>
        <w:pStyle w:val="TextBody"/>
        <w:bidi w:val="0"/>
        <w:spacing w:lineRule="auto" w:line="290" w:before="0" w:after="114"/>
        <w:ind w:left="0" w:right="0" w:firstLine="720"/>
        <w:jc w:val="both"/>
        <w:rPr>
          <w:rFonts w:ascii="Calibri;sans-serif" w:hAnsi="Calibri;sans-serif"/>
          <w:b w:val="false"/>
          <w:color w:val="000000"/>
          <w:sz w:val="20"/>
        </w:rPr>
      </w:pPr>
      <w:r>
        <w:rPr>
          <w:rFonts w:ascii="Calibri;sans-serif" w:hAnsi="Calibri;sans-serif"/>
          <w:b w:val="false"/>
          <w:color w:val="000000"/>
          <w:sz w:val="20"/>
        </w:rPr>
        <w:t xml:space="preserve">THIS ADDENDUM TO EMPLOYMENT AGREEMENT (this “Addendum”) is made and entered into this 7 day of March 2021 by and between Kaltura Ltd., (the “Company”), and Eynav Azaria (the “Employee”). The Company and the Employee are sometimes referred to herein individually as a “Party” and collectively as the “Parties.” </w:t>
      </w:r>
    </w:p>
    <w:p>
      <w:pPr>
        <w:pStyle w:val="TextBody"/>
        <w:bidi w:val="0"/>
        <w:spacing w:lineRule="auto" w:line="290" w:before="0" w:after="114"/>
        <w:ind w:left="0" w:right="0" w:firstLine="720"/>
        <w:jc w:val="both"/>
        <w:rPr/>
      </w:pPr>
      <w:r>
        <w:rPr>
          <w:rFonts w:ascii="Calibri;sans-serif" w:hAnsi="Calibri;sans-serif"/>
          <w:b/>
          <w:color w:val="000000"/>
          <w:sz w:val="20"/>
        </w:rPr>
        <w:t>WHEREAS,</w:t>
      </w:r>
      <w:r>
        <w:rPr>
          <w:color w:val="000000"/>
        </w:rPr>
        <w:t xml:space="preserve"> </w:t>
      </w:r>
      <w:r>
        <w:rPr>
          <w:rFonts w:ascii="Times New Roman;sans-serif" w:hAnsi="Times New Roman;sans-serif"/>
          <w:b w:val="false"/>
          <w:color w:val="000000"/>
          <w:sz w:val="20"/>
        </w:rPr>
        <w:t>the Parties entered into an Employment Agreement dated 22 December 2020 (as subsequently amended from time to time (the “</w:t>
      </w:r>
      <w:r>
        <w:rPr>
          <w:rFonts w:ascii="Calibri;sans-serif" w:hAnsi="Calibri;sans-serif"/>
          <w:b/>
          <w:color w:val="000000"/>
          <w:sz w:val="20"/>
        </w:rPr>
        <w:t>Employment</w:t>
      </w:r>
      <w:r>
        <w:rPr>
          <w:color w:val="000000"/>
        </w:rPr>
        <w:t xml:space="preserve"> </w:t>
      </w:r>
      <w:r>
        <w:rPr>
          <w:rFonts w:ascii="Calibri;sans-serif" w:hAnsi="Calibri;sans-serif"/>
          <w:b/>
          <w:color w:val="000000"/>
          <w:sz w:val="20"/>
        </w:rPr>
        <w:t>Agreement</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114"/>
        <w:ind w:left="0" w:right="0" w:firstLine="720"/>
        <w:jc w:val="both"/>
        <w:rPr/>
      </w:pPr>
      <w:r>
        <w:rPr>
          <w:rFonts w:ascii="Calibri;sans-serif" w:hAnsi="Calibri;sans-serif"/>
          <w:b/>
          <w:color w:val="000000"/>
          <w:sz w:val="20"/>
        </w:rPr>
        <w:t>WHEREAS</w:t>
      </w:r>
      <w:r>
        <w:rPr>
          <w:rFonts w:ascii="Times New Roman;sans-serif" w:hAnsi="Times New Roman;sans-serif"/>
          <w:b w:val="false"/>
          <w:color w:val="000000"/>
          <w:sz w:val="20"/>
        </w:rPr>
        <w:t xml:space="preserve">, the Parties wish to amend or add certain terms and provisions to the Employment Agreement as detailed below; </w:t>
      </w:r>
    </w:p>
    <w:p>
      <w:pPr>
        <w:pStyle w:val="TextBody"/>
        <w:bidi w:val="0"/>
        <w:spacing w:lineRule="auto" w:line="300" w:before="0" w:after="0"/>
        <w:jc w:val="center"/>
        <w:rPr/>
      </w:pPr>
      <w:r>
        <w:rPr>
          <w:rFonts w:ascii="Calibri;sans-serif" w:hAnsi="Calibri;sans-serif"/>
          <w:b/>
          <w:color w:val="000000"/>
          <w:sz w:val="20"/>
        </w:rPr>
        <w:t>NOW, THEREFORE</w:t>
      </w:r>
      <w:r>
        <w:rPr>
          <w:rFonts w:ascii="Times New Roman;sans-serif" w:hAnsi="Times New Roman;sans-serif"/>
          <w:b w:val="false"/>
          <w:color w:val="000000"/>
          <w:sz w:val="20"/>
        </w:rPr>
        <w:t xml:space="preserve">, in consideration of the premises and mutual covenants and conditions herein </w:t>
      </w:r>
    </w:p>
    <w:p>
      <w:pPr>
        <w:pStyle w:val="TextBody"/>
        <w:bidi w:val="0"/>
        <w:spacing w:lineRule="auto" w:line="290" w:before="0" w:after="114"/>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contained, the Parties agree as follows: </w:t>
      </w:r>
    </w:p>
    <w:p>
      <w:pPr>
        <w:pStyle w:val="TextBody"/>
        <w:bidi w:val="0"/>
        <w:spacing w:lineRule="auto" w:line="278" w:before="0" w:after="12"/>
        <w:ind w:left="0" w:right="0" w:firstLine="720"/>
        <w:jc w:val="left"/>
        <w:rPr>
          <w:rFonts w:ascii="Calibri;sans-serif" w:hAnsi="Calibri;sans-serif"/>
          <w:b w:val="false"/>
          <w:i/>
          <w:color w:val="000000"/>
          <w:sz w:val="20"/>
        </w:rPr>
      </w:pPr>
      <w:r>
        <w:rPr>
          <w:rFonts w:ascii="Calibri;sans-serif" w:hAnsi="Calibri;sans-serif"/>
          <w:b w:val="false"/>
          <w:i/>
          <w:color w:val="000000"/>
          <w:sz w:val="20"/>
        </w:rPr>
        <w:t xml:space="preserve">Capitalized terms used but not defined herein have the meanings assigned to them in the Employment Agreement. </w:t>
      </w:r>
    </w:p>
    <w:p>
      <w:pPr>
        <w:pStyle w:val="TextBody"/>
        <w:bidi w:val="0"/>
        <w:spacing w:lineRule="auto" w:line="300" w:before="0" w:after="44"/>
        <w:ind w:left="0" w:right="0" w:hanging="720"/>
        <w:jc w:val="left"/>
        <w:rPr/>
      </w:pPr>
      <w:r>
        <w:rPr>
          <w:rFonts w:ascii="Calibri;sans-serif" w:hAnsi="Calibri;sans-serif"/>
          <w:b w:val="false"/>
          <w:color w:val="000000"/>
          <w:sz w:val="22"/>
        </w:rPr>
        <w:t>1.</w:t>
      </w:r>
      <w:r>
        <w:rPr>
          <w:rFonts w:ascii="Times New Roman;sans-serif" w:hAnsi="Times New Roman;sans-serif"/>
          <w:b w:val="false"/>
          <w:color w:val="000000"/>
          <w:sz w:val="20"/>
          <w:u w:val="single"/>
        </w:rPr>
        <w:t>Bonus</w:t>
      </w:r>
      <w:r>
        <w:rPr>
          <w:color w:val="000000"/>
        </w:rPr>
        <w:t xml:space="preserve"> </w:t>
      </w:r>
    </w:p>
    <w:p>
      <w:pPr>
        <w:pStyle w:val="TextBody"/>
        <w:bidi w:val="0"/>
        <w:spacing w:lineRule="auto" w:line="307" w:before="0" w:after="51"/>
        <w:ind w:left="0" w:right="0" w:hanging="286"/>
        <w:jc w:val="both"/>
        <w:rPr/>
      </w:pPr>
      <w:r>
        <w:rPr>
          <w:rFonts w:ascii="Calibri;sans-serif" w:hAnsi="Calibri;sans-serif"/>
          <w:b w:val="false"/>
          <w:color w:val="000000"/>
          <w:sz w:val="22"/>
        </w:rPr>
        <w:t>a.</w:t>
      </w:r>
      <w:r>
        <w:rPr>
          <w:rFonts w:ascii="Times New Roman;sans-serif" w:hAnsi="Times New Roman;sans-serif"/>
          <w:b w:val="false"/>
          <w:color w:val="000000"/>
          <w:sz w:val="20"/>
        </w:rPr>
        <w:t xml:space="preserve">The applicable Bonus for the 2021 calendar year shall be as follows: </w:t>
      </w:r>
    </w:p>
    <w:p>
      <w:pPr>
        <w:pStyle w:val="TextBody"/>
        <w:bidi w:val="0"/>
        <w:spacing w:lineRule="auto" w:line="307" w:before="0" w:after="42"/>
        <w:ind w:left="0" w:right="0" w:hanging="439"/>
        <w:jc w:val="both"/>
        <w:rPr/>
      </w:pPr>
      <w:r>
        <w:rPr>
          <w:rFonts w:ascii="Calibri;sans-serif" w:hAnsi="Calibri;sans-serif"/>
          <w:b w:val="false"/>
          <w:color w:val="000000"/>
          <w:sz w:val="22"/>
        </w:rPr>
        <w:t>i.</w:t>
      </w:r>
      <w:r>
        <w:rPr>
          <w:rFonts w:ascii="Times New Roman;sans-serif" w:hAnsi="Times New Roman;sans-serif"/>
          <w:b w:val="false"/>
          <w:color w:val="000000"/>
          <w:sz w:val="20"/>
        </w:rPr>
        <w:t>The maximum Annual Bonus shall be</w:t>
      </w:r>
      <w:r>
        <w:rPr>
          <w:color w:val="000000"/>
        </w:rPr>
        <w:t xml:space="preserve"> </w:t>
      </w:r>
      <w:r>
        <w:rPr>
          <w:rFonts w:ascii="Times New Roman;sans-serif" w:hAnsi="Times New Roman;sans-serif"/>
          <w:b w:val="false"/>
          <w:color w:val="000000"/>
          <w:sz w:val="20"/>
        </w:rPr>
        <w:t xml:space="preserve">NIS 480,000 (gross). </w:t>
      </w:r>
    </w:p>
    <w:p>
      <w:pPr>
        <w:pStyle w:val="TextBody"/>
        <w:bidi w:val="0"/>
        <w:spacing w:lineRule="auto" w:line="307" w:before="0" w:after="1"/>
        <w:ind w:left="0" w:right="0" w:hanging="439"/>
        <w:jc w:val="both"/>
        <w:rPr/>
      </w:pPr>
      <w:r>
        <w:rPr>
          <w:rFonts w:ascii="Calibri;sans-serif" w:hAnsi="Calibri;sans-serif"/>
          <w:b w:val="false"/>
          <w:color w:val="000000"/>
          <w:sz w:val="22"/>
        </w:rPr>
        <w:t>ii.</w:t>
      </w:r>
      <w:r>
        <w:rPr>
          <w:rFonts w:ascii="Times New Roman;sans-serif" w:hAnsi="Times New Roman;sans-serif"/>
          <w:b w:val="false"/>
          <w:color w:val="000000"/>
          <w:sz w:val="20"/>
        </w:rPr>
        <w:t>The maximum Annual Additional Stretch Bonus shall be</w:t>
      </w:r>
      <w:r>
        <w:rPr>
          <w:color w:val="000000"/>
        </w:rPr>
        <w:t xml:space="preserve"> </w:t>
      </w:r>
      <w:r>
        <w:rPr>
          <w:rFonts w:ascii="Times New Roman;sans-serif" w:hAnsi="Times New Roman;sans-serif"/>
          <w:b w:val="false"/>
          <w:color w:val="000000"/>
          <w:sz w:val="20"/>
        </w:rPr>
        <w:t xml:space="preserve">NIS 180,000 (gross) </w:t>
      </w:r>
    </w:p>
    <w:p>
      <w:pPr>
        <w:pStyle w:val="TextBody"/>
        <w:bidi w:val="0"/>
        <w:spacing w:lineRule="auto" w:line="307" w:before="0" w:after="1"/>
        <w:ind w:left="0" w:right="0" w:hanging="286"/>
        <w:jc w:val="both"/>
        <w:rPr/>
      </w:pPr>
      <w:r>
        <w:rPr>
          <w:rFonts w:ascii="Calibri;sans-serif" w:hAnsi="Calibri;sans-serif"/>
          <w:b w:val="false"/>
          <w:color w:val="000000"/>
          <w:sz w:val="22"/>
        </w:rPr>
        <w:t>b.</w:t>
      </w:r>
      <w:r>
        <w:rPr>
          <w:rFonts w:ascii="Times New Roman;sans-serif" w:hAnsi="Times New Roman;sans-serif"/>
          <w:b w:val="false"/>
          <w:color w:val="000000"/>
          <w:sz w:val="20"/>
        </w:rPr>
        <w:t xml:space="preserve">Employee’s entitlement to the Annual Bonus and Additional Stretch Bonus shall be determined, for each calendar year, on the basis of the attainment of certain financial and operational metrics set by Kaltura Inc.’s board of directors. </w:t>
      </w:r>
    </w:p>
    <w:p>
      <w:pPr>
        <w:pStyle w:val="TextBody"/>
        <w:bidi w:val="0"/>
        <w:spacing w:lineRule="auto" w:line="307" w:before="0" w:after="1"/>
        <w:ind w:left="0" w:right="0" w:hanging="286"/>
        <w:jc w:val="both"/>
        <w:rPr/>
      </w:pPr>
      <w:r>
        <w:rPr>
          <w:rFonts w:ascii="Calibri;sans-serif" w:hAnsi="Calibri;sans-serif"/>
          <w:b w:val="false"/>
          <w:color w:val="000000"/>
          <w:sz w:val="22"/>
        </w:rPr>
        <w:t>c.</w:t>
      </w:r>
      <w:r>
        <w:rPr>
          <w:rFonts w:ascii="Times New Roman;sans-serif" w:hAnsi="Times New Roman;sans-serif"/>
          <w:b w:val="false"/>
          <w:color w:val="000000"/>
          <w:sz w:val="20"/>
        </w:rPr>
        <w:t>As of January 2021 the Employee’s Monthly Bonus Amount shall be</w:t>
      </w:r>
      <w:r>
        <w:rPr>
          <w:color w:val="000000"/>
        </w:rPr>
        <w:t xml:space="preserve"> </w:t>
      </w:r>
      <w:r>
        <w:rPr>
          <w:rFonts w:ascii="Times New Roman;sans-serif" w:hAnsi="Times New Roman;sans-serif"/>
          <w:b w:val="false"/>
          <w:color w:val="000000"/>
          <w:sz w:val="20"/>
        </w:rPr>
        <w:t xml:space="preserve">NIS 28,000 (gross) (i.e., the equivalent of 70% of the pro-rated Annual Bonus) on account of the Annual Bonus (section 2.a.i above). </w:t>
      </w:r>
    </w:p>
    <w:p>
      <w:pPr>
        <w:pStyle w:val="TextBody"/>
        <w:bidi w:val="0"/>
        <w:spacing w:lineRule="auto" w:line="307" w:before="0" w:after="1"/>
        <w:ind w:left="0" w:right="0" w:hanging="720"/>
        <w:jc w:val="left"/>
        <w:rPr/>
      </w:pPr>
      <w:r>
        <w:rPr>
          <w:rFonts w:ascii="Calibri;sans-serif" w:hAnsi="Calibri;sans-serif"/>
          <w:b w:val="false"/>
          <w:color w:val="000000"/>
          <w:sz w:val="22"/>
        </w:rPr>
        <w:t>2.</w:t>
      </w:r>
      <w:r>
        <w:rPr>
          <w:rFonts w:ascii="Times New Roman;sans-serif" w:hAnsi="Times New Roman;sans-serif"/>
          <w:b w:val="false"/>
          <w:color w:val="000000"/>
          <w:sz w:val="20"/>
        </w:rPr>
        <w:t xml:space="preserve">Except as expressly set forth herein, the terms and conditions of the Employment Agreement shall remain in full force and effect and each Party hereto agrees to be bound by the terms thereof. </w:t>
      </w:r>
    </w:p>
    <w:p>
      <w:pPr>
        <w:pStyle w:val="TextBody"/>
        <w:bidi w:val="0"/>
        <w:spacing w:lineRule="auto" w:line="300" w:before="0" w:after="0"/>
        <w:ind w:left="0" w:right="0" w:hanging="10"/>
        <w:jc w:val="right"/>
        <w:rPr>
          <w:rFonts w:ascii="Arial;sans-serif" w:hAnsi="Arial;sans-serif"/>
          <w:b w:val="false"/>
          <w:color w:val="000000"/>
          <w:sz w:val="20"/>
        </w:rPr>
      </w:pPr>
      <w:r>
        <w:rPr>
          <w:rFonts w:ascii="Arial;sans-serif" w:hAnsi="Arial;sans-serif"/>
          <w:b w:val="false"/>
          <w:color w:val="000000"/>
          <w:sz w:val="20"/>
        </w:rPr>
        <w:t xml:space="preserve">1 </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77"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3.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359"/>
        <w:ind w:left="0" w:right="0" w:hanging="10"/>
        <w:jc w:val="left"/>
        <w:rPr/>
      </w:pPr>
      <w:r>
        <w:rPr/>
      </w:r>
    </w:p>
    <w:p>
      <w:pPr>
        <w:pStyle w:val="TextBody"/>
        <w:bidi w:val="0"/>
        <w:spacing w:before="0" w:after="114"/>
        <w:ind w:left="0" w:right="0" w:hanging="10"/>
        <w:jc w:val="both"/>
        <w:rPr/>
      </w:pPr>
      <w:r>
        <w:rPr/>
      </w:r>
    </w:p>
    <w:p>
      <w:pPr>
        <w:pStyle w:val="TextBody"/>
        <w:bidi w:val="0"/>
        <w:spacing w:lineRule="auto" w:line="290" w:before="0" w:after="114"/>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hereto have executed this Addendum as of the date set forth above. </w:t>
      </w:r>
    </w:p>
    <w:p>
      <w:pPr>
        <w:pStyle w:val="TextBody"/>
        <w:bidi w:val="0"/>
        <w:spacing w:lineRule="auto" w:line="290" w:before="0" w:after="114"/>
        <w:jc w:val="left"/>
        <w:rPr>
          <w:color w:val="000000"/>
        </w:rPr>
      </w:pPr>
      <w:r>
        <w:rPr>
          <w:color w:val="000000"/>
        </w:rPr>
        <w:t>    </w:t>
      </w:r>
    </w:p>
    <w:tbl>
      <w:tblPr>
        <w:tblW w:w="611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415"/>
        <w:gridCol w:w="415"/>
        <w:gridCol w:w="595"/>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Eynav Azaria</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14"/>
        <w:ind w:left="0" w:right="0" w:hanging="1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78"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0" w:before="0" w:after="0"/>
        <w:ind w:left="0" w:right="0" w:hanging="10"/>
        <w:jc w:val="center"/>
        <w:rPr/>
      </w:pPr>
      <w:r>
        <w:rPr>
          <w:rFonts w:ascii="Times New Roman;sans-serif" w:hAnsi="Times New Roman;sans-serif"/>
          <w:b/>
          <w:color w:val="000000"/>
          <w:sz w:val="20"/>
          <w:u w:val="single"/>
        </w:rPr>
        <w:t>Amendment</w:t>
      </w:r>
      <w:r>
        <w:rPr>
          <w:color w:val="000000"/>
        </w:rPr>
        <w:t xml:space="preserve"> </w:t>
      </w:r>
      <w:r>
        <w:rPr>
          <w:rFonts w:ascii="Times New Roman;sans-serif" w:hAnsi="Times New Roman;sans-serif"/>
          <w:b/>
          <w:color w:val="000000"/>
          <w:sz w:val="20"/>
        </w:rPr>
        <w:t xml:space="preserve">of the </w:t>
      </w:r>
    </w:p>
    <w:p>
      <w:pPr>
        <w:pStyle w:val="TextBody"/>
        <w:bidi w:val="0"/>
        <w:spacing w:lineRule="auto" w:line="290" w:before="0" w:after="46"/>
        <w:ind w:left="0" w:right="0" w:hanging="10"/>
        <w:jc w:val="center"/>
        <w:rPr/>
      </w:pPr>
      <w:r>
        <w:rPr>
          <w:rFonts w:ascii="Times New Roman;sans-serif" w:hAnsi="Times New Roman;sans-serif"/>
          <w:b/>
          <w:color w:val="000000"/>
          <w:sz w:val="20"/>
          <w:u w:val="single"/>
        </w:rPr>
        <w:t>Employment Agreement</w:t>
      </w:r>
      <w:r>
        <w:rPr>
          <w:color w:val="000000"/>
        </w:rPr>
        <w:t xml:space="preserve"> </w:t>
      </w:r>
    </w:p>
    <w:p>
      <w:pPr>
        <w:pStyle w:val="TextBody"/>
        <w:bidi w:val="0"/>
        <w:spacing w:before="0" w:after="147"/>
        <w:ind w:left="0" w:right="0" w:firstLine="288"/>
        <w:jc w:val="both"/>
        <w:rPr/>
      </w:pPr>
      <w:r>
        <w:rPr/>
      </w:r>
    </w:p>
    <w:p>
      <w:pPr>
        <w:pStyle w:val="TextBody"/>
        <w:bidi w:val="0"/>
        <w:spacing w:lineRule="auto" w:line="240" w:before="60" w:after="120"/>
        <w:ind w:left="0" w:right="0" w:firstLine="288"/>
        <w:jc w:val="both"/>
        <w:rPr/>
      </w:pPr>
      <w:r>
        <w:rPr>
          <w:rFonts w:ascii="Times New Roman;sans-serif" w:hAnsi="Times New Roman;sans-serif"/>
          <w:b w:val="false"/>
          <w:color w:val="000000"/>
          <w:sz w:val="20"/>
        </w:rPr>
        <w:t>This AMENDMENT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to that certain individual Employment Agreement (as defined below), is made and entered into this 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day of March, 2023, by and between </w:t>
      </w:r>
      <w:r>
        <w:rPr>
          <w:rFonts w:ascii="Times New Roman;sans-serif" w:hAnsi="Times New Roman;sans-serif"/>
          <w:b/>
          <w:color w:val="000000"/>
          <w:sz w:val="20"/>
        </w:rPr>
        <w:t>Kaltura Ltd.</w:t>
      </w:r>
      <w:r>
        <w:rPr>
          <w:rFonts w:ascii="Times New Roman;sans-serif" w:hAnsi="Times New Roman;sans-serif"/>
          <w:b w:val="false"/>
          <w:color w:val="000000"/>
          <w:sz w:val="20"/>
        </w:rPr>
        <w:t>, a company organized under the laws of the State of Israel and having an office and principal place of business at Atrium Bldg., 22nd floor, 2 Ze’ev Jabotinsky Road, Ramat Gan, Israel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xml:space="preserve">) and Mr. </w:t>
      </w:r>
      <w:r>
        <w:rPr>
          <w:rFonts w:ascii="Times New Roman;sans-serif" w:hAnsi="Times New Roman;sans-serif"/>
          <w:b/>
          <w:color w:val="000000"/>
          <w:sz w:val="20"/>
        </w:rPr>
        <w:t>Eynav (Navi) Azaria</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 xml:space="preserve">). </w:t>
      </w:r>
    </w:p>
    <w:p>
      <w:pPr>
        <w:pStyle w:val="TextBody"/>
        <w:bidi w:val="0"/>
        <w:spacing w:before="60" w:after="120"/>
        <w:ind w:left="0" w:right="0" w:firstLine="288"/>
        <w:jc w:val="both"/>
        <w:rPr/>
      </w:pPr>
      <w:r>
        <w:rPr/>
      </w:r>
    </w:p>
    <w:p>
      <w:pPr>
        <w:pStyle w:val="TextBody"/>
        <w:bidi w:val="0"/>
        <w:spacing w:lineRule="auto" w:line="288" w:before="0" w:after="107"/>
        <w:ind w:left="0" w:right="0" w:hanging="10"/>
        <w:jc w:val="center"/>
        <w:rPr/>
      </w:pPr>
      <w:r>
        <w:rPr>
          <w:rFonts w:ascii="Times New Roman;sans-serif" w:hAnsi="Times New Roman;sans-serif"/>
          <w:b w:val="false"/>
          <w:color w:val="000000"/>
          <w:sz w:val="20"/>
        </w:rPr>
        <w:t>Each of the above is referred to as a “</w:t>
      </w:r>
      <w:r>
        <w:rPr>
          <w:rFonts w:ascii="Times New Roman;sans-serif" w:hAnsi="Times New Roman;sans-serif"/>
          <w:b/>
          <w:color w:val="000000"/>
          <w:sz w:val="20"/>
        </w:rPr>
        <w:t>Party</w:t>
      </w:r>
      <w:r>
        <w:rPr>
          <w:color w:val="000000"/>
        </w:rPr>
        <w:t xml:space="preserve">” </w:t>
      </w:r>
      <w:r>
        <w:rPr>
          <w:rFonts w:ascii="Times New Roman;sans-serif" w:hAnsi="Times New Roman;sans-serif"/>
          <w:b w:val="false"/>
          <w:color w:val="000000"/>
          <w:sz w:val="20"/>
        </w:rPr>
        <w:t>and collectively referred to as the “</w:t>
      </w:r>
      <w:r>
        <w:rPr>
          <w:rFonts w:ascii="Times New Roman;sans-serif" w:hAnsi="Times New Roman;sans-serif"/>
          <w:b/>
          <w:color w:val="000000"/>
          <w:sz w:val="20"/>
        </w:rPr>
        <w:t>Parties</w:t>
      </w:r>
      <w:r>
        <w:rPr>
          <w:color w:val="000000"/>
        </w:rPr>
        <w:t>”</w:t>
      </w:r>
      <w:r>
        <w:rPr>
          <w:rFonts w:ascii="Times New Roman;sans-serif" w:hAnsi="Times New Roman;sans-serif"/>
          <w:b w:val="false"/>
          <w:color w:val="000000"/>
          <w:sz w:val="20"/>
        </w:rPr>
        <w:t>.</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09"/>
        <w:gridCol w:w="360"/>
        <w:gridCol w:w="361"/>
        <w:gridCol w:w="2657"/>
        <w:gridCol w:w="2657"/>
        <w:gridCol w:w="3761"/>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w:t>
            </w:r>
          </w:p>
        </w:tc>
        <w:tc>
          <w:tcPr>
            <w:tcW w:w="9075" w:type="dxa"/>
            <w:gridSpan w:val="3"/>
            <w:tcBorders/>
            <w:tcMar>
              <w:top w:w="0" w:type="dxa"/>
              <w:left w:w="0" w:type="dxa"/>
              <w:bottom w:w="0" w:type="dxa"/>
              <w:right w:w="0" w:type="dxa"/>
            </w:tcMar>
            <w:vAlign w:val="center"/>
          </w:tcPr>
          <w:p>
            <w:pPr>
              <w:pStyle w:val="TableContents"/>
              <w:bidi w:val="0"/>
              <w:spacing w:lineRule="auto" w:line="300" w:before="0" w:after="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have entered into an individual employment agreement dated </w:t>
            </w:r>
          </w:p>
          <w:p>
            <w:pPr>
              <w:pStyle w:val="TableContents"/>
              <w:bidi w:val="0"/>
              <w:spacing w:lineRule="auto" w:line="300" w:before="0" w:after="0"/>
              <w:jc w:val="both"/>
              <w:rPr/>
            </w:pPr>
            <w:r>
              <w:rPr>
                <w:rFonts w:ascii="Times New Roman;sans-serif" w:hAnsi="Times New Roman;sans-serif"/>
                <w:b w:val="false"/>
                <w:color w:val="000000"/>
                <w:sz w:val="20"/>
              </w:rPr>
              <w:t>December 22, 2020, in connection with the Employee’s employment by the Company, as from time to time amended (including the amendment made on or about February 22, 2023)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0"/>
              </w:rPr>
              <w:t>Employment Agreement</w:t>
            </w:r>
            <w:r>
              <w:rPr>
                <w:color w:val="000000"/>
              </w:rPr>
              <w:t>”</w:t>
            </w:r>
            <w:r>
              <w:rPr>
                <w:rFonts w:ascii="Times New Roman;sans-serif" w:hAnsi="Times New Roman;sans-serif"/>
                <w:b w:val="false"/>
                <w:color w:val="000000"/>
                <w:sz w:val="20"/>
              </w:rPr>
              <w:t xml:space="preserve">); and </w:t>
            </w:r>
          </w:p>
        </w:tc>
      </w:tr>
      <w:tr>
        <w:trPr/>
        <w:tc>
          <w:tcPr>
            <w:tcW w:w="1130"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w:t>
            </w:r>
          </w:p>
        </w:tc>
        <w:tc>
          <w:tcPr>
            <w:tcW w:w="9075" w:type="dxa"/>
            <w:gridSpan w:val="3"/>
            <w:tcBorders/>
            <w:tcMar>
              <w:top w:w="0" w:type="dxa"/>
              <w:left w:w="0" w:type="dxa"/>
              <w:bottom w:w="0" w:type="dxa"/>
              <w:right w:w="0" w:type="dxa"/>
            </w:tcMar>
            <w:vAlign w:val="center"/>
          </w:tcPr>
          <w:p>
            <w:pPr>
              <w:pStyle w:val="TableContents"/>
              <w:bidi w:val="0"/>
              <w:spacing w:lineRule="auto" w:line="300" w:before="0" w:after="0"/>
              <w:jc w:val="both"/>
              <w:rPr/>
            </w:pPr>
            <w:r>
              <w:rPr>
                <w:rFonts w:ascii="Times New Roman;sans-serif" w:hAnsi="Times New Roman;sans-serif"/>
                <w:b w:val="false"/>
                <w:color w:val="000000"/>
                <w:sz w:val="20"/>
              </w:rPr>
              <w:t>the Parties wish to amend</w:t>
            </w:r>
            <w:r>
              <w:rPr>
                <w:color w:val="000000"/>
              </w:rPr>
              <w:t xml:space="preserve"> </w:t>
            </w:r>
            <w:r>
              <w:rPr>
                <w:rFonts w:ascii="Times New Roman;sans-serif" w:hAnsi="Times New Roman;sans-serif"/>
                <w:b w:val="false"/>
                <w:color w:val="000000"/>
                <w:sz w:val="20"/>
              </w:rPr>
              <w:t xml:space="preserve">the Employment Agreement in accordance with the terms herewith; </w:t>
            </w:r>
          </w:p>
        </w:tc>
      </w:tr>
    </w:tbl>
    <w:p>
      <w:pPr>
        <w:pStyle w:val="TextBody"/>
        <w:bidi w:val="0"/>
        <w:spacing w:lineRule="auto" w:line="290" w:before="0" w:after="0"/>
        <w:ind w:left="0" w:right="0" w:firstLine="358"/>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xml:space="preserve">, in consideration of the premises and mutual agreements and covenants contained in this Amendment and other good and valuable consideration (the receipt and adequacy of which are hereby mutually acknowledged), each of the Parties hereby agree as follows: </w:t>
      </w:r>
    </w:p>
    <w:p>
      <w:pPr>
        <w:pStyle w:val="TextBody"/>
        <w:bidi w:val="0"/>
        <w:spacing w:lineRule="auto" w:line="300" w:before="0" w:after="0"/>
        <w:ind w:left="0" w:right="0" w:hanging="360"/>
        <w:jc w:val="both"/>
        <w:rPr/>
      </w:pPr>
      <w:r>
        <w:rPr>
          <w:rFonts w:ascii="Times New Roman;sans-serif" w:hAnsi="Times New Roman;sans-serif"/>
          <w:b/>
          <w:color w:val="000000"/>
          <w:sz w:val="20"/>
          <w:u w:val="single"/>
        </w:rPr>
        <w:t>1.Definitions and Interpretation</w:t>
      </w:r>
      <w:r>
        <w:rPr>
          <w:color w:val="000000"/>
        </w:rPr>
        <w:t xml:space="preserve"> </w:t>
      </w:r>
    </w:p>
    <w:p>
      <w:pPr>
        <w:pStyle w:val="TextBody"/>
        <w:bidi w:val="0"/>
        <w:spacing w:before="0" w:after="114"/>
        <w:jc w:val="both"/>
        <w:rPr/>
      </w:pPr>
      <w:r>
        <w:rPr/>
      </w:r>
    </w:p>
    <w:p>
      <w:pPr>
        <w:pStyle w:val="TextBody"/>
        <w:bidi w:val="0"/>
        <w:spacing w:lineRule="auto" w:line="290" w:before="0" w:after="114"/>
        <w:ind w:left="0" w:right="0" w:hanging="634"/>
        <w:jc w:val="both"/>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20"/>
        </w:rPr>
        <w:t xml:space="preserve">Capitalized terms used but not otherwise defined herein having the respective meanings set forth in the Employment Agreement. All capitalized terms used but not defined hereinabove or in the Employment Agreement, shall have the meaning ascribed for then as in the recitals or as hereinbelow defined. </w:t>
      </w:r>
    </w:p>
    <w:p>
      <w:pPr>
        <w:pStyle w:val="TextBody"/>
        <w:bidi w:val="0"/>
        <w:spacing w:lineRule="auto" w:line="290" w:before="0" w:after="114"/>
        <w:jc w:val="left"/>
        <w:rPr/>
      </w:pPr>
      <w:r>
        <w:rPr>
          <w:color w:val="000000"/>
        </w:rPr>
        <w:t>    </w:t>
      </w:r>
      <w:r>
        <w:rPr>
          <w:rFonts w:ascii="Times New Roman;sans-serif" w:hAnsi="Times New Roman;sans-serif"/>
          <w:b w:val="false"/>
          <w:color w:val="000000"/>
          <w:sz w:val="20"/>
        </w:rPr>
        <w:t>1.2.</w:t>
      </w:r>
      <w:r>
        <w:rPr>
          <w:color w:val="000000"/>
        </w:rPr>
        <w:t xml:space="preserve">     </w:t>
      </w:r>
      <w:r>
        <w:rPr>
          <w:rFonts w:ascii="Times New Roman;sans-serif" w:hAnsi="Times New Roman;sans-serif"/>
          <w:b w:val="false"/>
          <w:color w:val="000000"/>
          <w:sz w:val="20"/>
        </w:rPr>
        <w:t xml:space="preserve">The preface to this Amendment constitutes an indivisible and integral part thereof. </w:t>
      </w:r>
    </w:p>
    <w:p>
      <w:pPr>
        <w:pStyle w:val="TextBody"/>
        <w:bidi w:val="0"/>
        <w:spacing w:lineRule="auto" w:line="290" w:before="0" w:after="0"/>
        <w:ind w:left="0" w:right="0" w:hanging="634"/>
        <w:jc w:val="both"/>
        <w:rPr/>
      </w:pPr>
      <w:r>
        <w:rPr>
          <w:rFonts w:ascii="Times New Roman;sans-serif" w:hAnsi="Times New Roman;sans-serif"/>
          <w:b w:val="false"/>
          <w:color w:val="000000"/>
          <w:sz w:val="20"/>
        </w:rPr>
        <w:t>1.3.</w:t>
      </w:r>
      <w:r>
        <w:rPr>
          <w:color w:val="000000"/>
        </w:rPr>
        <w:t xml:space="preserve">      </w:t>
      </w:r>
      <w:r>
        <w:rPr>
          <w:rFonts w:ascii="Times New Roman;sans-serif" w:hAnsi="Times New Roman;sans-serif"/>
          <w:b w:val="false"/>
          <w:color w:val="000000"/>
          <w:sz w:val="20"/>
        </w:rPr>
        <w:t xml:space="preserve">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 </w:t>
      </w:r>
    </w:p>
    <w:p>
      <w:pPr>
        <w:pStyle w:val="TextBody"/>
        <w:bidi w:val="0"/>
        <w:spacing w:before="0" w:after="0"/>
        <w:jc w:val="left"/>
        <w:rPr/>
      </w:pPr>
      <w:r>
        <w:rPr/>
      </w:r>
    </w:p>
    <w:p>
      <w:pPr>
        <w:pStyle w:val="TextBody"/>
        <w:bidi w:val="0"/>
        <w:spacing w:lineRule="auto" w:line="300" w:before="0" w:after="0"/>
        <w:ind w:left="0" w:right="0" w:hanging="36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2.Bonus </w:t>
      </w:r>
    </w:p>
    <w:p>
      <w:pPr>
        <w:pStyle w:val="TextBody"/>
        <w:bidi w:val="0"/>
        <w:spacing w:before="0" w:after="114"/>
        <w:ind w:left="0" w:right="0" w:hanging="10"/>
        <w:jc w:val="both"/>
        <w:rPr/>
      </w:pPr>
      <w:r>
        <w:rPr/>
      </w:r>
    </w:p>
    <w:p>
      <w:pPr>
        <w:pStyle w:val="TextBody"/>
        <w:bidi w:val="0"/>
        <w:spacing w:lineRule="auto" w:line="288" w:before="0" w:after="107"/>
        <w:ind w:left="0" w:right="0" w:hanging="10"/>
        <w:jc w:val="left"/>
        <w:rPr/>
      </w:pPr>
      <w:r>
        <w:rPr>
          <w:rFonts w:ascii="Times New Roman;sans-serif" w:hAnsi="Times New Roman;sans-serif"/>
          <w:b w:val="false"/>
          <w:color w:val="000000"/>
          <w:sz w:val="20"/>
        </w:rPr>
        <w:t>2.1.</w:t>
      </w:r>
      <w:r>
        <w:rPr>
          <w:color w:val="000000"/>
        </w:rPr>
        <w:t xml:space="preserve"> </w:t>
      </w:r>
      <w:r>
        <w:rPr>
          <w:rFonts w:ascii="Times New Roman;sans-serif" w:hAnsi="Times New Roman;sans-serif"/>
          <w:b w:val="false"/>
          <w:color w:val="000000"/>
          <w:sz w:val="20"/>
        </w:rPr>
        <w:t xml:space="preserve">Commencing 2023 (inclusive), the Employee’s total attainable annual Bonus (namely, the 100% MBO OTB) shall be in an amount equal to Eight (8) monthly salaries. </w:t>
      </w:r>
    </w:p>
    <w:p>
      <w:pPr>
        <w:pStyle w:val="TextBody"/>
        <w:bidi w:val="0"/>
        <w:spacing w:lineRule="auto" w:line="300"/>
        <w:jc w:val="left"/>
        <w:rPr/>
      </w:pPr>
      <w:r>
        <w:rPr>
          <w:rFonts w:ascii="Times New Roman;sans-serif" w:hAnsi="Times New Roman;sans-serif"/>
          <w:b w:val="false"/>
          <w:color w:val="000000"/>
          <w:sz w:val="20"/>
        </w:rPr>
        <w:t>2.2.</w:t>
      </w:r>
      <w:r>
        <w:rPr>
          <w:color w:val="000000"/>
        </w:rPr>
        <w:t xml:space="preserve"> </w:t>
      </w:r>
      <w:r>
        <w:rPr>
          <w:rFonts w:ascii="Times New Roman;sans-serif" w:hAnsi="Times New Roman;sans-serif"/>
          <w:b w:val="false"/>
          <w:color w:val="000000"/>
          <w:sz w:val="20"/>
        </w:rPr>
        <w:t xml:space="preserve">The Employee’s entitlement to an annual Bonus for the calendar year of 2023 shall be determined, for such year only, on the basis of the Employee’s and the Company’s attainment of certain goals and objectives defined by the Company, which are set forth in the Employee’s annual bonus plan according to Company’s 2023 Executive Compensation Plan as </w:t>
      </w:r>
    </w:p>
    <w:p>
      <w:pPr>
        <w:pStyle w:val="TextBody"/>
        <w:bidi w:val="0"/>
        <w:spacing w:lineRule="auto" w:line="300" w:before="0" w:after="0"/>
        <w:jc w:val="left"/>
        <w:rPr/>
      </w:pPr>
      <w:r>
        <w:rPr>
          <w:rFonts w:ascii="Times New Roman;sans-serif" w:hAnsi="Times New Roman;sans-serif"/>
          <w:b w:val="false"/>
          <w:color w:val="000000"/>
          <w:sz w:val="20"/>
        </w:rPr>
        <w:t xml:space="preserve">approved by the Company’s Compensation Committee on or about February 5, 2023, a summary of which is enclosed as </w:t>
      </w:r>
      <w:r>
        <w:rPr>
          <w:rFonts w:ascii="Times New Roman;sans-serif" w:hAnsi="Times New Roman;sans-serif"/>
          <w:b/>
          <w:color w:val="000000"/>
          <w:sz w:val="20"/>
          <w:u w:val="single"/>
        </w:rPr>
        <w:t>Annex A</w:t>
      </w:r>
      <w:r>
        <w:rPr>
          <w:color w:val="000000"/>
        </w:rPr>
        <w:t xml:space="preserve"> </w:t>
      </w:r>
      <w:r>
        <w:rPr>
          <w:rFonts w:ascii="Times New Roman;sans-serif" w:hAnsi="Times New Roman;sans-serif"/>
          <w:b w:val="false"/>
          <w:color w:val="000000"/>
          <w:sz w:val="20"/>
        </w:rPr>
        <w:t>hereof (the “</w:t>
      </w:r>
      <w:r>
        <w:rPr>
          <w:rFonts w:ascii="Times New Roman;sans-serif" w:hAnsi="Times New Roman;sans-serif"/>
          <w:b/>
          <w:color w:val="000000"/>
          <w:sz w:val="20"/>
        </w:rPr>
        <w:t>2023 Executive Compensation Plan</w:t>
      </w:r>
      <w:r>
        <w:rPr>
          <w:color w:val="000000"/>
        </w:rPr>
        <w:t>”</w:t>
      </w:r>
      <w:r>
        <w:rPr>
          <w:rFonts w:ascii="Times New Roman;sans-serif" w:hAnsi="Times New Roman;sans-serif"/>
          <w:b w:val="false"/>
          <w:color w:val="000000"/>
          <w:sz w:val="20"/>
        </w:rPr>
        <w:t>).</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79"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99"/>
        <w:ind w:left="0" w:right="0" w:hanging="10"/>
        <w:jc w:val="both"/>
        <w:rPr/>
      </w:pPr>
      <w:r>
        <w:rPr/>
      </w:r>
    </w:p>
    <w:p>
      <w:pPr>
        <w:pStyle w:val="TextBody"/>
        <w:bidi w:val="0"/>
        <w:spacing w:before="0" w:after="99"/>
        <w:ind w:left="0" w:right="0" w:hanging="10"/>
        <w:jc w:val="both"/>
        <w:rPr/>
      </w:pPr>
      <w:r>
        <w:rPr/>
      </w:r>
    </w:p>
    <w:p>
      <w:pPr>
        <w:pStyle w:val="TextBody"/>
        <w:bidi w:val="0"/>
        <w:spacing w:lineRule="auto" w:line="300" w:before="0" w:after="99"/>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subject to Section 2.3 hereof, the 2023 annual Bonus shall be as follows: </w:t>
      </w:r>
    </w:p>
    <w:p>
      <w:pPr>
        <w:pStyle w:val="TextBody"/>
        <w:bidi w:val="0"/>
        <w:spacing w:lineRule="auto" w:line="300" w:before="0" w:after="0"/>
        <w:ind w:left="0" w:right="0" w:hanging="10"/>
        <w:jc w:val="both"/>
        <w:rPr/>
      </w:pPr>
      <w:r>
        <w:rPr>
          <w:rFonts w:ascii="Times New Roman;sans-serif" w:hAnsi="Times New Roman;sans-serif"/>
          <w:b w:val="false"/>
          <w:color w:val="000000"/>
          <w:sz w:val="20"/>
        </w:rPr>
        <w:t>2.2.1.</w:t>
      </w:r>
      <w:r>
        <w:rPr>
          <w:color w:val="000000"/>
        </w:rPr>
        <w:t xml:space="preserve"> </w:t>
      </w:r>
      <w:r>
        <w:rPr>
          <w:rFonts w:ascii="Times New Roman;sans-serif" w:hAnsi="Times New Roman;sans-serif"/>
          <w:b w:val="false"/>
          <w:color w:val="000000"/>
          <w:sz w:val="20"/>
        </w:rPr>
        <w:t>The potential maximum annual Bonus with respect to 100% attainment,</w:t>
      </w:r>
    </w:p>
    <w:p>
      <w:pPr>
        <w:pStyle w:val="TextBody"/>
        <w:bidi w:val="0"/>
        <w:spacing w:lineRule="auto" w:line="290" w:before="0" w:after="114"/>
        <w:jc w:val="both"/>
        <w:rPr/>
      </w:pPr>
      <w:r>
        <w:rPr>
          <w:rFonts w:ascii="Times New Roman;sans-serif" w:hAnsi="Times New Roman;sans-serif"/>
          <w:b w:val="false"/>
          <w:color w:val="000000"/>
          <w:sz w:val="20"/>
        </w:rPr>
        <w:t>satisfaction and performance against the 2023 Executive Compensation Plan’s targets and thresholds (namely, Individual Objectives and Company Financial Goals KPIs and OKRs) as elaborated in the 2023 Executive Compensation Plan, shall equal the gross amount of USD 230,000 (herein, the “</w:t>
      </w:r>
      <w:r>
        <w:rPr>
          <w:rFonts w:ascii="Times New Roman;sans-serif" w:hAnsi="Times New Roman;sans-serif"/>
          <w:b/>
          <w:color w:val="000000"/>
          <w:sz w:val="20"/>
        </w:rPr>
        <w:t>Base OTB</w:t>
      </w:r>
      <w:r>
        <w:rPr>
          <w:color w:val="000000"/>
        </w:rPr>
        <w:t>”</w:t>
      </w:r>
      <w:r>
        <w:rPr>
          <w:rFonts w:ascii="Times New Roman;sans-serif" w:hAnsi="Times New Roman;sans-serif"/>
          <w:b w:val="false"/>
          <w:color w:val="000000"/>
          <w:sz w:val="20"/>
        </w:rPr>
        <w:t xml:space="preserve">). </w:t>
      </w:r>
    </w:p>
    <w:p>
      <w:pPr>
        <w:pStyle w:val="TextBody"/>
        <w:bidi w:val="0"/>
        <w:spacing w:lineRule="auto" w:line="290" w:before="0" w:after="114"/>
        <w:ind w:left="0" w:right="0" w:hanging="10"/>
        <w:jc w:val="both"/>
        <w:rPr/>
      </w:pPr>
      <w:r>
        <w:rPr>
          <w:rFonts w:ascii="Times New Roman;sans-serif" w:hAnsi="Times New Roman;sans-serif"/>
          <w:b w:val="false"/>
          <w:color w:val="000000"/>
          <w:sz w:val="20"/>
        </w:rPr>
        <w:t>2.2.2.</w:t>
      </w:r>
      <w:r>
        <w:rPr>
          <w:color w:val="000000"/>
        </w:rPr>
        <w:t xml:space="preserve"> </w:t>
      </w:r>
      <w:r>
        <w:rPr>
          <w:rFonts w:ascii="Times New Roman;sans-serif" w:hAnsi="Times New Roman;sans-serif"/>
          <w:b w:val="false"/>
          <w:color w:val="000000"/>
          <w:sz w:val="20"/>
        </w:rPr>
        <w:t xml:space="preserve">The potential maximum annual Additional Stretch Bonus for overachievement against such goals (&gt;100%), shall equal the gross amount of USD 86,250. </w:t>
      </w:r>
    </w:p>
    <w:p>
      <w:pPr>
        <w:pStyle w:val="TextBody"/>
        <w:bidi w:val="0"/>
        <w:spacing w:lineRule="auto" w:line="290" w:before="0" w:after="114"/>
        <w:ind w:left="0" w:right="0" w:hanging="540"/>
        <w:jc w:val="both"/>
        <w:rPr/>
      </w:pPr>
      <w:r>
        <w:rPr>
          <w:rFonts w:ascii="Times New Roman;sans-serif" w:hAnsi="Times New Roman;sans-serif"/>
          <w:b w:val="false"/>
          <w:color w:val="000000"/>
          <w:sz w:val="20"/>
        </w:rPr>
        <w:t>2.3.</w:t>
      </w:r>
      <w:r>
        <w:rPr>
          <w:color w:val="000000"/>
        </w:rPr>
        <w:t xml:space="preserve">     </w:t>
      </w:r>
      <w:r>
        <w:rPr>
          <w:rFonts w:ascii="Times New Roman;sans-serif" w:hAnsi="Times New Roman;sans-serif"/>
          <w:b w:val="false"/>
          <w:color w:val="000000"/>
          <w:sz w:val="20"/>
        </w:rPr>
        <w:t xml:space="preserve">Notwithstanding anything to the contrary in the Employment Agreement or any other agreements, arrangements, undertakings, obligations, representations, warranties and/or understandings, either oral, in writing or otherwise, relating to the Employee’s employment and/or grant of services and/or any other engagement, entered into between the Parties, the monetary value of the Base OTB to which the Employee shall be entitled under the 2023 Executive Compensation Plan up to 100% attainment, shall be granted in the form of up to </w:t>
      </w:r>
      <w:r>
        <w:rPr>
          <w:rFonts w:ascii="Times New Roman;sans-serif" w:hAnsi="Times New Roman;sans-serif"/>
          <w:b/>
          <w:color w:val="000000"/>
          <w:sz w:val="20"/>
        </w:rPr>
        <w:t>121,053</w:t>
      </w:r>
      <w:r>
        <w:rPr>
          <w:color w:val="000000"/>
        </w:rPr>
        <w:t xml:space="preserve"> </w:t>
      </w:r>
      <w:r>
        <w:rPr>
          <w:rFonts w:ascii="Times New Roman;sans-serif" w:hAnsi="Times New Roman;sans-serif"/>
          <w:b w:val="false"/>
          <w:color w:val="000000"/>
          <w:sz w:val="20"/>
        </w:rPr>
        <w:t>Restricted Stock Units (as defined in the 2021 Kaltura, Inc. Incentive Award Plan and Israeli Sub-Plan; together, the “</w:t>
      </w:r>
      <w:r>
        <w:rPr>
          <w:rFonts w:ascii="Times New Roman;sans-serif" w:hAnsi="Times New Roman;sans-serif"/>
          <w:b/>
          <w:color w:val="000000"/>
          <w:sz w:val="20"/>
        </w:rPr>
        <w:t>2021 Plan</w:t>
      </w:r>
      <w:r>
        <w:rPr>
          <w:color w:val="000000"/>
        </w:rPr>
        <w:t>”</w:t>
      </w:r>
      <w:r>
        <w:rPr>
          <w:rFonts w:ascii="Times New Roman;sans-serif" w:hAnsi="Times New Roman;sans-serif"/>
          <w:b w:val="false"/>
          <w:color w:val="000000"/>
          <w:sz w:val="20"/>
        </w:rPr>
        <w:t>), to be settled in shares in accordance with the calculation and vesting terms set forth in the 2023 Executive Compensation Plan (the “</w:t>
      </w:r>
      <w:r>
        <w:rPr>
          <w:rFonts w:ascii="Times New Roman;sans-serif" w:hAnsi="Times New Roman;sans-serif"/>
          <w:b/>
          <w:color w:val="000000"/>
          <w:sz w:val="20"/>
        </w:rPr>
        <w:t>MBO RSUs</w:t>
      </w:r>
      <w:r>
        <w:rPr>
          <w:color w:val="000000"/>
        </w:rPr>
        <w:t>”</w:t>
      </w:r>
      <w:r>
        <w:rPr>
          <w:rFonts w:ascii="Times New Roman;sans-serif" w:hAnsi="Times New Roman;sans-serif"/>
          <w:b w:val="false"/>
          <w:color w:val="000000"/>
          <w:sz w:val="20"/>
        </w:rPr>
        <w:t xml:space="preserve">), while any excess entitlement earned by the Employee for MBO overachievement up to the maximum Annual Additional Stretch Bonus (i.e., &gt;100% attainment of the applicable goals under the 2023 Executive Compensation Plan) will be paid in cash in accordance with the entitlement and payment terms set forth under the 2023 Executive Compensation Plan. </w:t>
      </w:r>
    </w:p>
    <w:p>
      <w:pPr>
        <w:pStyle w:val="TextBody"/>
        <w:bidi w:val="0"/>
        <w:spacing w:lineRule="auto" w:line="290" w:before="0" w:after="114"/>
        <w:ind w:left="0" w:right="0" w:hanging="540"/>
        <w:jc w:val="both"/>
        <w:rPr/>
      </w:pPr>
      <w:r>
        <w:rPr>
          <w:rFonts w:ascii="Times New Roman;sans-serif" w:hAnsi="Times New Roman;sans-serif"/>
          <w:b w:val="false"/>
          <w:color w:val="000000"/>
          <w:sz w:val="20"/>
        </w:rPr>
        <w:t>2.4.</w:t>
      </w:r>
      <w:r>
        <w:rPr>
          <w:color w:val="000000"/>
        </w:rPr>
        <w:t xml:space="preserve">     </w:t>
      </w:r>
      <w:r>
        <w:rPr>
          <w:rFonts w:ascii="Times New Roman;sans-serif" w:hAnsi="Times New Roman;sans-serif"/>
          <w:b w:val="false"/>
          <w:color w:val="000000"/>
          <w:sz w:val="20"/>
        </w:rPr>
        <w:t xml:space="preserve">Except as set forth in this Amendment for the 2023 annual Bonus, the Employee’s entitlement to annual Bonus and Additional Stretch Bonus shall be determined, for each subsequent calendar year, on the basis of the attainment of certain financial and operational metrics set by Kaltura, Inc.’s Board of Directors or Compensation Committee. </w:t>
      </w:r>
    </w:p>
    <w:p>
      <w:pPr>
        <w:pStyle w:val="TextBody"/>
        <w:bidi w:val="0"/>
        <w:spacing w:lineRule="auto" w:line="290" w:before="0" w:after="0"/>
        <w:ind w:left="0" w:right="0" w:hanging="540"/>
        <w:jc w:val="both"/>
        <w:rPr/>
      </w:pPr>
      <w:r>
        <w:rPr>
          <w:rFonts w:ascii="Times New Roman;sans-serif" w:hAnsi="Times New Roman;sans-serif"/>
          <w:b w:val="false"/>
          <w:color w:val="000000"/>
          <w:sz w:val="20"/>
        </w:rPr>
        <w:t>2.5.</w:t>
      </w:r>
      <w:r>
        <w:rPr>
          <w:color w:val="000000"/>
        </w:rPr>
        <w:t xml:space="preserve">     </w:t>
      </w:r>
      <w:r>
        <w:rPr>
          <w:rFonts w:ascii="Times New Roman;sans-serif" w:hAnsi="Times New Roman;sans-serif"/>
          <w:b w:val="false"/>
          <w:color w:val="000000"/>
          <w:sz w:val="20"/>
        </w:rPr>
        <w:t xml:space="preserve">All Bonus payments, if any, shall be subject to all mandatory withholdings and deductions, and shall be deemed to be quoted in gross figures. In addition, all Bonus payments in currencies other than US Dollar (for 2023, the Additional Stretch Bonus payment) will be adjusted in accordance with the specific payment currency and US Dollar exchange rate that shall prevail as of the payment calculation date in accordance with the Company’s policies and procedures. </w:t>
      </w:r>
    </w:p>
    <w:p>
      <w:pPr>
        <w:pStyle w:val="TextBody"/>
        <w:bidi w:val="0"/>
        <w:spacing w:lineRule="auto" w:line="300" w:before="0" w:after="0"/>
        <w:ind w:left="0" w:right="0" w:hanging="360"/>
        <w:jc w:val="both"/>
        <w:rPr/>
      </w:pPr>
      <w:r>
        <w:rPr>
          <w:rFonts w:ascii="Times New Roman;sans-serif" w:hAnsi="Times New Roman;sans-serif"/>
          <w:b/>
          <w:color w:val="000000"/>
          <w:sz w:val="20"/>
          <w:u w:val="single"/>
        </w:rPr>
        <w:t>3.MBO RSUs Terms of Grant</w:t>
      </w:r>
      <w:r>
        <w:rPr>
          <w:color w:val="000000"/>
        </w:rPr>
        <w:t xml:space="preserve"> </w:t>
      </w:r>
    </w:p>
    <w:p>
      <w:pPr>
        <w:pStyle w:val="TextBody"/>
        <w:bidi w:val="0"/>
        <w:spacing w:before="0" w:after="114"/>
        <w:jc w:val="both"/>
        <w:rPr/>
      </w:pPr>
      <w:r>
        <w:rPr/>
      </w:r>
    </w:p>
    <w:p>
      <w:pPr>
        <w:pStyle w:val="TextBody"/>
        <w:bidi w:val="0"/>
        <w:spacing w:lineRule="auto" w:line="290" w:before="0" w:after="114"/>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provisions of the 2021 Plan, the 2023 Executive Compensation Plan and the applicable Award Agreement, the MBO RSUs (if and to the Extent the Employee shall be entitled to such) shall be subject to the following: </w:t>
      </w:r>
    </w:p>
    <w:p>
      <w:pPr>
        <w:pStyle w:val="TextBody"/>
        <w:bidi w:val="0"/>
        <w:spacing w:lineRule="auto" w:line="290" w:before="0" w:after="114"/>
        <w:ind w:left="0" w:right="0" w:hanging="540"/>
        <w:jc w:val="both"/>
        <w:rPr/>
      </w:pPr>
      <w:r>
        <w:rPr>
          <w:rFonts w:ascii="Times New Roman;sans-serif" w:hAnsi="Times New Roman;sans-serif"/>
          <w:b w:val="false"/>
          <w:color w:val="000000"/>
          <w:sz w:val="20"/>
        </w:rPr>
        <w:t>3.1.</w:t>
      </w:r>
      <w:r>
        <w:rPr>
          <w:color w:val="000000"/>
        </w:rPr>
        <w:t xml:space="preserve"> </w:t>
      </w: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xml:space="preserve">: effective as of the effective date of the Compensation Committee’s approval of the 2023 Executive Compensation Plan, namely, February 5, 2023. </w:t>
      </w:r>
    </w:p>
    <w:p>
      <w:pPr>
        <w:pStyle w:val="TextBody"/>
        <w:bidi w:val="0"/>
        <w:spacing w:lineRule="auto" w:line="290" w:before="0" w:after="114"/>
        <w:ind w:left="0" w:right="0" w:hanging="540"/>
        <w:jc w:val="both"/>
        <w:rPr/>
      </w:pPr>
      <w:r>
        <w:rPr>
          <w:rFonts w:ascii="Times New Roman;sans-serif" w:hAnsi="Times New Roman;sans-serif"/>
          <w:b w:val="false"/>
          <w:color w:val="000000"/>
          <w:sz w:val="20"/>
        </w:rPr>
        <w:t>3.2.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Up to the maximum number of the MBO RSUs that were granted to the Employee will be eligible to vest in accordance with the satisfaction and performance against the 2023 Executive Compensation Plan’s targets and thresholds (namely, Individual Objectives and Company Financial Goals KPIs and OKRs), upon and subject to the eligibility of the Employee to the cash payment of the Annual Bonus but for the conversion thereof to MBO RSUs which shall be determined following the approval of the final audited results for FY-23 (no later than March 15, 2024), </w:t>
      </w:r>
      <w:r>
        <w:rPr>
          <w:rFonts w:ascii="Times New Roman;sans-serif" w:hAnsi="Times New Roman;sans-serif"/>
          <w:b w:val="false"/>
          <w:i/>
          <w:color w:val="000000"/>
          <w:sz w:val="20"/>
        </w:rPr>
        <w:t>subject, however</w:t>
      </w:r>
      <w:r>
        <w:rPr>
          <w:rFonts w:ascii="Times New Roman;sans-serif" w:hAnsi="Times New Roman;sans-serif"/>
          <w:b w:val="false"/>
          <w:color w:val="000000"/>
          <w:sz w:val="20"/>
        </w:rPr>
        <w:t xml:space="preserve">, to the continued employment of the Employee through December 31, 2023. </w:t>
      </w:r>
    </w:p>
    <w:p>
      <w:pPr>
        <w:pStyle w:val="TextBody"/>
        <w:bidi w:val="0"/>
        <w:spacing w:lineRule="auto" w:line="290"/>
        <w:ind w:left="0" w:right="0" w:hanging="540"/>
        <w:jc w:val="both"/>
        <w:rPr/>
      </w:pPr>
      <w:r>
        <w:rPr>
          <w:rFonts w:ascii="Times New Roman;sans-serif" w:hAnsi="Times New Roman;sans-serif"/>
          <w:b w:val="false"/>
          <w:color w:val="000000"/>
          <w:sz w:val="20"/>
        </w:rPr>
        <w:t>3.3.</w:t>
      </w:r>
      <w:r>
        <w:rPr>
          <w:color w:val="000000"/>
        </w:rPr>
        <w:t xml:space="preserve"> </w:t>
      </w:r>
      <w:r>
        <w:rPr>
          <w:rFonts w:ascii="Times New Roman;sans-serif" w:hAnsi="Times New Roman;sans-serif"/>
          <w:b w:val="false"/>
          <w:color w:val="000000"/>
          <w:sz w:val="20"/>
          <w:u w:val="single"/>
        </w:rPr>
        <w:t>Contingencies</w:t>
      </w:r>
      <w:r>
        <w:rPr>
          <w:rFonts w:ascii="Times New Roman;sans-serif" w:hAnsi="Times New Roman;sans-serif"/>
          <w:b w:val="false"/>
          <w:color w:val="000000"/>
          <w:sz w:val="20"/>
        </w:rPr>
        <w:t xml:space="preserve">: the MBO RSUs award shall be made pursuant to the 2021 Plan, the 2023 Executive Compensation Plan and the appropriate award agreement to be executed by the Employee and countersigned by Kaltura, Inc., and to the execution and delivery of all required agreements and instruments pursuant to the 2021 Plan and Kaltura, Inc.’s policies. </w:t>
      </w:r>
    </w:p>
    <w:p>
      <w:pPr>
        <w:pStyle w:val="TextBody"/>
        <w:bidi w:val="0"/>
        <w:spacing w:before="0" w:after="114"/>
        <w:ind w:left="0" w:right="0" w:hanging="1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0"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ind w:left="0" w:right="0" w:hanging="360"/>
        <w:jc w:val="both"/>
        <w:rPr/>
      </w:pPr>
      <w:r>
        <w:rPr>
          <w:rFonts w:ascii="Times New Roman;sans-serif" w:hAnsi="Times New Roman;sans-serif"/>
          <w:b/>
          <w:color w:val="000000"/>
          <w:sz w:val="20"/>
          <w:u w:val="single"/>
        </w:rPr>
        <w:t>4.Additional Benefits</w:t>
      </w:r>
      <w:r>
        <w:rPr>
          <w:color w:val="000000"/>
        </w:rPr>
        <w:t xml:space="preserve"> </w:t>
      </w:r>
    </w:p>
    <w:p>
      <w:pPr>
        <w:pStyle w:val="TextBody"/>
        <w:bidi w:val="0"/>
        <w:spacing w:before="0" w:after="114"/>
        <w:jc w:val="both"/>
        <w:rPr/>
      </w:pPr>
      <w:r>
        <w:rPr/>
      </w:r>
    </w:p>
    <w:p>
      <w:pPr>
        <w:pStyle w:val="TextBody"/>
        <w:bidi w:val="0"/>
        <w:spacing w:lineRule="auto" w:line="300" w:before="0" w:after="0"/>
        <w:ind w:left="0" w:right="0" w:hanging="10"/>
        <w:jc w:val="both"/>
        <w:rPr/>
      </w:pPr>
      <w:r>
        <w:rPr>
          <w:rFonts w:ascii="Times New Roman;sans-serif" w:hAnsi="Times New Roman;sans-serif"/>
          <w:b w:val="false"/>
          <w:color w:val="000000"/>
          <w:sz w:val="20"/>
        </w:rPr>
        <w:t>4.1.</w:t>
      </w:r>
      <w:r>
        <w:rPr>
          <w:color w:val="000000"/>
        </w:rPr>
        <w:t xml:space="preserve"> </w:t>
      </w:r>
      <w:r>
        <w:rPr>
          <w:rFonts w:ascii="Times New Roman;sans-serif" w:hAnsi="Times New Roman;sans-serif"/>
          <w:b w:val="false"/>
          <w:color w:val="000000"/>
          <w:sz w:val="20"/>
        </w:rPr>
        <w:t xml:space="preserve">Subject to the approval of the Compensation Committee of the Board of Directors of Kaltura, Inc., and the Employee’s continued employment by the Company through the applicable vesting date, the Company anticipates granting the Employee </w:t>
      </w:r>
      <w:r>
        <w:rPr>
          <w:rFonts w:ascii="Times New Roman;sans-serif" w:hAnsi="Times New Roman;sans-serif"/>
          <w:b/>
          <w:color w:val="000000"/>
          <w:sz w:val="20"/>
        </w:rPr>
        <w:t>544,737</w:t>
      </w:r>
      <w:r>
        <w:rPr>
          <w:color w:val="000000"/>
        </w:rPr>
        <w:t xml:space="preserve"> </w:t>
      </w:r>
      <w:r>
        <w:rPr>
          <w:rFonts w:ascii="Times New Roman;sans-serif" w:hAnsi="Times New Roman;sans-serif"/>
          <w:b w:val="false"/>
          <w:color w:val="000000"/>
          <w:sz w:val="20"/>
        </w:rPr>
        <w:t>RSUs as stipulated in the 2023 Executive Compensation Plan (herein, “</w:t>
      </w:r>
      <w:r>
        <w:rPr>
          <w:rFonts w:ascii="Times New Roman;sans-serif" w:hAnsi="Times New Roman;sans-serif"/>
          <w:b/>
          <w:color w:val="000000"/>
          <w:sz w:val="20"/>
        </w:rPr>
        <w:t>LTI RSUs</w:t>
      </w:r>
      <w:r>
        <w:rPr>
          <w:color w:val="000000"/>
        </w:rPr>
        <w:t>”</w:t>
      </w:r>
      <w:r>
        <w:rPr>
          <w:rFonts w:ascii="Times New Roman;sans-serif" w:hAnsi="Times New Roman;sans-serif"/>
          <w:b w:val="false"/>
          <w:color w:val="000000"/>
          <w:sz w:val="20"/>
        </w:rPr>
        <w:t xml:space="preserve">). </w:t>
      </w:r>
    </w:p>
    <w:p>
      <w:pPr>
        <w:pStyle w:val="TextBody"/>
        <w:bidi w:val="0"/>
        <w:spacing w:before="0" w:after="0"/>
        <w:ind w:left="0" w:right="0" w:hanging="10"/>
        <w:jc w:val="both"/>
        <w:rPr/>
      </w:pPr>
      <w:r>
        <w:rPr/>
      </w:r>
    </w:p>
    <w:p>
      <w:pPr>
        <w:pStyle w:val="TextBody"/>
        <w:bidi w:val="0"/>
        <w:spacing w:lineRule="auto" w:line="290" w:before="0" w:after="114"/>
        <w:ind w:left="0" w:right="0" w:hanging="540"/>
        <w:jc w:val="both"/>
        <w:rPr/>
      </w:pPr>
      <w:r>
        <w:rPr>
          <w:rFonts w:ascii="Times New Roman;sans-serif" w:hAnsi="Times New Roman;sans-serif"/>
          <w:b w:val="false"/>
          <w:color w:val="000000"/>
          <w:sz w:val="20"/>
        </w:rPr>
        <w:t>4.2.</w:t>
      </w:r>
      <w:r>
        <w:rPr>
          <w:color w:val="000000"/>
        </w:rPr>
        <w:t xml:space="preserve"> </w:t>
      </w:r>
      <w:r>
        <w:rPr>
          <w:rFonts w:ascii="Times New Roman;sans-serif" w:hAnsi="Times New Roman;sans-serif"/>
          <w:b w:val="false"/>
          <w:color w:val="000000"/>
          <w:sz w:val="20"/>
        </w:rPr>
        <w:t xml:space="preserve">The LTI RSUs, if awarded, will be governed by the terms and conditions of the Company’s 2021 Plan, the respective provisions of the 2023 Executive Compensation Plan and applicable award agreements. </w:t>
      </w:r>
    </w:p>
    <w:p>
      <w:pPr>
        <w:pStyle w:val="TextBody"/>
        <w:bidi w:val="0"/>
        <w:spacing w:lineRule="auto" w:line="290" w:before="0" w:after="114"/>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above, if and to the extent the Employee shall be granted LTI RSUs, then the grant thereof shall be subject to the following: </w:t>
      </w:r>
    </w:p>
    <w:p>
      <w:pPr>
        <w:pStyle w:val="TextBody"/>
        <w:bidi w:val="0"/>
        <w:spacing w:lineRule="auto" w:line="290" w:before="0" w:after="114"/>
        <w:ind w:left="0" w:right="0" w:hanging="811"/>
        <w:jc w:val="both"/>
        <w:rPr/>
      </w:pPr>
      <w:r>
        <w:rPr>
          <w:rFonts w:ascii="Times New Roman;sans-serif" w:hAnsi="Times New Roman;sans-serif"/>
          <w:b w:val="false"/>
          <w:color w:val="000000"/>
          <w:sz w:val="20"/>
        </w:rPr>
        <w:t>4.2.1.</w:t>
      </w:r>
      <w:r>
        <w:rPr>
          <w:color w:val="000000"/>
        </w:rPr>
        <w:t xml:space="preserve"> </w:t>
      </w: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xml:space="preserve">: effective as of the effective date of the Compensation Committee’s approval of the 2023 Executive Compensation Plan, namely, February 5, 2023. </w:t>
      </w:r>
    </w:p>
    <w:p>
      <w:pPr>
        <w:pStyle w:val="TextBody"/>
        <w:bidi w:val="0"/>
        <w:spacing w:lineRule="auto" w:line="290" w:before="0" w:after="114"/>
        <w:ind w:left="0" w:right="0" w:hanging="811"/>
        <w:jc w:val="both"/>
        <w:rPr/>
      </w:pPr>
      <w:r>
        <w:rPr>
          <w:rFonts w:ascii="Times New Roman;sans-serif" w:hAnsi="Times New Roman;sans-serif"/>
          <w:b w:val="false"/>
          <w:color w:val="000000"/>
          <w:sz w:val="20"/>
        </w:rPr>
        <w:t>4.2.2.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Three-year quarterly, commencing retroactively from January 1</w:t>
      </w:r>
      <w:r>
        <w:rPr>
          <w:rFonts w:ascii="Times New Roman;sans-serif" w:hAnsi="Times New Roman;sans-serif"/>
          <w:b w:val="false"/>
          <w:color w:val="000000"/>
          <w:sz w:val="13"/>
        </w:rPr>
        <w:t>st</w:t>
      </w:r>
      <w:r>
        <w:rPr>
          <w:rFonts w:ascii="Times New Roman;sans-serif" w:hAnsi="Times New Roman;sans-serif"/>
          <w:b w:val="false"/>
          <w:color w:val="000000"/>
          <w:sz w:val="20"/>
        </w:rPr>
        <w:t xml:space="preserve">, 2023. </w:t>
      </w:r>
    </w:p>
    <w:p>
      <w:pPr>
        <w:pStyle w:val="TextBody"/>
        <w:bidi w:val="0"/>
        <w:spacing w:lineRule="auto" w:line="288" w:before="0" w:after="0"/>
        <w:ind w:left="0" w:right="0" w:hanging="811"/>
        <w:jc w:val="left"/>
        <w:rPr/>
      </w:pPr>
      <w:r>
        <w:rPr>
          <w:rFonts w:ascii="Times New Roman;sans-serif" w:hAnsi="Times New Roman;sans-serif"/>
          <w:b w:val="false"/>
          <w:color w:val="000000"/>
          <w:sz w:val="20"/>
        </w:rPr>
        <w:t>4.2.3.</w:t>
      </w:r>
      <w:r>
        <w:rPr>
          <w:color w:val="000000"/>
        </w:rPr>
        <w:t xml:space="preserve">     </w:t>
      </w:r>
      <w:r>
        <w:rPr>
          <w:rFonts w:ascii="Times New Roman;sans-serif" w:hAnsi="Times New Roman;sans-serif"/>
          <w:b w:val="false"/>
          <w:color w:val="000000"/>
          <w:sz w:val="20"/>
          <w:u w:val="single"/>
        </w:rPr>
        <w:t>Contingencies</w:t>
      </w:r>
      <w:r>
        <w:rPr>
          <w:rFonts w:ascii="Times New Roman;sans-serif" w:hAnsi="Times New Roman;sans-serif"/>
          <w:b w:val="false"/>
          <w:color w:val="000000"/>
          <w:sz w:val="20"/>
        </w:rPr>
        <w:t xml:space="preserve">: the LTI RSUs award shall be made pursuant to the 2021 Plan, the 2023 Executive Compensation Plan and the appropriate award agreement to be executed by the Employee and countersigned by Kaltura, Inc., and to the execution and delivery of all required agreements and instruments pursuant to the 2021 Plan and Kaltura, Inc.’s policies. </w:t>
      </w:r>
    </w:p>
    <w:p>
      <w:pPr>
        <w:pStyle w:val="TextBody"/>
        <w:bidi w:val="0"/>
        <w:spacing w:lineRule="auto" w:line="300" w:before="0" w:after="0"/>
        <w:ind w:left="0" w:right="0" w:hanging="360"/>
        <w:jc w:val="both"/>
        <w:rPr/>
      </w:pPr>
      <w:r>
        <w:rPr>
          <w:rFonts w:ascii="Times New Roman;sans-serif" w:hAnsi="Times New Roman;sans-serif"/>
          <w:b/>
          <w:color w:val="000000"/>
          <w:sz w:val="20"/>
          <w:u w:val="single"/>
        </w:rPr>
        <w:t>5.Miscellaneous</w:t>
      </w:r>
      <w:r>
        <w:rPr>
          <w:color w:val="000000"/>
        </w:rPr>
        <w:t xml:space="preserve"> </w:t>
      </w:r>
    </w:p>
    <w:p>
      <w:pPr>
        <w:pStyle w:val="TextBody"/>
        <w:bidi w:val="0"/>
        <w:spacing w:before="0" w:after="114"/>
        <w:jc w:val="both"/>
        <w:rPr/>
      </w:pPr>
      <w:r>
        <w:rPr/>
      </w:r>
    </w:p>
    <w:p>
      <w:pPr>
        <w:pStyle w:val="TextBody"/>
        <w:bidi w:val="0"/>
        <w:spacing w:lineRule="auto" w:line="290" w:before="0" w:after="114"/>
        <w:ind w:left="0" w:right="0" w:hanging="540"/>
        <w:jc w:val="both"/>
        <w:rPr/>
      </w:pPr>
      <w:r>
        <w:rPr>
          <w:rFonts w:ascii="Times New Roman;sans-serif" w:hAnsi="Times New Roman;sans-serif"/>
          <w:b w:val="false"/>
          <w:color w:val="000000"/>
          <w:sz w:val="20"/>
        </w:rPr>
        <w:t>5.1.</w:t>
      </w:r>
      <w:r>
        <w:rPr>
          <w:color w:val="000000"/>
        </w:rPr>
        <w:t xml:space="preserve"> </w:t>
      </w:r>
      <w:r>
        <w:rPr>
          <w:rFonts w:ascii="Times New Roman;sans-serif" w:hAnsi="Times New Roman;sans-serif"/>
          <w:b w:val="false"/>
          <w:color w:val="000000"/>
          <w:sz w:val="20"/>
        </w:rPr>
        <w:t xml:space="preserve">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 </w:t>
      </w:r>
    </w:p>
    <w:p>
      <w:pPr>
        <w:pStyle w:val="TextBody"/>
        <w:bidi w:val="0"/>
        <w:spacing w:lineRule="auto" w:line="290" w:before="0" w:after="50"/>
        <w:ind w:left="0" w:right="0" w:hanging="540"/>
        <w:jc w:val="both"/>
        <w:rPr/>
      </w:pPr>
      <w:r>
        <w:rPr>
          <w:rFonts w:ascii="Times New Roman;sans-serif" w:hAnsi="Times New Roman;sans-serif"/>
          <w:b w:val="false"/>
          <w:color w:val="000000"/>
          <w:sz w:val="20"/>
        </w:rPr>
        <w:t>5.2.</w:t>
      </w:r>
      <w:r>
        <w:rPr>
          <w:color w:val="000000"/>
        </w:rPr>
        <w:t xml:space="preserve"> </w:t>
      </w:r>
      <w:r>
        <w:rPr>
          <w:rFonts w:ascii="Times New Roman;sans-serif" w:hAnsi="Times New Roman;sans-serif"/>
          <w:b w:val="false"/>
          <w:color w:val="000000"/>
          <w:sz w:val="20"/>
        </w:rPr>
        <w:t xml:space="preserve">This Amendment may be executed in one or more counterparts, each of which shall be deemed an original, but all of which together shall constitute one and the same instrument. </w:t>
      </w:r>
    </w:p>
    <w:p>
      <w:pPr>
        <w:pStyle w:val="TextBody"/>
        <w:bidi w:val="0"/>
        <w:spacing w:lineRule="auto" w:line="290" w:before="0" w:after="50"/>
        <w:ind w:left="0" w:right="0" w:hanging="1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xml:space="preserve">, the Parties hereto have executed this Amendment as of the date first hereinabove set forth: </w:t>
      </w:r>
    </w:p>
    <w:tbl>
      <w:tblPr>
        <w:tblW w:w="611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415"/>
        <w:gridCol w:w="415"/>
        <w:gridCol w:w="595"/>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Eynav Azaria</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14"/>
        <w:ind w:left="0" w:right="0" w:hanging="10"/>
        <w:jc w:val="both"/>
        <w:rPr/>
      </w:pPr>
      <w:r>
        <w:rPr/>
      </w:r>
    </w:p>
    <w:p>
      <w:pPr>
        <w:pStyle w:val="TextBody"/>
        <w:bidi w:val="0"/>
        <w:spacing w:before="0" w:after="114"/>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1"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jc w:val="both"/>
        <w:rPr/>
      </w:pPr>
      <w:r>
        <w:rPr/>
      </w:r>
    </w:p>
    <w:p>
      <w:pPr>
        <w:pStyle w:val="TextBody"/>
        <w:bidi w:val="0"/>
        <w:spacing w:lineRule="auto" w:line="290" w:before="0" w:after="114"/>
        <w:ind w:left="0" w:right="0" w:hanging="1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w:t>
      </w:r>
    </w:p>
    <w:p>
      <w:pPr>
        <w:pStyle w:val="TextBody"/>
        <w:bidi w:val="0"/>
        <w:spacing w:lineRule="auto" w:line="290" w:before="0" w:after="114"/>
        <w:ind w:left="0" w:right="0" w:hanging="10"/>
        <w:jc w:val="center"/>
        <w:rPr>
          <w:rFonts w:ascii="Times New Roman;sans-serif" w:hAnsi="Times New Roman;sans-serif"/>
          <w:b/>
          <w:color w:val="000000"/>
          <w:sz w:val="22"/>
        </w:rPr>
      </w:pPr>
      <w:r>
        <w:rPr>
          <w:rFonts w:ascii="Times New Roman;sans-serif" w:hAnsi="Times New Roman;sans-serif"/>
          <w:b/>
          <w:color w:val="000000"/>
          <w:sz w:val="22"/>
        </w:rPr>
        <w:t>of the</w:t>
      </w:r>
    </w:p>
    <w:p>
      <w:pPr>
        <w:pStyle w:val="TextBody"/>
        <w:bidi w:val="0"/>
        <w:spacing w:lineRule="auto" w:line="290" w:before="0" w:after="114"/>
        <w:ind w:left="0" w:right="0" w:hanging="1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Employment Agreement</w:t>
      </w:r>
    </w:p>
    <w:p>
      <w:pPr>
        <w:pStyle w:val="TextBody"/>
        <w:bidi w:val="0"/>
        <w:spacing w:before="60" w:after="283"/>
        <w:jc w:val="both"/>
        <w:rPr/>
      </w:pPr>
      <w:r>
        <w:rPr/>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This AMENDMENT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to that certain individual Employment Agreement (as defined below), is made and entered into this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of February, 2024, by and between </w:t>
      </w:r>
      <w:r>
        <w:rPr>
          <w:rFonts w:ascii="Times New Roman;sans-serif" w:hAnsi="Times New Roman;sans-serif"/>
          <w:b/>
          <w:color w:val="000000"/>
          <w:sz w:val="22"/>
        </w:rPr>
        <w:t>Kaltura Ltd.</w:t>
      </w:r>
      <w:r>
        <w:rPr>
          <w:rFonts w:ascii="Times New Roman;sans-serif" w:hAnsi="Times New Roman;sans-serif"/>
          <w:b w:val="false"/>
          <w:color w:val="000000"/>
          <w:sz w:val="22"/>
        </w:rPr>
        <w:t>, a company organized under the laws of the State of Israel and having an office and principal place of business at Allied Tower, 9 Ben-Gurion Road, Bnei-Brak, Israel 5126014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xml:space="preserve">) and Mr. </w:t>
      </w:r>
      <w:r>
        <w:rPr>
          <w:rFonts w:ascii="Times New Roman;sans-serif" w:hAnsi="Times New Roman;sans-serif"/>
          <w:b/>
          <w:color w:val="000000"/>
          <w:sz w:val="22"/>
        </w:rPr>
        <w:t>Eynav (Navi) Azaria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Employee</w:t>
      </w:r>
      <w:r>
        <w:rPr>
          <w:color w:val="000000"/>
        </w:rPr>
        <w:t>”</w:t>
      </w:r>
      <w:r>
        <w:rPr>
          <w:rFonts w:ascii="Times New Roman;sans-serif" w:hAnsi="Times New Roman;sans-serif"/>
          <w:b w:val="false"/>
          <w:color w:val="000000"/>
          <w:sz w:val="22"/>
        </w:rPr>
        <w:t>).</w:t>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Each of the above is referred to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referred to as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before="60" w:after="283"/>
        <w:jc w:val="both"/>
        <w:rPr/>
      </w:pPr>
      <w:r>
        <w:rPr/>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have entered into an individual employment agreement dated December 22, 2020, in connection with the Employee’s employment by the Company, as from time to time amended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2"/>
        </w:rPr>
        <w:t>Employment Agreement</w:t>
      </w:r>
      <w:r>
        <w:rPr>
          <w:color w:val="000000"/>
        </w:rPr>
        <w:t>”</w:t>
      </w:r>
      <w:r>
        <w:rPr>
          <w:rFonts w:ascii="Times New Roman;sans-serif" w:hAnsi="Times New Roman;sans-serif"/>
          <w:b w:val="false"/>
          <w:color w:val="000000"/>
          <w:sz w:val="22"/>
        </w:rPr>
        <w:t>); and</w:t>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wish to amend the Employment Agreement in accordance with the terms herewith;</w:t>
      </w:r>
    </w:p>
    <w:p>
      <w:pPr>
        <w:pStyle w:val="TextBody"/>
        <w:bidi w:val="0"/>
        <w:spacing w:before="60" w:after="283"/>
        <w:jc w:val="both"/>
        <w:rPr/>
      </w:pPr>
      <w:r>
        <w:rPr/>
      </w:r>
    </w:p>
    <w:p>
      <w:pPr>
        <w:pStyle w:val="TextBody"/>
        <w:bidi w:val="0"/>
        <w:spacing w:lineRule="auto" w:line="240" w:before="60" w:after="283"/>
        <w:ind w:left="0" w:right="0" w:firstLine="357"/>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mutual agreements and covenants contained in this Amendment and other good and valuable consideration (the receipt and adequacy of which are hereby mutually acknowledged), each of the Parties hereby agree as follows:</w:t>
      </w:r>
    </w:p>
    <w:p>
      <w:pPr>
        <w:pStyle w:val="TextBody"/>
        <w:bidi w:val="0"/>
        <w:spacing w:before="0" w:after="114"/>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Definitions and Interpretation</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1.1.Capitalized terms used but not otherwise defined herein having the respective meanings set forth in the Employment Agreement. All capitalized terms used but not defined hereinabove or in the Employment Agreement, shall have the meaning ascribed for then as in the recitals or as hereinbelow defined.</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1.2.The preface to this Amendment constitutes an indivisible and integral part thereof.</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1.3.The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pStyle w:val="TextBody"/>
        <w:bidi w:val="0"/>
        <w:spacing w:before="0" w:after="114"/>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Bonus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2.1.The Employee’s entitlement to an annual Bonus for the calendar year of 2024 shall be determined, for such year only, on the basis of the Employee’s and Kaltura Inc. (the “</w:t>
      </w:r>
      <w:r>
        <w:rPr>
          <w:rFonts w:ascii="Times New Roman;sans-serif" w:hAnsi="Times New Roman;sans-serif"/>
          <w:b/>
          <w:color w:val="000000"/>
          <w:sz w:val="22"/>
        </w:rPr>
        <w:t>US Parent</w:t>
      </w:r>
      <w:r>
        <w:rPr>
          <w:color w:val="000000"/>
        </w:rPr>
        <w:t>”</w:t>
      </w:r>
      <w:r>
        <w:rPr>
          <w:rFonts w:ascii="Times New Roman;sans-serif" w:hAnsi="Times New Roman;sans-serif"/>
          <w:b w:val="false"/>
          <w:color w:val="000000"/>
          <w:sz w:val="22"/>
        </w:rPr>
        <w:t xml:space="preserve">) attainment of certain goals and objectives defined by the US Parent, which are set forth in the Employee’s annual bonus plan according to US Parent’s 2024 Executive Compensation Plan as approved by the its Compensation Committee on or about February 14, 2024, a summary of which is enclosed as </w:t>
      </w:r>
      <w:r>
        <w:rPr>
          <w:rFonts w:ascii="Times New Roman;sans-serif" w:hAnsi="Times New Roman;sans-serif"/>
          <w:b/>
          <w:color w:val="000000"/>
          <w:sz w:val="22"/>
          <w:u w:val="single"/>
        </w:rPr>
        <w:t>Annex A</w:t>
      </w:r>
      <w:r>
        <w:rPr>
          <w:color w:val="000000"/>
        </w:rPr>
        <w:t xml:space="preserve"> </w:t>
      </w:r>
      <w:r>
        <w:rPr>
          <w:rFonts w:ascii="Times New Roman;sans-serif" w:hAnsi="Times New Roman;sans-serif"/>
          <w:b w:val="false"/>
          <w:color w:val="000000"/>
          <w:sz w:val="22"/>
        </w:rPr>
        <w:t>hereof (the “</w:t>
      </w:r>
      <w:r>
        <w:rPr>
          <w:rFonts w:ascii="Times New Roman;sans-serif" w:hAnsi="Times New Roman;sans-serif"/>
          <w:b/>
          <w:color w:val="000000"/>
          <w:sz w:val="22"/>
        </w:rPr>
        <w:t>2024 Executive Compensation Plan</w:t>
      </w:r>
      <w:r>
        <w:rPr>
          <w:color w:val="000000"/>
        </w:rPr>
        <w:t>”</w:t>
      </w:r>
      <w:r>
        <w:rPr>
          <w:rFonts w:ascii="Times New Roman;sans-serif" w:hAnsi="Times New Roman;sans-serif"/>
          <w:b w:val="false"/>
          <w:color w:val="000000"/>
          <w:sz w:val="22"/>
        </w:rPr>
        <w:t>).</w:t>
      </w:r>
    </w:p>
    <w:p>
      <w:pPr>
        <w:pStyle w:val="TextBody"/>
        <w:bidi w:val="0"/>
        <w:spacing w:lineRule="auto" w:line="290" w:before="120" w:after="114"/>
        <w:ind w:left="0" w:right="0" w:hanging="10"/>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subject to the successive Subsections of this Section 2, the 2024 annual Bonus shall be as follows: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2.1.1.The potential maximum annual Bonus with respect to 100% attainment, satisfaction and performance against the 2024 Executive Compensation Plan’s targets and thresholds (namely, Individual Objectives and Company Financial Goals KPIs and OKRs) as elaborated in the 2024 Executive Compensation Plan, shall equal the gross amount of USD </w:t>
      </w:r>
      <w:r>
        <w:rPr>
          <w:rFonts w:ascii="Times New Roman;sans-serif" w:hAnsi="Times New Roman;sans-serif"/>
          <w:b/>
          <w:color w:val="000000"/>
          <w:sz w:val="22"/>
        </w:rPr>
        <w:t>309,000</w:t>
      </w:r>
      <w:r>
        <w:rPr>
          <w:color w:val="000000"/>
        </w:rPr>
        <w:t xml:space="preserve"> </w:t>
      </w:r>
      <w:r>
        <w:rPr>
          <w:rFonts w:ascii="Times New Roman;sans-serif" w:hAnsi="Times New Roman;sans-serif"/>
          <w:b w:val="false"/>
          <w:color w:val="000000"/>
          <w:sz w:val="22"/>
        </w:rPr>
        <w:t>(herein, the “</w:t>
      </w:r>
      <w:r>
        <w:rPr>
          <w:rFonts w:ascii="Times New Roman;sans-serif" w:hAnsi="Times New Roman;sans-serif"/>
          <w:b/>
          <w:color w:val="000000"/>
          <w:sz w:val="22"/>
        </w:rPr>
        <w:t>Base OTB</w:t>
      </w:r>
      <w:r>
        <w:rPr>
          <w:color w:val="000000"/>
        </w:rPr>
        <w:t>”</w:t>
      </w:r>
      <w:r>
        <w:rPr>
          <w:rFonts w:ascii="Times New Roman;sans-serif" w:hAnsi="Times New Roman;sans-serif"/>
          <w:b w:val="false"/>
          <w:color w:val="000000"/>
          <w:sz w:val="22"/>
        </w:rPr>
        <w:t>).</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2.1.2.The potential maximum annual Additional Stretch Bonus for overachievement against such goals (&gt;100%), shall equal the gross amount of USD </w:t>
      </w:r>
      <w:r>
        <w:rPr>
          <w:rFonts w:ascii="Times New Roman;sans-serif" w:hAnsi="Times New Roman;sans-serif"/>
          <w:b/>
          <w:color w:val="000000"/>
          <w:sz w:val="22"/>
        </w:rPr>
        <w:t>116,000</w:t>
      </w:r>
      <w:r>
        <w:rPr>
          <w:color w:val="000000"/>
        </w:rPr>
        <w:t xml:space="preserve"> </w:t>
      </w:r>
      <w:r>
        <w:rPr>
          <w:rFonts w:ascii="Times New Roman;sans-serif" w:hAnsi="Times New Roman;sans-serif"/>
          <w:b w:val="false"/>
          <w:color w:val="000000"/>
          <w:sz w:val="22"/>
        </w:rPr>
        <w:t>(based on overstretch bonus of 137.5% of Base OTB).</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2.2.Notwithstanding anything to the contrary in the Employment Agreement or any other agreements, arrangements, undertakings, obligations, representations, warranties and/or understandings, either oral, in writing or otherwise, relating to the Employee’s employment and/or grant of services and/or any other engagement, entered into between the Parties, the monetary value of the Base OTB to which the Employee shall be entitled under the 2024 Executive Compensation Plan up to 100% attainment, shall be granted in the form of up to </w:t>
      </w:r>
      <w:r>
        <w:rPr>
          <w:rFonts w:ascii="Times New Roman;sans-serif" w:hAnsi="Times New Roman;sans-serif"/>
          <w:b/>
          <w:color w:val="000000"/>
          <w:sz w:val="22"/>
        </w:rPr>
        <w:t>172,000</w:t>
      </w:r>
      <w:r>
        <w:rPr>
          <w:color w:val="000000"/>
        </w:rPr>
        <w:t xml:space="preserve"> </w:t>
      </w:r>
      <w:r>
        <w:rPr>
          <w:rFonts w:ascii="Times New Roman;sans-serif" w:hAnsi="Times New Roman;sans-serif"/>
          <w:b w:val="false"/>
          <w:color w:val="000000"/>
          <w:sz w:val="22"/>
        </w:rPr>
        <w:t>Restricted Stock Units (as defined in the 2021 Kaltura, Inc. Incentive Award Plan and Israeli Sub-Plan; together, the “</w:t>
      </w:r>
      <w:r>
        <w:rPr>
          <w:rFonts w:ascii="Times New Roman;sans-serif" w:hAnsi="Times New Roman;sans-serif"/>
          <w:b/>
          <w:color w:val="000000"/>
          <w:sz w:val="22"/>
        </w:rPr>
        <w:t>2021 Plan</w:t>
      </w:r>
      <w:r>
        <w:rPr>
          <w:color w:val="000000"/>
        </w:rPr>
        <w:t>”</w:t>
      </w:r>
      <w:r>
        <w:rPr>
          <w:rFonts w:ascii="Times New Roman;sans-serif" w:hAnsi="Times New Roman;sans-serif"/>
          <w:b w:val="false"/>
          <w:color w:val="000000"/>
          <w:sz w:val="22"/>
        </w:rPr>
        <w:t>), to be settled in shares in accordance with the calculation and vesting terms set forth in the 2024 Executive Compensation Plan (the “</w:t>
      </w:r>
      <w:r>
        <w:rPr>
          <w:rFonts w:ascii="Times New Roman;sans-serif" w:hAnsi="Times New Roman;sans-serif"/>
          <w:b/>
          <w:color w:val="000000"/>
          <w:sz w:val="22"/>
        </w:rPr>
        <w:t>MBO RSUs</w:t>
      </w:r>
      <w:r>
        <w:rPr>
          <w:color w:val="000000"/>
        </w:rPr>
        <w:t>”</w:t>
      </w:r>
      <w:r>
        <w:rPr>
          <w:rFonts w:ascii="Times New Roman;sans-serif" w:hAnsi="Times New Roman;sans-serif"/>
          <w:b w:val="false"/>
          <w:color w:val="000000"/>
          <w:sz w:val="22"/>
        </w:rPr>
        <w:t>), while any excess entitlement earned by the Employee for MBO overachievement up to the maximum Annual Additional Stretch Bonus (i.e., &gt;100% attainment of the applicable goals under the 2024 Executive Compensation Plan) will be paid in cash in accordance with the entitlement and payment terms set forth under the 2024 Executive Compensation Plan.</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2.3.Except as set forth in this Amendment for the 2024 annual Bonus, the Employee’s entitlement to annual Bonus and Additional Stretch Bonus shall be determined, for each subsequent calendar year, on the basis of the attainment of certain financial and operational metrics set by Kaltura, Inc.’s Board of Directors or Compensation Committee. </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2.4.All Bonus payments, if any, shall be subject to all mandatory withholdings and deductions, and shall be deemed to be quoted in gross figures. In addition, all Bonus payments in currencies other than US Dollar (for 2024, the Additional Stretch Bonus payment) will be adjusted in accordance with the specific payment currency and US Dollar exchange rate that shall prevail as of the payment calculation date in accordance with the Company’s policies and procedures.</w:t>
      </w:r>
    </w:p>
    <w:p>
      <w:pPr>
        <w:pStyle w:val="TextBody"/>
        <w:bidi w:val="0"/>
        <w:spacing w:before="0" w:after="114"/>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MBO RSUs Terms of Grant</w:t>
      </w:r>
    </w:p>
    <w:p>
      <w:pPr>
        <w:pStyle w:val="TextBody"/>
        <w:bidi w:val="0"/>
        <w:spacing w:lineRule="auto" w:line="290" w:before="120" w:after="114"/>
        <w:ind w:left="0" w:right="0" w:hanging="1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terms and provisions of the 2021 Plan, the 2024 Executive Compensation Plan and the applicable Award Agreement, the MBO RSUs (if and to the Extent the Employee shall be entitled to such) shall be subject to the following:</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3.1.</w:t>
      </w:r>
      <w:r>
        <w:rPr>
          <w:rFonts w:ascii="Times New Roman;sans-serif" w:hAnsi="Times New Roman;sans-serif"/>
          <w:b w:val="false"/>
          <w:color w:val="000000"/>
          <w:sz w:val="22"/>
          <w:u w:val="single"/>
        </w:rPr>
        <w:t>Grant Date</w:t>
      </w:r>
      <w:r>
        <w:rPr>
          <w:rFonts w:ascii="Times New Roman;sans-serif" w:hAnsi="Times New Roman;sans-serif"/>
          <w:b w:val="false"/>
          <w:color w:val="000000"/>
          <w:sz w:val="22"/>
        </w:rPr>
        <w:t>: effective as of the effective date of the Compensation Committee’s approval of the 2024 Executive Compensation Plan, namely, February 14, 2024.</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3.2.</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xml:space="preserve">: Up to the maximum number of the MBO RSUs that were granted to the Employee will be eligible to vest in accordance with the satisfaction and performance against the 2024 Executive Compensation Plan’s targets and thresholds (namely, Individual Objectives and Company Financial Goals KPIs and OKRs), upon and subject to the eligibility of the Employee to the cash payment of the Annual Bonus but for the conversion thereof to MBO RSUs which shall be determined following the approval of the final audited results for FY-2024 (no later than March payroll), </w:t>
      </w:r>
      <w:r>
        <w:rPr>
          <w:rFonts w:ascii="Times New Roman;sans-serif" w:hAnsi="Times New Roman;sans-serif"/>
          <w:b w:val="false"/>
          <w:i/>
          <w:color w:val="000000"/>
          <w:sz w:val="22"/>
        </w:rPr>
        <w:t>subject, however</w:t>
      </w:r>
      <w:r>
        <w:rPr>
          <w:rFonts w:ascii="Times New Roman;sans-serif" w:hAnsi="Times New Roman;sans-serif"/>
          <w:b w:val="false"/>
          <w:color w:val="000000"/>
          <w:sz w:val="22"/>
        </w:rPr>
        <w:t>, to the continued employment of the Employee through December 31, 2024.</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3.3.</w:t>
      </w:r>
      <w:r>
        <w:rPr>
          <w:rFonts w:ascii="Times New Roman;sans-serif" w:hAnsi="Times New Roman;sans-serif"/>
          <w:b w:val="false"/>
          <w:color w:val="000000"/>
          <w:sz w:val="22"/>
          <w:u w:val="single"/>
        </w:rPr>
        <w:t>Contingencies</w:t>
      </w:r>
      <w:r>
        <w:rPr>
          <w:rFonts w:ascii="Times New Roman;sans-serif" w:hAnsi="Times New Roman;sans-serif"/>
          <w:b w:val="false"/>
          <w:color w:val="000000"/>
          <w:sz w:val="22"/>
        </w:rPr>
        <w:t>: the MBO RSUs award shall be made pursuant to the 2021 Plan, the 2024 Executive Compensation Plan and the appropriate award agreement to be executed by the Employee and countersigned by Kaltura, Inc., and to the execution and delivery of all required agreements and instruments pursuant to the 2021 Plan and Kaltura, Inc.’s policies.</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3.4.All other terms of grant as set forth in the 2024 Executive Compensation Plan and the Company’s Award Documents.</w:t>
      </w:r>
    </w:p>
    <w:p>
      <w:pPr>
        <w:pStyle w:val="TextBody"/>
        <w:bidi w:val="0"/>
        <w:spacing w:before="0" w:after="114"/>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Additional Benefits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4.1.Subject to the approval of the Compensation Committee of the Board of Directors of Kaltura, Inc., and the Employee’s continued employment by the Company through the applicable vesting date, the Company anticipates granting the Employee </w:t>
      </w:r>
      <w:r>
        <w:rPr>
          <w:rFonts w:ascii="Times New Roman;sans-serif" w:hAnsi="Times New Roman;sans-serif"/>
          <w:b/>
          <w:color w:val="000000"/>
          <w:sz w:val="22"/>
        </w:rPr>
        <w:t>768,000</w:t>
      </w:r>
      <w:r>
        <w:rPr>
          <w:color w:val="000000"/>
        </w:rPr>
        <w:t xml:space="preserve"> </w:t>
      </w:r>
      <w:r>
        <w:rPr>
          <w:rFonts w:ascii="Times New Roman;sans-serif" w:hAnsi="Times New Roman;sans-serif"/>
          <w:b w:val="false"/>
          <w:color w:val="000000"/>
          <w:sz w:val="22"/>
        </w:rPr>
        <w:t>RSUs as stipulated in the 2024 Executive Compensation Plan (herein, “</w:t>
      </w:r>
      <w:r>
        <w:rPr>
          <w:rFonts w:ascii="Times New Roman;sans-serif" w:hAnsi="Times New Roman;sans-serif"/>
          <w:b/>
          <w:color w:val="000000"/>
          <w:sz w:val="22"/>
        </w:rPr>
        <w:t>LTI RSUs</w:t>
      </w:r>
      <w:r>
        <w:rPr>
          <w:color w:val="000000"/>
        </w:rPr>
        <w:t>”</w:t>
      </w:r>
      <w:r>
        <w:rPr>
          <w:rFonts w:ascii="Times New Roman;sans-serif" w:hAnsi="Times New Roman;sans-serif"/>
          <w:b w:val="false"/>
          <w:color w:val="000000"/>
          <w:sz w:val="22"/>
        </w:rPr>
        <w:t>).</w:t>
      </w:r>
      <w:r>
        <w:br w:type="page"/>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4.2.The LTI RSUs, if awarded, will be governed by the terms and conditions of the Company’s 2021 Plan, the respective provisions of the 2024 Executive Compensation Plan and applicable award agreements.</w:t>
      </w:r>
    </w:p>
    <w:p>
      <w:pPr>
        <w:pStyle w:val="TextBody"/>
        <w:bidi w:val="0"/>
        <w:spacing w:lineRule="auto" w:line="290" w:before="120" w:after="114"/>
        <w:ind w:left="0" w:right="0" w:hanging="1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above, if and to the extent the Employee shall be granted LTI RSUs, then the grant thereof shall be subject to the following:</w:t>
      </w:r>
    </w:p>
    <w:p>
      <w:pPr>
        <w:pStyle w:val="TextBody"/>
        <w:bidi w:val="0"/>
        <w:spacing w:lineRule="auto" w:line="240" w:before="120" w:after="283"/>
        <w:ind w:left="0" w:right="0" w:hanging="810"/>
        <w:jc w:val="both"/>
        <w:rPr/>
      </w:pPr>
      <w:r>
        <w:rPr>
          <w:rFonts w:ascii="Times New Roman;sans-serif" w:hAnsi="Times New Roman;sans-serif"/>
          <w:b w:val="false"/>
          <w:color w:val="000000"/>
          <w:sz w:val="22"/>
        </w:rPr>
        <w:t>4.2.1.</w:t>
      </w:r>
      <w:r>
        <w:rPr>
          <w:rFonts w:ascii="Times New Roman;sans-serif" w:hAnsi="Times New Roman;sans-serif"/>
          <w:b w:val="false"/>
          <w:color w:val="000000"/>
          <w:sz w:val="22"/>
          <w:u w:val="single"/>
        </w:rPr>
        <w:t>Grant Date</w:t>
      </w:r>
      <w:r>
        <w:rPr>
          <w:rFonts w:ascii="Times New Roman;sans-serif" w:hAnsi="Times New Roman;sans-serif"/>
          <w:b w:val="false"/>
          <w:color w:val="000000"/>
          <w:sz w:val="22"/>
        </w:rPr>
        <w:t>: effective as of the effective date of the Compensation Committee’s approval of the 2024 Executive Compensation Plan, namely, February 14, 2024.</w:t>
      </w:r>
    </w:p>
    <w:p>
      <w:pPr>
        <w:pStyle w:val="TextBody"/>
        <w:bidi w:val="0"/>
        <w:spacing w:lineRule="auto" w:line="240" w:before="120" w:after="283"/>
        <w:ind w:left="0" w:right="0" w:hanging="810"/>
        <w:jc w:val="both"/>
        <w:rPr/>
      </w:pPr>
      <w:r>
        <w:rPr>
          <w:rFonts w:ascii="Times New Roman;sans-serif" w:hAnsi="Times New Roman;sans-serif"/>
          <w:b w:val="false"/>
          <w:color w:val="000000"/>
          <w:sz w:val="22"/>
        </w:rPr>
        <w:t>4.2.2.</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Three-year quarterly, commencing retroactively from January 1</w:t>
      </w:r>
      <w:r>
        <w:rPr>
          <w:rFonts w:ascii="Times New Roman;sans-serif" w:hAnsi="Times New Roman;sans-serif"/>
          <w:b w:val="false"/>
          <w:color w:val="000000"/>
          <w:sz w:val="14"/>
        </w:rPr>
        <w:t>st</w:t>
      </w:r>
      <w:r>
        <w:rPr>
          <w:rFonts w:ascii="Times New Roman;sans-serif" w:hAnsi="Times New Roman;sans-serif"/>
          <w:b w:val="false"/>
          <w:color w:val="000000"/>
          <w:sz w:val="22"/>
        </w:rPr>
        <w:t>, 2024.</w:t>
      </w:r>
    </w:p>
    <w:p>
      <w:pPr>
        <w:pStyle w:val="TextBody"/>
        <w:bidi w:val="0"/>
        <w:spacing w:lineRule="auto" w:line="240" w:before="120" w:after="283"/>
        <w:ind w:left="0" w:right="0" w:hanging="810"/>
        <w:jc w:val="both"/>
        <w:rPr/>
      </w:pPr>
      <w:r>
        <w:rPr>
          <w:rFonts w:ascii="Times New Roman;sans-serif" w:hAnsi="Times New Roman;sans-serif"/>
          <w:b w:val="false"/>
          <w:color w:val="000000"/>
          <w:sz w:val="22"/>
        </w:rPr>
        <w:t>4.2.3.</w:t>
      </w:r>
      <w:r>
        <w:rPr>
          <w:rFonts w:ascii="Times New Roman;sans-serif" w:hAnsi="Times New Roman;sans-serif"/>
          <w:b w:val="false"/>
          <w:color w:val="000000"/>
          <w:sz w:val="22"/>
          <w:u w:val="single"/>
        </w:rPr>
        <w:t>Contingencies</w:t>
      </w:r>
      <w:r>
        <w:rPr>
          <w:rFonts w:ascii="Times New Roman;sans-serif" w:hAnsi="Times New Roman;sans-serif"/>
          <w:b w:val="false"/>
          <w:color w:val="000000"/>
          <w:sz w:val="22"/>
        </w:rPr>
        <w:t>: the LTI RSUs award shall be made pursuant to the 2021 Plan, the 2024 Executive Compensation Plan and the appropriate award agreement to be executed by the Employee and countersigned by Kaltura, Inc., and to the execution and delivery of all required agreements and instruments pursuant to the 2021 Plan and Kaltura, Inc.’s policies.</w:t>
      </w:r>
    </w:p>
    <w:p>
      <w:pPr>
        <w:pStyle w:val="TextBody"/>
        <w:bidi w:val="0"/>
        <w:spacing w:before="0" w:after="114"/>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Miscellaneous</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5.1.The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5.2.This Amendment may be executed in one or more counterparts, each of which shall be deemed an original, but all of which together shall constitute one and the same instrument.</w:t>
      </w:r>
    </w:p>
    <w:p>
      <w:pPr>
        <w:pStyle w:val="TextBody"/>
        <w:bidi w:val="0"/>
        <w:spacing w:before="60" w:after="283"/>
        <w:jc w:val="both"/>
        <w:rPr/>
      </w:pPr>
      <w:r>
        <w:rPr/>
      </w:r>
    </w:p>
    <w:p>
      <w:pPr>
        <w:pStyle w:val="TextBody"/>
        <w:bidi w:val="0"/>
        <w:spacing w:lineRule="auto" w:line="240" w:before="60" w:after="283"/>
        <w:jc w:val="both"/>
        <w:rPr/>
      </w:pPr>
      <w:r>
        <w:rPr>
          <w:color w:val="000000"/>
        </w:rPr>
        <w:t>    </w:t>
      </w: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executed this Amendment as of the date first hereinabove set forth:</w:t>
      </w:r>
    </w:p>
    <w:p>
      <w:pPr>
        <w:pStyle w:val="TextBody"/>
        <w:bidi w:val="0"/>
        <w:spacing w:before="60" w:after="283"/>
        <w:jc w:val="both"/>
        <w:rPr/>
      </w:pPr>
      <w:r>
        <w:rPr/>
      </w:r>
    </w:p>
    <w:p>
      <w:pPr>
        <w:pStyle w:val="TextBody"/>
        <w:bidi w:val="0"/>
        <w:spacing w:before="60" w:after="283"/>
        <w:jc w:val="both"/>
        <w:rPr/>
      </w:pPr>
      <w:r>
        <w:rPr/>
      </w:r>
    </w:p>
    <w:tbl>
      <w:tblPr>
        <w:tblW w:w="5339" w:type="dxa"/>
        <w:jc w:val="left"/>
        <w:tblInd w:w="0" w:type="dxa"/>
        <w:tblLayout w:type="fixed"/>
        <w:tblCellMar>
          <w:top w:w="28" w:type="dxa"/>
          <w:left w:w="28" w:type="dxa"/>
          <w:bottom w:w="28" w:type="dxa"/>
          <w:right w:w="28" w:type="dxa"/>
        </w:tblCellMar>
      </w:tblPr>
      <w:tblGrid>
        <w:gridCol w:w="234"/>
        <w:gridCol w:w="205"/>
        <w:gridCol w:w="205"/>
        <w:gridCol w:w="915"/>
        <w:gridCol w:w="915"/>
        <w:gridCol w:w="825"/>
        <w:gridCol w:w="109"/>
        <w:gridCol w:w="109"/>
        <w:gridCol w:w="109"/>
        <w:gridCol w:w="156"/>
        <w:gridCol w:w="156"/>
        <w:gridCol w:w="156"/>
        <w:gridCol w:w="361"/>
        <w:gridCol w:w="361"/>
        <w:gridCol w:w="52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299"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0"/>
              </w:rPr>
            </w:pPr>
            <w:r>
              <w:rPr>
                <w:rFonts w:ascii="Times New Roman;sans-serif" w:hAnsi="Times New Roman;sans-serif"/>
                <w:b/>
                <w:color w:val="000000"/>
                <w:sz w:val="20"/>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32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Eynav Azaria</w:t>
            </w:r>
          </w:p>
        </w:tc>
      </w:tr>
      <w:tr>
        <w:trPr/>
        <w:tc>
          <w:tcPr>
            <w:tcW w:w="644"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5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before="0" w:after="114"/>
        <w:ind w:left="0" w:right="0" w:hanging="10"/>
        <w:jc w:val="both"/>
        <w:rPr/>
      </w:pPr>
      <w:r>
        <w:rPr/>
      </w:r>
    </w:p>
    <w:p>
      <w:pPr>
        <w:pStyle w:val="TextBody"/>
        <w:bidi w:val="0"/>
        <w:spacing w:lineRule="auto" w:line="290" w:before="0" w:after="114"/>
        <w:ind w:left="0" w:right="0" w:hanging="10"/>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ind w:left="0" w:right="0" w:hanging="10"/>
        <w:jc w:val="center"/>
        <w:rPr/>
      </w:pPr>
      <w:r>
        <w:rPr>
          <w:rFonts w:ascii="Times New Roman;sans-serif" w:hAnsi="Times New Roman;sans-serif"/>
          <w:b/>
          <w:color w:val="000000"/>
          <w:sz w:val="20"/>
          <w:u w:val="single"/>
        </w:rPr>
        <w:t>EMPLOYMENT AGREEMENT</w:t>
      </w:r>
      <w:r>
        <w:rPr>
          <w:color w:val="000000"/>
        </w:rPr>
        <w:t xml:space="preserve"> </w:t>
      </w:r>
    </w:p>
    <w:p>
      <w:pPr>
        <w:pStyle w:val="TextBody"/>
        <w:bidi w:val="0"/>
        <w:spacing w:before="0" w:after="8"/>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lineRule="auto" w:line="288" w:before="0" w:after="113"/>
        <w:ind w:left="0" w:right="0" w:hanging="10"/>
        <w:jc w:val="both"/>
        <w:rPr/>
      </w:pPr>
      <w:r>
        <w:rPr>
          <w:rFonts w:ascii="Times New Roman;sans-serif" w:hAnsi="Times New Roman;sans-serif"/>
          <w:b/>
          <w:color w:val="000000"/>
          <w:sz w:val="20"/>
        </w:rPr>
        <w:t>This</w:t>
      </w:r>
      <w:r>
        <w:rPr>
          <w:color w:val="000000"/>
        </w:rPr>
        <w:t xml:space="preserve"> </w:t>
      </w:r>
      <w:r>
        <w:rPr>
          <w:rFonts w:ascii="Times New Roman;sans-serif" w:hAnsi="Times New Roman;sans-serif"/>
          <w:b/>
          <w:color w:val="000000"/>
          <w:sz w:val="20"/>
        </w:rPr>
        <w:t>Employment Agreement</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Employment Agreement</w:t>
      </w:r>
      <w:r>
        <w:rPr>
          <w:color w:val="000000"/>
        </w:rPr>
        <w:t>”</w:t>
      </w:r>
      <w:r>
        <w:rPr>
          <w:rFonts w:ascii="Times New Roman;sans-serif" w:hAnsi="Times New Roman;sans-serif"/>
          <w:b w:val="false"/>
          <w:color w:val="000000"/>
          <w:sz w:val="20"/>
        </w:rPr>
        <w:t>) is made as of November 26,</w:t>
      </w:r>
      <w:r>
        <w:rPr>
          <w:color w:val="2E74B5"/>
        </w:rPr>
        <w:t xml:space="preserve"> </w:t>
      </w:r>
      <w:r>
        <w:rPr>
          <w:rFonts w:ascii="Times New Roman;sans-serif" w:hAnsi="Times New Roman;sans-serif"/>
          <w:b w:val="false"/>
          <w:color w:val="000000"/>
          <w:sz w:val="20"/>
        </w:rPr>
        <w:t xml:space="preserve">2020 by and between </w:t>
      </w:r>
    </w:p>
    <w:p>
      <w:pPr>
        <w:pStyle w:val="TextBody"/>
        <w:bidi w:val="0"/>
        <w:spacing w:lineRule="auto" w:line="283" w:before="0" w:after="235"/>
        <w:ind w:left="0" w:right="0" w:hanging="10"/>
        <w:jc w:val="left"/>
        <w:rPr/>
      </w:pPr>
      <w:r>
        <w:rPr>
          <w:rFonts w:ascii="Times New Roman;sans-serif" w:hAnsi="Times New Roman;sans-serif"/>
          <w:b/>
          <w:color w:val="000000"/>
          <w:sz w:val="20"/>
        </w:rPr>
        <w:t>Kaltura Ltd.</w:t>
      </w:r>
      <w:r>
        <w:rPr>
          <w:rFonts w:ascii="Times New Roman;sans-serif" w:hAnsi="Times New Roman;sans-serif"/>
          <w:b w:val="false"/>
          <w:color w:val="000000"/>
          <w:sz w:val="20"/>
        </w:rPr>
        <w:t>, Company Number 5-1391737-7, an Israeli company, having its principal place of business at 2 Shoham St. Ramat Gan, Israel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and Natan Israeli holder of an Israeli ID number 029075066 (the “</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13"/>
        <w:ind w:left="0" w:right="0" w:hanging="1905"/>
        <w:jc w:val="both"/>
        <w:rPr/>
      </w:pPr>
      <w:r>
        <w:rPr>
          <w:rFonts w:ascii="Times New Roman;sans-serif" w:hAnsi="Times New Roman;sans-serif"/>
          <w:b/>
          <w:i/>
          <w:color w:val="000000"/>
          <w:sz w:val="20"/>
        </w:rPr>
        <w:t>WHEREAS</w:t>
      </w:r>
      <w:r>
        <w:rPr>
          <w:rFonts w:ascii="Times New Roman;sans-serif" w:hAnsi="Times New Roman;sans-serif"/>
          <w:b w:val="false"/>
          <w:color w:val="000000"/>
          <w:sz w:val="20"/>
        </w:rPr>
        <w:t>,     the Company wishes to employ the Employee, and the Employee agrees to be employed by the Company, as</w:t>
      </w:r>
      <w:r>
        <w:rPr>
          <w:rFonts w:ascii="Calibri;sans-serif" w:hAnsi="Calibri;sans-serif"/>
          <w:b w:val="false"/>
          <w:color w:val="000000"/>
          <w:sz w:val="20"/>
        </w:rPr>
        <w:t>, 11/26/2020</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xml:space="preserve">) and throughout the Term (as such term is defined below), all in accordance with the terms and conditions set forth in this Employment Agreement; and </w:t>
      </w:r>
    </w:p>
    <w:p>
      <w:pPr>
        <w:pStyle w:val="TextBody"/>
        <w:bidi w:val="0"/>
        <w:spacing w:lineRule="auto" w:line="288" w:before="0" w:after="113"/>
        <w:ind w:left="0" w:right="0" w:hanging="1905"/>
        <w:jc w:val="both"/>
        <w:rPr>
          <w:rFonts w:ascii="Times New Roman;sans-serif" w:hAnsi="Times New Roman;sans-serif"/>
          <w:b/>
          <w:i/>
          <w:color w:val="000000"/>
          <w:sz w:val="20"/>
        </w:rPr>
      </w:pPr>
      <w:r>
        <w:rPr>
          <w:rFonts w:ascii="Times New Roman;sans-serif" w:hAnsi="Times New Roman;sans-serif"/>
          <w:b/>
          <w:i/>
          <w:color w:val="000000"/>
          <w:sz w:val="20"/>
        </w:rPr>
        <w:t xml:space="preserve">WHEREAS,     the Employee represents that he has significant expertise and knowledge with regard to the Position (as defined below). </w:t>
      </w:r>
    </w:p>
    <w:p>
      <w:pPr>
        <w:pStyle w:val="TextBody"/>
        <w:bidi w:val="0"/>
        <w:spacing w:lineRule="auto" w:line="240" w:before="60" w:after="283"/>
        <w:ind w:left="0" w:right="0" w:firstLine="357"/>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xml:space="preserve">, in consideration of the mutual premises, covenants and other agreements contained herein, the parties hereby agree as follows: </w:t>
      </w:r>
    </w:p>
    <w:p>
      <w:pPr>
        <w:pStyle w:val="TextBody"/>
        <w:bidi w:val="0"/>
        <w:spacing w:before="60" w:after="283"/>
        <w:ind w:left="0" w:right="0" w:firstLine="357"/>
        <w:jc w:val="both"/>
        <w:rPr/>
      </w:pPr>
      <w:r>
        <w:rPr/>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1</w:t>
      </w:r>
      <w:r>
        <w:rPr>
          <w:color w:val="000000"/>
        </w:rPr>
        <w:t xml:space="preserve">     </w:t>
      </w:r>
      <w:r>
        <w:rPr>
          <w:rFonts w:ascii="Times New Roman;sans-serif" w:hAnsi="Times New Roman;sans-serif"/>
          <w:b/>
          <w:color w:val="000000"/>
          <w:sz w:val="20"/>
          <w:u w:val="single"/>
        </w:rPr>
        <w:t>General</w:t>
      </w:r>
      <w:r>
        <w:rPr>
          <w:color w:val="000000"/>
        </w:rPr>
        <w:t xml:space="preserve"> </w:t>
      </w:r>
    </w:p>
    <w:p>
      <w:pPr>
        <w:pStyle w:val="TextBody"/>
        <w:bidi w:val="0"/>
        <w:spacing w:lineRule="auto" w:line="240" w:before="120" w:after="283"/>
        <w:ind w:left="0" w:right="0" w:hanging="453"/>
        <w:jc w:val="both"/>
        <w:rPr/>
      </w:pPr>
      <w:r>
        <w:rPr>
          <w:color w:val="000000"/>
        </w:rPr>
        <w:t>    </w:t>
      </w: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22"/>
        </w:rPr>
        <w:t xml:space="preserve">The preamble to this Employment Agreement constitutes an integral part thereof. </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1.2         The appendices to this Employment Agreement are an integral part thereof and are hereby incorporated by reference. </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     The headings in this Employment Agreement are for the purpose of convenience only and shall not be used for the purposes of interpretation. </w:t>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1.4</w:t>
      </w:r>
      <w:r>
        <w:rPr>
          <w:color w:val="000000"/>
        </w:rPr>
        <w:t>    </w:t>
      </w:r>
      <w:r>
        <w:rPr>
          <w:rFonts w:ascii="Times New Roman;sans-serif" w:hAnsi="Times New Roman;sans-serif"/>
          <w:b w:val="false"/>
          <w:color w:val="000000"/>
          <w:sz w:val="22"/>
        </w:rPr>
        <w:t xml:space="preserve">In this Employment Agreement words referring to a male employee are intended also for a female employee. </w:t>
      </w:r>
    </w:p>
    <w:p>
      <w:pPr>
        <w:pStyle w:val="TextBody"/>
        <w:bidi w:val="0"/>
        <w:spacing w:before="0" w:after="0"/>
        <w:jc w:val="both"/>
        <w:rPr/>
      </w:pPr>
      <w:r>
        <w:rPr/>
      </w:r>
    </w:p>
    <w:p>
      <w:pPr>
        <w:pStyle w:val="TextBody"/>
        <w:bidi w:val="0"/>
        <w:spacing w:lineRule="auto" w:line="300" w:before="0" w:after="127"/>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u w:val="single"/>
        </w:rPr>
        <w:t>Employment and Position.</w:t>
      </w:r>
      <w:r>
        <w:rPr>
          <w:color w:val="000000"/>
        </w:rPr>
        <w:t xml:space="preserve"> </w:t>
      </w:r>
    </w:p>
    <w:p>
      <w:pPr>
        <w:pStyle w:val="TextBody"/>
        <w:bidi w:val="0"/>
        <w:spacing w:lineRule="auto" w:line="288" w:before="0" w:after="113"/>
        <w:ind w:left="0" w:right="0" w:firstLine="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2.1The Employee’s employment with the Company shall commence on the Effective Date and shall continue for an unlimited period, in accordance with the provisions of this Employment Agreement </w:t>
      </w:r>
    </w:p>
    <w:p>
      <w:pPr>
        <w:pStyle w:val="TextBody"/>
        <w:bidi w:val="0"/>
        <w:spacing w:lineRule="auto" w:line="288" w:before="0" w:after="17"/>
        <w:ind w:left="0" w:right="0" w:firstLine="13"/>
        <w:jc w:val="both"/>
        <w:rPr>
          <w:rFonts w:ascii="Times New Roman;sans-serif" w:hAnsi="Times New Roman;sans-serif"/>
          <w:b w:val="false"/>
          <w:color w:val="000000"/>
          <w:sz w:val="20"/>
        </w:rPr>
      </w:pPr>
      <w:r>
        <w:rPr>
          <w:rFonts w:ascii="Times New Roman;sans-serif" w:hAnsi="Times New Roman;sans-serif"/>
          <w:b w:val="false"/>
          <w:color w:val="000000"/>
          <w:sz w:val="20"/>
        </w:rPr>
        <w:t>2.2The Company hereby agrees to employ the Employee and the Employee hereby agrees to be employed by Company in the position as described in Exhibit A hereto (the “Position”). The Employee shall have such authority as shall be delegated to him/her by the authorized representative(s) of the Company from time to time. The Company may, at its sole discretion, change the Position, the scope of authority, the content of the Position and its definitions, and/or to ask the Employee to render services out of the scope of the Position.</w:t>
      </w:r>
    </w:p>
    <w:p>
      <w:pPr>
        <w:pStyle w:val="TextBody"/>
        <w:bidi w:val="0"/>
        <w:spacing w:before="0" w:after="17"/>
        <w:jc w:val="both"/>
        <w:rPr/>
      </w:pPr>
      <w:r>
        <w:rPr/>
      </w:r>
    </w:p>
    <w:p>
      <w:pPr>
        <w:pStyle w:val="TextBody"/>
        <w:bidi w:val="0"/>
        <w:spacing w:lineRule="auto" w:line="288" w:before="0" w:after="145"/>
        <w:ind w:left="0" w:right="0" w:firstLine="13"/>
        <w:jc w:val="both"/>
        <w:rPr/>
      </w:pPr>
      <w:r>
        <w:rPr>
          <w:rFonts w:ascii="Times New Roman;sans-serif" w:hAnsi="Times New Roman;sans-serif"/>
          <w:b w:val="false"/>
          <w:color w:val="000000"/>
          <w:sz w:val="20"/>
        </w:rPr>
        <w:t xml:space="preserve">2.3The Employee shall report regularly to the person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 or to any other person or position as Company, at its sole discretion, shall instruct the Employee from time to time (the “</w:t>
      </w:r>
      <w:r>
        <w:rPr>
          <w:rFonts w:ascii="Times New Roman;sans-serif" w:hAnsi="Times New Roman;sans-serif"/>
          <w:b/>
          <w:color w:val="000000"/>
          <w:sz w:val="20"/>
        </w:rPr>
        <w:t>Direct Manager</w:t>
      </w:r>
      <w:r>
        <w:rPr>
          <w:color w:val="000000"/>
        </w:rPr>
        <w:t>”</w:t>
      </w:r>
      <w:r>
        <w:rPr>
          <w:rFonts w:ascii="Times New Roman;sans-serif" w:hAnsi="Times New Roman;sans-serif"/>
          <w:b w:val="false"/>
          <w:color w:val="000000"/>
          <w:sz w:val="20"/>
        </w:rPr>
        <w:t xml:space="preserve">). </w:t>
      </w:r>
    </w:p>
    <w:p>
      <w:pPr>
        <w:pStyle w:val="TextBody"/>
        <w:bidi w:val="0"/>
        <w:spacing w:lineRule="auto" w:line="300" w:before="0" w:after="100"/>
        <w:ind w:left="0" w:right="0" w:hanging="360"/>
        <w:jc w:val="left"/>
        <w:rPr/>
      </w:pPr>
      <w:r>
        <w:rPr>
          <w:rFonts w:ascii="Times New Roman;sans-serif" w:hAnsi="Times New Roman;sans-serif"/>
          <w:b w:val="false"/>
          <w:color w:val="000000"/>
          <w:sz w:val="20"/>
        </w:rPr>
        <w:t>3</w:t>
      </w:r>
      <w:r>
        <w:rPr>
          <w:rFonts w:ascii="Times New Roman;sans-serif" w:hAnsi="Times New Roman;sans-serif"/>
          <w:b/>
          <w:color w:val="000000"/>
          <w:sz w:val="20"/>
          <w:u w:val="single"/>
        </w:rPr>
        <w:t>Employee’s Duties</w:t>
      </w:r>
      <w:r>
        <w:rPr>
          <w:rFonts w:ascii="Times New Roman;sans-serif" w:hAnsi="Times New Roman;sans-serif"/>
          <w:b w:val="false"/>
          <w:color w:val="000000"/>
          <w:sz w:val="20"/>
        </w:rPr>
        <w:t xml:space="preserve">. </w:t>
      </w:r>
    </w:p>
    <w:p>
      <w:pPr>
        <w:pStyle w:val="TextBody"/>
        <w:bidi w:val="0"/>
        <w:spacing w:lineRule="auto" w:line="288" w:before="0" w:after="113"/>
        <w:ind w:left="0" w:right="0" w:firstLine="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3.1The Employee affirms and undertakes throughout the term of this Agreement: </w:t>
      </w:r>
    </w:p>
    <w:p>
      <w:pPr>
        <w:pStyle w:val="TextBody"/>
        <w:bidi w:val="0"/>
        <w:spacing w:lineRule="auto" w:line="288" w:before="0" w:after="11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3.1.1To devote his entire working time, know-how, expertise, talent, experience and best efforts to the business and affairs of the Company and to perform his/her duties and functions diligently and skillfully with the utmost expertise and devotion. </w:t>
      </w:r>
    </w:p>
    <w:p>
      <w:pPr>
        <w:pStyle w:val="TextBody"/>
        <w:bidi w:val="0"/>
        <w:spacing w:lineRule="auto" w:line="288" w:before="0" w:after="11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3.1.2Not to receive, at any time, whether during the term of this Agreement and/or at any time thereafter, directly or indirectly, any payment, benefit and/or other consideration, from any third party in connection with her employment with the Company, without the Company’s prior written authorization. </w:t>
      </w:r>
    </w:p>
    <w:p>
      <w:pPr>
        <w:pStyle w:val="TextBody"/>
        <w:bidi w:val="0"/>
        <w:spacing w:lineRule="auto" w:line="288" w:before="0" w:after="11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3.1.3To immediately and without delay inform the Company of any affairs and/or matters that might constitute a conflict of interest with Employee’s Position and/or employment with Company (including its affiliates) and/or the interests of the Company (including its affiliates). </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3"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3.1.4Not, without the prior written consent of the Company, to undertake or accept any other paid or unpaid employment or occupation or engage in or be associated with, directly or indirectly, any other businesses, duties or pursuits except for de minimis non-commercial or non-business activities. </w:t>
      </w:r>
    </w:p>
    <w:p>
      <w:pPr>
        <w:pStyle w:val="TextBody"/>
        <w:bidi w:val="0"/>
        <w:spacing w:before="0" w:after="0"/>
        <w:jc w:val="left"/>
        <w:rPr/>
      </w:pPr>
      <w:r>
        <w:rPr/>
      </w:r>
    </w:p>
    <w:p>
      <w:pPr>
        <w:pStyle w:val="TextBody"/>
        <w:bidi w:val="0"/>
        <w:spacing w:lineRule="auto" w:line="288" w:before="0" w:after="113"/>
        <w:ind w:left="0" w:right="0" w:firstLine="540"/>
        <w:jc w:val="both"/>
        <w:rPr/>
      </w:pPr>
      <w:r>
        <w:rPr>
          <w:rFonts w:ascii="Times New Roman;sans-serif" w:hAnsi="Times New Roman;sans-serif"/>
          <w:b w:val="false"/>
          <w:color w:val="000000"/>
          <w:sz w:val="20"/>
        </w:rPr>
        <w:t>3.1.5To comply with all the Company's regulations, work-rules, policies, procedures and objectives, as shall be in effect from time to time (the “</w:t>
      </w:r>
      <w:r>
        <w:rPr>
          <w:rFonts w:ascii="Times New Roman;sans-serif" w:hAnsi="Times New Roman;sans-serif"/>
          <w:b/>
          <w:color w:val="000000"/>
          <w:sz w:val="20"/>
        </w:rPr>
        <w:t>Company’s Rules</w:t>
      </w:r>
      <w:r>
        <w:rPr>
          <w:color w:val="000000"/>
        </w:rPr>
        <w:t>”</w:t>
      </w:r>
      <w:r>
        <w:rPr>
          <w:rFonts w:ascii="Times New Roman;sans-serif" w:hAnsi="Times New Roman;sans-serif"/>
          <w:b w:val="false"/>
          <w:color w:val="000000"/>
          <w:sz w:val="20"/>
        </w:rPr>
        <w:t xml:space="preserve">). In the event of inconsistency or contradiction between the provisions of this Employment Agreement and the Company’s Rules, this Agreement shall prevail. </w:t>
      </w:r>
    </w:p>
    <w:p>
      <w:pPr>
        <w:pStyle w:val="TextBody"/>
        <w:bidi w:val="0"/>
        <w:spacing w:lineRule="auto" w:line="288" w:before="0" w:after="11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3.1.6To comply with any applicable law or provision, pertaining to his employment, including, without limitation, the Company’s Rules for Prevention of Sexual Harassment at the Workplace. </w:t>
      </w:r>
    </w:p>
    <w:p>
      <w:pPr>
        <w:pStyle w:val="TextBody"/>
        <w:bidi w:val="0"/>
        <w:spacing w:lineRule="auto" w:line="288" w:before="0" w:after="11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3.1.7To the transfer of any information related to the Employee and held by the Company to a database (including a database located abroad) and to any other person or entity, as the Company shall deem necessary and reasonable for business purposes or to pursue the Company's business interests. </w:t>
      </w:r>
    </w:p>
    <w:p>
      <w:pPr>
        <w:pStyle w:val="TextBody"/>
        <w:bidi w:val="0"/>
        <w:spacing w:lineRule="auto" w:line="288" w:before="0" w:after="113"/>
        <w:ind w:left="0" w:right="0" w:firstLine="1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3.2This Employment Agreement is confidential and therefore the Employee shall not disclose this Employment Agreement as a whole, or any part thereof, to any third party (not including the Employee's spouse, attorney or tax advisor), including, without limitation, to any other employee of the Company </w:t>
      </w:r>
    </w:p>
    <w:p>
      <w:pPr>
        <w:pStyle w:val="TextBody"/>
        <w:bidi w:val="0"/>
        <w:spacing w:lineRule="auto" w:line="288" w:before="0" w:after="113"/>
        <w:ind w:left="0" w:right="0" w:firstLine="19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3.3The company is aware that the Employee's prior job before joining Kaltura, was the CEO of "Ambar A.M. Entrepreneurship Ltd". As such, the employee will have to perform a few remaining chores and duties in the coming year, as a part of his prior obligations to Ambar Ltd.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4</w:t>
      </w:r>
      <w:r>
        <w:rPr>
          <w:color w:val="000000"/>
        </w:rPr>
        <w:t xml:space="preserve">     </w:t>
      </w:r>
      <w:r>
        <w:rPr>
          <w:rFonts w:ascii="Times New Roman;sans-serif" w:hAnsi="Times New Roman;sans-serif"/>
          <w:b/>
          <w:color w:val="000000"/>
          <w:sz w:val="20"/>
          <w:u w:val="single"/>
        </w:rPr>
        <w:t>Time and Attention</w:t>
      </w:r>
      <w:r>
        <w:rPr>
          <w:color w:val="000000"/>
        </w:rPr>
        <w:t xml:space="preserve"> </w:t>
      </w:r>
    </w:p>
    <w:p>
      <w:pPr>
        <w:pStyle w:val="TextBody"/>
        <w:bidi w:val="0"/>
        <w:spacing w:lineRule="auto" w:line="288" w:before="0" w:after="113"/>
        <w:ind w:left="0" w:right="0" w:firstLine="723"/>
        <w:jc w:val="both"/>
        <w:rPr/>
      </w:pPr>
      <w:r>
        <w:rPr>
          <w:rFonts w:ascii="Times New Roman;sans-serif" w:hAnsi="Times New Roman;sans-serif"/>
          <w:b w:val="false"/>
          <w:color w:val="000000"/>
          <w:sz w:val="20"/>
        </w:rPr>
        <w:t>4.1</w:t>
      </w:r>
      <w:r>
        <w:rPr>
          <w:color w:val="000000"/>
        </w:rPr>
        <w:t xml:space="preserve"> </w:t>
      </w:r>
      <w:r>
        <w:rPr>
          <w:rFonts w:ascii="Times New Roman;sans-serif" w:hAnsi="Times New Roman;sans-serif"/>
          <w:b w:val="false"/>
          <w:color w:val="000000"/>
          <w:sz w:val="20"/>
        </w:rPr>
        <w:t xml:space="preserve">In general, work for the Company shall be performed on Sunday through Thursday, unless determined and instructed otherwise by the Company, as set forth hereunder. A regular workday with the Company, other than Sunday shall consist of 8.6 hours, not including a daily break which shall be taken by the Employee, and which shall be the Employee's responsibility to take. Sunday shall consist of 7.6 hours, no including a daily break. Saturday shall be the Employee's recognized and official rest day. </w:t>
      </w:r>
    </w:p>
    <w:p>
      <w:pPr>
        <w:pStyle w:val="TextBody"/>
        <w:bidi w:val="0"/>
        <w:spacing w:lineRule="auto" w:line="288" w:before="0" w:after="113"/>
        <w:ind w:left="0" w:right="0" w:firstLine="633"/>
        <w:jc w:val="both"/>
        <w:rPr/>
      </w:pPr>
      <w:r>
        <w:rPr>
          <w:rFonts w:ascii="Times New Roman;sans-serif" w:hAnsi="Times New Roman;sans-serif"/>
          <w:b w:val="false"/>
          <w:color w:val="000000"/>
          <w:sz w:val="20"/>
        </w:rPr>
        <w:t>4.2</w:t>
      </w:r>
      <w:r>
        <w:rPr>
          <w:color w:val="000000"/>
        </w:rPr>
        <w:t xml:space="preserve"> </w:t>
      </w:r>
      <w:r>
        <w:rPr>
          <w:rFonts w:ascii="Times New Roman;sans-serif" w:hAnsi="Times New Roman;sans-serif"/>
          <w:b w:val="false"/>
          <w:color w:val="000000"/>
          <w:sz w:val="20"/>
        </w:rPr>
        <w:t xml:space="preserve">Per the requirements under applicable law, the Employee shall cooperate with the Company in maintaining a record of the number of hours of work performed, in accordance with the Company's Rules and instructions. </w:t>
      </w:r>
    </w:p>
    <w:p>
      <w:pPr>
        <w:pStyle w:val="TextBody"/>
        <w:bidi w:val="0"/>
        <w:spacing w:lineRule="auto" w:line="288" w:before="0" w:after="113"/>
        <w:ind w:left="0" w:right="0" w:firstLine="633"/>
        <w:jc w:val="both"/>
        <w:rPr/>
      </w:pPr>
      <w:r>
        <w:rPr>
          <w:rFonts w:ascii="Times New Roman;sans-serif" w:hAnsi="Times New Roman;sans-serif"/>
          <w:b w:val="false"/>
          <w:color w:val="000000"/>
          <w:sz w:val="20"/>
        </w:rPr>
        <w:t>4.3</w:t>
      </w:r>
      <w:r>
        <w:rPr>
          <w:color w:val="000000"/>
        </w:rPr>
        <w:t xml:space="preserve"> </w:t>
      </w:r>
      <w:r>
        <w:rPr>
          <w:rFonts w:ascii="Times New Roman;sans-serif" w:hAnsi="Times New Roman;sans-serif"/>
          <w:b w:val="false"/>
          <w:color w:val="000000"/>
          <w:sz w:val="20"/>
        </w:rPr>
        <w:t>Employee agrees and acknowledges that due to the Employee's senior managerial position in the Company, the special personal trust involved in the position in which the Employee shall be employed, and the inability to monitor the Employee’s actual work hours, the Hours of Work and Rest Law, 1951 (the “</w:t>
      </w:r>
      <w:r>
        <w:rPr>
          <w:rFonts w:ascii="Times New Roman;sans-serif" w:hAnsi="Times New Roman;sans-serif"/>
          <w:b/>
          <w:color w:val="000000"/>
          <w:sz w:val="20"/>
        </w:rPr>
        <w:t>Hours of Work and Rest Law</w:t>
      </w:r>
      <w:r>
        <w:rPr>
          <w:color w:val="000000"/>
        </w:rPr>
        <w:t>”</w:t>
      </w:r>
      <w:r>
        <w:rPr>
          <w:rFonts w:ascii="Times New Roman;sans-serif" w:hAnsi="Times New Roman;sans-serif"/>
          <w:b w:val="false"/>
          <w:color w:val="000000"/>
          <w:sz w:val="20"/>
        </w:rPr>
        <w:t xml:space="preserve">) shall not apply to the Employee. The Employee acknowledges that the set amount of the Monthly Salary (as defined hereunder), as well as all other compensation and benefits provided to the Employee by the Company, as agreed upon between the Employee and the Company, reflect the requirements of the position to work additional and irregular hours and days. Accordingly, the Employee shall not be entitled to claim or receive payments or any additional pay for work performed at overtime hours, nights, weekends, or at any other times in which the Hours of Work and Rest Law requires payment of special payments (to employees who are not in a position such as the position of the Employee). </w:t>
      </w:r>
    </w:p>
    <w:p>
      <w:pPr>
        <w:pStyle w:val="TextBody"/>
        <w:bidi w:val="0"/>
        <w:spacing w:lineRule="auto" w:line="300" w:before="0" w:after="237"/>
        <w:jc w:val="left"/>
        <w:rPr/>
      </w:pPr>
      <w:r>
        <w:rPr>
          <w:color w:val="000000"/>
        </w:rPr>
        <w:t>    </w:t>
      </w:r>
      <w:r>
        <w:rPr>
          <w:rFonts w:ascii="Times New Roman;sans-serif" w:hAnsi="Times New Roman;sans-serif"/>
          <w:b w:val="false"/>
          <w:color w:val="000000"/>
          <w:sz w:val="20"/>
        </w:rPr>
        <w:t>5</w:t>
      </w:r>
      <w:r>
        <w:rPr>
          <w:color w:val="000000"/>
        </w:rPr>
        <w:t xml:space="preserve">     </w:t>
      </w:r>
      <w:r>
        <w:rPr>
          <w:rFonts w:ascii="Times New Roman;sans-serif" w:hAnsi="Times New Roman;sans-serif"/>
          <w:b/>
          <w:color w:val="000000"/>
          <w:sz w:val="20"/>
          <w:u w:val="single"/>
        </w:rPr>
        <w:t>Term and Termination</w:t>
      </w:r>
      <w:r>
        <w:rPr>
          <w:color w:val="000000"/>
        </w:rPr>
        <w:t xml:space="preserve"> </w:t>
      </w:r>
    </w:p>
    <w:p>
      <w:pPr>
        <w:pStyle w:val="TextBody"/>
        <w:bidi w:val="0"/>
        <w:spacing w:lineRule="auto" w:line="288" w:before="0" w:after="232"/>
        <w:ind w:left="0" w:right="0" w:firstLine="723"/>
        <w:jc w:val="both"/>
        <w:rPr/>
      </w:pPr>
      <w:r>
        <w:rPr>
          <w:rFonts w:ascii="Times New Roman;sans-serif" w:hAnsi="Times New Roman;sans-serif"/>
          <w:b w:val="false"/>
          <w:color w:val="000000"/>
          <w:sz w:val="20"/>
        </w:rPr>
        <w:t>5.1</w:t>
      </w:r>
      <w:r>
        <w:rPr>
          <w:color w:val="000000"/>
        </w:rPr>
        <w:t xml:space="preserve"> </w:t>
      </w:r>
      <w:r>
        <w:rPr>
          <w:rFonts w:ascii="Times New Roman;sans-serif" w:hAnsi="Times New Roman;sans-serif"/>
          <w:b w:val="false"/>
          <w:color w:val="000000"/>
          <w:sz w:val="20"/>
        </w:rPr>
        <w:t>Employee’s employment under this Employment Agreement shall commence on the Effective Date and shall remain in full force and effect unless terminated in accordance with the terms and conditions herein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232"/>
        <w:ind w:left="0" w:right="0" w:firstLine="723"/>
        <w:jc w:val="both"/>
        <w:rPr/>
      </w:pPr>
      <w:r>
        <w:rPr>
          <w:rFonts w:ascii="Times New Roman;sans-serif" w:hAnsi="Times New Roman;sans-serif"/>
          <w:b w:val="false"/>
          <w:color w:val="000000"/>
          <w:sz w:val="20"/>
        </w:rPr>
        <w:t>5.2</w:t>
      </w:r>
      <w:r>
        <w:rPr>
          <w:color w:val="000000"/>
        </w:rPr>
        <w:t xml:space="preserve"> </w:t>
      </w:r>
      <w:r>
        <w:rPr>
          <w:rFonts w:ascii="Times New Roman;sans-serif" w:hAnsi="Times New Roman;sans-serif"/>
          <w:b w:val="false"/>
          <w:color w:val="000000"/>
          <w:sz w:val="20"/>
        </w:rPr>
        <w:t xml:space="preserve">Either the Company or Employee may terminate the Employee's employment by providing prior written notice in the number of days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color w:val="000000"/>
          <w:sz w:val="20"/>
        </w:rPr>
        <w:t>Notice Period</w:t>
      </w:r>
      <w:r>
        <w:rPr>
          <w:color w:val="000000"/>
        </w:rPr>
        <w:t>”</w:t>
      </w:r>
      <w:r>
        <w:rPr>
          <w:rFonts w:ascii="Times New Roman;sans-serif" w:hAnsi="Times New Roman;sans-serif"/>
          <w:b w:val="false"/>
          <w:color w:val="000000"/>
          <w:sz w:val="20"/>
        </w:rPr>
        <w:t xml:space="preserve">). During the Notice Period, whether notice has been given by the Employee or by the Company, the Employee shall continue to work unless instructed otherwise by the Company and shall cooperate with the Company and use his best efforts to assist the integration into the Company organization of the person or persons who will assume the Employee's responsibilities and duties. </w:t>
      </w:r>
    </w:p>
    <w:p>
      <w:pPr>
        <w:pStyle w:val="TextBody"/>
        <w:bidi w:val="0"/>
        <w:spacing w:lineRule="auto" w:line="288" w:before="0" w:after="232"/>
        <w:ind w:left="0" w:right="0" w:firstLine="723"/>
        <w:jc w:val="both"/>
        <w:rPr>
          <w:rFonts w:ascii="Times New Roman;sans-serif" w:hAnsi="Times New Roman;sans-serif"/>
          <w:b w:val="false"/>
          <w:color w:val="000000"/>
          <w:sz w:val="20"/>
        </w:rPr>
      </w:pPr>
      <w:r>
        <w:rPr>
          <w:rFonts w:ascii="Times New Roman;sans-serif" w:hAnsi="Times New Roman;sans-serif"/>
          <w:b w:val="false"/>
          <w:color w:val="000000"/>
          <w:sz w:val="20"/>
        </w:rPr>
        <w:t>5.3     Nonetheless, the Company shall be entitled, but not obligated, at any time prior to the expiration of the Notice Period, at its sole discretion: (i) to waive the Employee’s actual work during the Notice Period, in which event the Company shall pay to the Employee during the remainder of the Notice Period the payments payable to the Employee under Section 6 below; or (ii) to immediately terminate this Employment Agreement and the employment relationship, at any time prior to the expiration of the Notice Period, in which event the Company shall pay the Employee upon termination of the Employment Agreement and the employment relationship the value of the Monthly Salary during the remainder of the Notice Period.</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4"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13"/>
        <w:ind w:left="0" w:right="0" w:firstLine="723"/>
        <w:jc w:val="both"/>
        <w:rPr/>
      </w:pPr>
      <w:r>
        <w:rPr>
          <w:rFonts w:ascii="Times New Roman;sans-serif" w:hAnsi="Times New Roman;sans-serif"/>
          <w:b w:val="false"/>
          <w:color w:val="000000"/>
          <w:sz w:val="20"/>
        </w:rPr>
        <w:t>5.4</w:t>
      </w:r>
      <w:r>
        <w:rPr>
          <w:color w:val="000000"/>
        </w:rPr>
        <w:t xml:space="preserve"> </w:t>
      </w:r>
      <w:r>
        <w:rPr>
          <w:rFonts w:ascii="Times New Roman;sans-serif" w:hAnsi="Times New Roman;sans-serif"/>
          <w:b w:val="false"/>
          <w:color w:val="000000"/>
          <w:sz w:val="20"/>
        </w:rPr>
        <w:t>Notwithstanding the foregoing, the Company may immediately terminate this Employment Agreement and the employment relationship at any time for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(as defined below</w:t>
      </w:r>
      <w:r>
        <w:rPr>
          <w:rFonts w:ascii="Times New Roman;sans-serif" w:hAnsi="Times New Roman;sans-serif"/>
          <w:b/>
          <w:color w:val="000000"/>
          <w:sz w:val="20"/>
        </w:rPr>
        <w:t xml:space="preserve">) </w:t>
      </w:r>
      <w:r>
        <w:rPr>
          <w:rFonts w:ascii="Times New Roman;sans-serif" w:hAnsi="Times New Roman;sans-serif"/>
          <w:b w:val="false"/>
          <w:color w:val="000000"/>
          <w:sz w:val="20"/>
        </w:rPr>
        <w:t>without Notice Period or any compensation in lieu of Notice Period and/or severance pay (subject to applicable law). For the purpose of this Employment Agreement,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(i) the Employee’s breach of trust or fiduciary duties</w:t>
      </w:r>
      <w:r>
        <w:rPr>
          <w:rFonts w:ascii="Times New Roman;sans-serif" w:hAnsi="Times New Roman;sans-serif"/>
          <w:b/>
          <w:color w:val="000000"/>
          <w:sz w:val="20"/>
        </w:rPr>
        <w:t xml:space="preserve">, </w:t>
      </w:r>
      <w:r>
        <w:rPr>
          <w:rFonts w:ascii="Times New Roman;sans-serif" w:hAnsi="Times New Roman;sans-serif"/>
          <w:b w:val="false"/>
          <w:color w:val="000000"/>
          <w:sz w:val="20"/>
        </w:rPr>
        <w:t>including but not limited to theft, embezzlement, self-dealing, or breach of the provisions of the IP Agreement (as defined below); (ii) any willful failure to perform or failure to perform competently any of the Employee's material functions or duties hereunder (including violation of the Company’s Rules), or other breach of this Employment Agreement, which, if capable of cure, was not cured within five (5) days of receipt by the Employee of written notice thereof; (iii) an event in which the Employee deliberately or gross negligently causes harm</w:t>
      </w:r>
      <w:r>
        <w:rPr>
          <w:color w:val="000000"/>
        </w:rPr>
        <w:t xml:space="preserve"> </w:t>
      </w:r>
      <w:r>
        <w:rPr>
          <w:rFonts w:ascii="Times New Roman;sans-serif" w:hAnsi="Times New Roman;sans-serif"/>
          <w:b w:val="false"/>
          <w:color w:val="000000"/>
          <w:sz w:val="20"/>
        </w:rPr>
        <w:t xml:space="preserve">to the Company's business affairs or reputation; (iv) conviction of, or entry of any plea of guilty or nolo contendere by, the Employee for any felony or other lesser crime that would require removal from his position at the Company (e.g., any alcohol or drug related misdemeanor); (v) personal dishonesty; (vi) willful misconduct; (vii) other cause justifying termination or dismissal without severance payment under applicable law; or (viii) if the Employee has provided the Company with false information about past career and/or education during the recruiting phase.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6</w:t>
      </w:r>
      <w:r>
        <w:rPr>
          <w:color w:val="000000"/>
        </w:rPr>
        <w:t xml:space="preserve">     </w:t>
      </w:r>
      <w:r>
        <w:rPr>
          <w:rFonts w:ascii="Times New Roman;sans-serif" w:hAnsi="Times New Roman;sans-serif"/>
          <w:b/>
          <w:color w:val="000000"/>
          <w:sz w:val="20"/>
          <w:u w:val="single"/>
        </w:rPr>
        <w:t>Salary and Social Benefits</w:t>
      </w:r>
      <w:r>
        <w:rPr>
          <w:color w:val="000000"/>
        </w:rPr>
        <w:t xml:space="preserve"> </w:t>
      </w:r>
    </w:p>
    <w:p>
      <w:pPr>
        <w:pStyle w:val="TextBody"/>
        <w:bidi w:val="0"/>
        <w:spacing w:lineRule="auto" w:line="288" w:before="0" w:after="8"/>
        <w:ind w:left="0" w:right="0" w:firstLine="90"/>
        <w:jc w:val="left"/>
        <w:rPr/>
      </w:pPr>
      <w:r>
        <w:rPr>
          <w:rFonts w:ascii="Times New Roman;sans-serif" w:hAnsi="Times New Roman;sans-serif"/>
          <w:b w:val="false"/>
          <w:color w:val="000000"/>
          <w:sz w:val="20"/>
        </w:rPr>
        <w:t>6.1</w:t>
      </w:r>
      <w:r>
        <w:rPr>
          <w:color w:val="000000"/>
        </w:rPr>
        <w:t xml:space="preserve">      </w:t>
      </w:r>
      <w:r>
        <w:rPr>
          <w:rFonts w:ascii="Times New Roman;sans-serif" w:hAnsi="Times New Roman;sans-serif"/>
          <w:b w:val="false"/>
          <w:color w:val="000000"/>
          <w:sz w:val="20"/>
        </w:rPr>
        <w:t xml:space="preserve">Commencing from the Effective Date and during the Term, in consideration for the fulfillment of the </w:t>
      </w:r>
    </w:p>
    <w:p>
      <w:pPr>
        <w:pStyle w:val="TextBody"/>
        <w:bidi w:val="0"/>
        <w:spacing w:lineRule="auto" w:line="288" w:before="0" w:after="113"/>
        <w:ind w:left="0" w:right="0" w:hanging="10"/>
        <w:jc w:val="both"/>
        <w:rPr/>
      </w:pPr>
      <w:r>
        <w:rPr>
          <w:rFonts w:ascii="Times New Roman;sans-serif" w:hAnsi="Times New Roman;sans-serif"/>
          <w:b w:val="false"/>
          <w:color w:val="000000"/>
          <w:sz w:val="20"/>
        </w:rPr>
        <w:t xml:space="preserve">Employee’s work and other obligations set forth in this Employment Agreement, the Company shall pay the Employee a gross monthly salary in the amount as set forth in </w:t>
      </w:r>
      <w:r>
        <w:rPr>
          <w:rFonts w:ascii="Times New Roman;sans-serif" w:hAnsi="Times New Roman;sans-serif"/>
          <w:b/>
          <w:color w:val="000000"/>
          <w:sz w:val="20"/>
        </w:rPr>
        <w:t>Exhibit A</w:t>
      </w:r>
      <w:r>
        <w:rPr>
          <w:color w:val="000000"/>
        </w:rPr>
        <w:t xml:space="preserve"> </w:t>
      </w:r>
      <w:r>
        <w:rPr>
          <w:rFonts w:ascii="Times New Roman;sans-serif" w:hAnsi="Times New Roman;sans-serif"/>
          <w:b w:val="false"/>
          <w:color w:val="000000"/>
          <w:sz w:val="20"/>
        </w:rPr>
        <w:t xml:space="preserve">hereto. </w:t>
      </w:r>
    </w:p>
    <w:p>
      <w:pPr>
        <w:pStyle w:val="TextBody"/>
        <w:bidi w:val="0"/>
        <w:spacing w:lineRule="auto" w:line="288" w:before="0" w:after="169"/>
        <w:ind w:left="0" w:right="0" w:hanging="10"/>
        <w:jc w:val="left"/>
        <w:rPr/>
      </w:pPr>
      <w:r>
        <w:rPr>
          <w:rFonts w:ascii="Times New Roman;sans-serif" w:hAnsi="Times New Roman;sans-serif"/>
          <w:b w:val="false"/>
          <w:color w:val="000000"/>
          <w:sz w:val="20"/>
        </w:rPr>
        <w:t>6.2</w:t>
      </w:r>
      <w:r>
        <w:rPr>
          <w:color w:val="000000"/>
        </w:rPr>
        <w:t xml:space="preserve">     </w:t>
      </w:r>
      <w:r>
        <w:rPr>
          <w:rFonts w:ascii="Times New Roman;sans-serif" w:hAnsi="Times New Roman;sans-serif"/>
          <w:b w:val="false"/>
          <w:color w:val="000000"/>
          <w:sz w:val="20"/>
        </w:rPr>
        <w:t xml:space="preserve">The Monthly Salary shall be paid to the Employee no later than the 9th day of the following month. </w:t>
      </w:r>
    </w:p>
    <w:p>
      <w:pPr>
        <w:pStyle w:val="TextBody"/>
        <w:bidi w:val="0"/>
        <w:spacing w:lineRule="auto" w:line="288" w:before="0" w:after="39"/>
        <w:jc w:val="left"/>
        <w:rPr/>
      </w:pPr>
      <w:r>
        <w:rPr>
          <w:rFonts w:ascii="Times New Roman;sans-serif" w:hAnsi="Times New Roman;sans-serif"/>
          <w:b w:val="false"/>
          <w:color w:val="000000"/>
          <w:sz w:val="20"/>
        </w:rPr>
        <w:t>6.3</w:t>
      </w:r>
      <w:r>
        <w:rPr>
          <w:color w:val="000000"/>
        </w:rPr>
        <w:t xml:space="preserve">     </w:t>
      </w:r>
      <w:r>
        <w:rPr>
          <w:rFonts w:ascii="Times New Roman;sans-serif" w:hAnsi="Times New Roman;sans-serif"/>
          <w:b w:val="false"/>
          <w:color w:val="000000"/>
          <w:sz w:val="20"/>
          <w:u w:val="single"/>
        </w:rPr>
        <w:t>Pension Plan:</w:t>
      </w:r>
      <w:r>
        <w:rPr>
          <w:color w:val="000000"/>
        </w:rPr>
        <w:t xml:space="preserve"> </w:t>
      </w:r>
      <w:r>
        <w:rPr>
          <w:rFonts w:ascii="Times New Roman;sans-serif" w:hAnsi="Times New Roman;sans-serif"/>
          <w:b w:val="false"/>
          <w:color w:val="000000"/>
          <w:sz w:val="20"/>
        </w:rPr>
        <w:t xml:space="preserve">The Company and the Employee will obtain and maintain Managers’ Insurance or a Pension </w:t>
      </w:r>
    </w:p>
    <w:p>
      <w:pPr>
        <w:pStyle w:val="TextBody"/>
        <w:bidi w:val="0"/>
        <w:spacing w:lineRule="auto" w:line="288" w:before="0" w:after="113"/>
        <w:ind w:left="0" w:right="0" w:hanging="10"/>
        <w:jc w:val="both"/>
        <w:rPr/>
      </w:pPr>
      <w:r>
        <w:rPr>
          <w:rFonts w:ascii="Times New Roman;sans-serif" w:hAnsi="Times New Roman;sans-serif"/>
          <w:b w:val="false"/>
          <w:color w:val="000000"/>
          <w:sz w:val="20"/>
        </w:rPr>
        <w:t xml:space="preserve">Fund, or combination of both (per the Employee’s preference) per the Employee's choice </w:t>
      </w:r>
      <w:r>
        <w:rPr>
          <w:rFonts w:ascii="Times New Roman;sans-serif" w:hAnsi="Times New Roman;sans-serif"/>
          <w:b/>
          <w:color w:val="000000"/>
          <w:sz w:val="20"/>
        </w:rPr>
        <w:t>(</w:t>
      </w:r>
      <w:r>
        <w:rPr>
          <w:rFonts w:ascii="Times New Roman;sans-serif" w:hAnsi="Times New Roman;sans-serif"/>
          <w:b w:val="false"/>
          <w:color w:val="000000"/>
          <w:sz w:val="20"/>
        </w:rPr>
        <w:t>the “</w:t>
      </w:r>
      <w:r>
        <w:rPr>
          <w:rFonts w:ascii="Times New Roman;sans-serif" w:hAnsi="Times New Roman;sans-serif"/>
          <w:b/>
          <w:color w:val="000000"/>
          <w:sz w:val="20"/>
        </w:rPr>
        <w:t>Pension Plan</w:t>
      </w:r>
      <w:r>
        <w:rPr>
          <w:color w:val="000000"/>
        </w:rPr>
        <w:t>”</w:t>
      </w:r>
      <w:r>
        <w:rPr>
          <w:rFonts w:ascii="Times New Roman;sans-serif" w:hAnsi="Times New Roman;sans-serif"/>
          <w:b w:val="false"/>
          <w:color w:val="000000"/>
          <w:sz w:val="20"/>
        </w:rPr>
        <w:t xml:space="preserve">). The contributions to the Pension Plan shall be as detailed below: </w:t>
      </w:r>
    </w:p>
    <w:p>
      <w:pPr>
        <w:pStyle w:val="TextBody"/>
        <w:bidi w:val="0"/>
        <w:spacing w:lineRule="auto" w:line="288" w:before="0" w:after="113"/>
        <w:jc w:val="both"/>
        <w:rPr/>
      </w:pPr>
      <w:r>
        <w:rPr>
          <w:rFonts w:ascii="Times New Roman;sans-serif" w:hAnsi="Times New Roman;sans-serif"/>
          <w:b w:val="false"/>
          <w:color w:val="000000"/>
          <w:sz w:val="20"/>
        </w:rPr>
        <w:t>6.3.1</w:t>
      </w:r>
      <w:r>
        <w:rPr>
          <w:color w:val="000000"/>
        </w:rPr>
        <w:t xml:space="preserve"> </w:t>
      </w:r>
      <w:r>
        <w:rPr>
          <w:rFonts w:ascii="Times New Roman;sans-serif" w:hAnsi="Times New Roman;sans-serif"/>
          <w:b w:val="false"/>
          <w:color w:val="000000"/>
          <w:sz w:val="20"/>
        </w:rPr>
        <w:t xml:space="preserve">In the event that the Pension Plan is a </w:t>
      </w:r>
      <w:r>
        <w:rPr>
          <w:rFonts w:ascii="Times New Roman;sans-serif" w:hAnsi="Times New Roman;sans-serif"/>
          <w:b/>
          <w:i/>
          <w:color w:val="000000"/>
          <w:sz w:val="20"/>
          <w:u w:val="single"/>
        </w:rPr>
        <w:t xml:space="preserve">Pension Fund </w:t>
      </w:r>
      <w:r>
        <w:rPr>
          <w:rFonts w:ascii="Times New Roman;sans-serif" w:hAnsi="Times New Roman;sans-serif"/>
          <w:b w:val="false"/>
          <w:color w:val="000000"/>
          <w:sz w:val="20"/>
        </w:rPr>
        <w:t>: The Company shall contribute an amount equal to 14.833% of the Monthly Salary as follows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(i) 6.5% of the Monthly Salary toward the premiums payable; and (ii) 8.33% of the Monthly Salary towards severance. The Employee shall contribute 6% of the Monthly Salary payment toward the premiums payable (the “</w:t>
      </w:r>
      <w:r>
        <w:rPr>
          <w:rFonts w:ascii="Times New Roman;sans-serif" w:hAnsi="Times New Roman;sans-serif"/>
          <w:b/>
          <w:color w:val="000000"/>
          <w:sz w:val="20"/>
        </w:rPr>
        <w:t>Employee’s Contribution</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58"/>
        <w:ind w:left="0" w:right="0" w:hanging="10"/>
        <w:jc w:val="both"/>
        <w:rPr/>
      </w:pPr>
      <w:r>
        <w:rPr>
          <w:rFonts w:ascii="Times New Roman;sans-serif" w:hAnsi="Times New Roman;sans-serif"/>
          <w:b w:val="false"/>
          <w:color w:val="000000"/>
          <w:sz w:val="20"/>
        </w:rPr>
        <w:t>6.3.2</w:t>
      </w:r>
      <w:r>
        <w:rPr>
          <w:color w:val="000000"/>
        </w:rPr>
        <w:t xml:space="preserve"> </w:t>
      </w:r>
      <w:r>
        <w:rPr>
          <w:rFonts w:ascii="Times New Roman;sans-serif" w:hAnsi="Times New Roman;sans-serif"/>
          <w:b w:val="false"/>
          <w:color w:val="000000"/>
          <w:sz w:val="20"/>
        </w:rPr>
        <w:t xml:space="preserve">In the event that the Pension Plan is </w:t>
      </w:r>
      <w:r>
        <w:rPr>
          <w:rFonts w:ascii="Times New Roman;sans-serif" w:hAnsi="Times New Roman;sans-serif"/>
          <w:b/>
          <w:i/>
          <w:color w:val="000000"/>
          <w:sz w:val="20"/>
          <w:u w:val="single"/>
        </w:rPr>
        <w:t>Managers’ Insurance</w:t>
      </w:r>
      <w:r>
        <w:rPr>
          <w:rFonts w:ascii="Times New Roman;sans-serif" w:hAnsi="Times New Roman;sans-serif"/>
          <w:b w:val="false"/>
          <w:color w:val="000000"/>
          <w:sz w:val="20"/>
        </w:rPr>
        <w:t>: the Company shall contribute up to 15.833% as follows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(i) 8.33% of the Monthly Salary towards severance; (ii) the difference between 6.5% of the Monthly Salary and the actual percentage of the Monthly Salary contributed towards Disability Insurance (as described below) shall go towards premium payable (provided that the Company’s contribution towards premium payable are not less than 5% of the Monthly Salary); and (iii) “Disability Insurance” - The Company shall purchase the Employee a Disability Insurance at the cost of 2.5% of the Monthly Salary or at such rate that will entitle him to a disability pension of 75% of his Monthly Salary, whichever is lesser. (the “</w:t>
      </w:r>
      <w:r>
        <w:rPr>
          <w:rFonts w:ascii="Times New Roman;sans-serif" w:hAnsi="Times New Roman;sans-serif"/>
          <w:b/>
          <w:color w:val="000000"/>
          <w:sz w:val="20"/>
        </w:rPr>
        <w:t>Company’s Contribution</w:t>
      </w:r>
      <w:r>
        <w:rPr>
          <w:color w:val="000000"/>
        </w:rPr>
        <w:t>”</w:t>
      </w:r>
      <w:r>
        <w:rPr>
          <w:rFonts w:ascii="Times New Roman;sans-serif" w:hAnsi="Times New Roman;sans-serif"/>
          <w:b w:val="false"/>
          <w:color w:val="000000"/>
          <w:sz w:val="20"/>
        </w:rPr>
        <w:t>). The Employee shall contribute 6% of the Monthly Salary payment toward the premiums payable in respect of Managers’ Insurance (the “</w:t>
      </w:r>
      <w:r>
        <w:rPr>
          <w:rFonts w:ascii="Times New Roman;sans-serif" w:hAnsi="Times New Roman;sans-serif"/>
          <w:b/>
          <w:color w:val="000000"/>
          <w:sz w:val="20"/>
        </w:rPr>
        <w:t>Employee’s Contribution</w:t>
      </w:r>
      <w:r>
        <w:rPr>
          <w:color w:val="000000"/>
        </w:rPr>
        <w:t>”</w:t>
      </w:r>
      <w:r>
        <w:rPr>
          <w:rFonts w:ascii="Times New Roman;sans-serif" w:hAnsi="Times New Roman;sans-serif"/>
          <w:b w:val="false"/>
          <w:color w:val="000000"/>
          <w:sz w:val="20"/>
        </w:rPr>
        <w:t xml:space="preserve">). </w:t>
      </w:r>
    </w:p>
    <w:p>
      <w:pPr>
        <w:pStyle w:val="TextBody"/>
        <w:bidi w:val="0"/>
        <w:spacing w:before="0" w:after="20"/>
        <w:jc w:val="both"/>
        <w:rPr/>
      </w:pPr>
      <w:r>
        <w:rPr/>
      </w:r>
    </w:p>
    <w:p>
      <w:pPr>
        <w:pStyle w:val="TextBody"/>
        <w:bidi w:val="0"/>
        <w:spacing w:lineRule="auto" w:line="288" w:before="0" w:after="155"/>
        <w:ind w:left="0" w:right="0" w:firstLine="36"/>
        <w:jc w:val="both"/>
        <w:rPr/>
      </w:pPr>
      <w:r>
        <w:rPr>
          <w:rFonts w:ascii="Times New Roman;sans-serif" w:hAnsi="Times New Roman;sans-serif"/>
          <w:b w:val="false"/>
          <w:color w:val="000000"/>
          <w:sz w:val="20"/>
        </w:rPr>
        <w:t>6.3.3</w:t>
      </w:r>
      <w:r>
        <w:rPr>
          <w:color w:val="000000"/>
        </w:rPr>
        <w:t xml:space="preserve"> </w:t>
      </w:r>
      <w:r>
        <w:rPr>
          <w:rFonts w:ascii="Times New Roman;sans-serif" w:hAnsi="Times New Roman;sans-serif"/>
          <w:b w:val="false"/>
          <w:color w:val="000000"/>
          <w:sz w:val="20"/>
        </w:rPr>
        <w:t xml:space="preserve">If the Employee chose to combine Managers’ Insurance and Pension Fund, the terms, structure and percentages, as defined above, with respect to Managers’ Insurance and Pension Fund shall apply, proportionally, to the portions of the Employee’s salary which the Employee chose to insure in Managers’ Insurance and Pension Fund. </w:t>
      </w:r>
    </w:p>
    <w:p>
      <w:pPr>
        <w:pStyle w:val="TextBody"/>
        <w:bidi w:val="0"/>
        <w:spacing w:lineRule="auto" w:line="288" w:before="0" w:after="151"/>
        <w:ind w:left="0" w:right="0" w:firstLine="36"/>
        <w:jc w:val="both"/>
        <w:rPr/>
      </w:pPr>
      <w:r>
        <w:rPr>
          <w:rFonts w:ascii="Times New Roman;sans-serif" w:hAnsi="Times New Roman;sans-serif"/>
          <w:b w:val="false"/>
          <w:color w:val="000000"/>
          <w:sz w:val="20"/>
        </w:rPr>
        <w:t>6.3.4</w:t>
      </w:r>
      <w:r>
        <w:rPr>
          <w:color w:val="000000"/>
        </w:rPr>
        <w:t xml:space="preserve"> </w:t>
      </w:r>
      <w:r>
        <w:rPr>
          <w:rFonts w:ascii="Times New Roman;sans-serif" w:hAnsi="Times New Roman;sans-serif"/>
          <w:b w:val="false"/>
          <w:color w:val="000000"/>
          <w:sz w:val="20"/>
        </w:rPr>
        <w:t xml:space="preserve">For clarity’s sake, the abovementioned contributions to the Employee’s Pension Plan may be changed from time to time per the applicable law. </w:t>
      </w:r>
    </w:p>
    <w:p>
      <w:pPr>
        <w:pStyle w:val="TextBody"/>
        <w:bidi w:val="0"/>
        <w:spacing w:lineRule="auto" w:line="288" w:before="0" w:after="158"/>
        <w:ind w:left="0" w:right="0" w:firstLine="813"/>
        <w:jc w:val="both"/>
        <w:rPr/>
      </w:pPr>
      <w:r>
        <w:rPr>
          <w:rFonts w:ascii="Times New Roman;sans-serif" w:hAnsi="Times New Roman;sans-serif"/>
          <w:b w:val="false"/>
          <w:color w:val="000000"/>
          <w:sz w:val="20"/>
        </w:rPr>
        <w:t>6.4 It is agreed and warranted between the parties that the Company’s provisions to the severance component are in lieu of severance pay, in accordance with the provisions of the General Approval regarding Employers’ Payments to a Pension Fund and Insurance Fund in lieu of Severance Pay issued by virtue of Section 14 of the Severance Pay Law 5723-1963 by the Labor Minister, dated June 30, 1998 (as amended and as may be amended from time to time) (the “</w:t>
      </w:r>
      <w:r>
        <w:rPr>
          <w:rFonts w:ascii="Times New Roman;sans-serif" w:hAnsi="Times New Roman;sans-serif"/>
          <w:b/>
          <w:color w:val="000000"/>
          <w:sz w:val="20"/>
        </w:rPr>
        <w:t>General Approval</w:t>
      </w:r>
      <w:r>
        <w:rPr>
          <w:color w:val="000000"/>
        </w:rPr>
        <w:t>”</w:t>
      </w:r>
      <w:r>
        <w:rPr>
          <w:rFonts w:ascii="Times New Roman;sans-serif" w:hAnsi="Times New Roman;sans-serif"/>
          <w:b w:val="false"/>
          <w:color w:val="000000"/>
          <w:sz w:val="20"/>
        </w:rPr>
        <w:t xml:space="preserve">). By signing this agreement, the parties are acknowledging their consent to applicability of the provisions of the General Approval, a copy of which is attached hereby as </w:t>
      </w:r>
      <w:r>
        <w:rPr>
          <w:rFonts w:ascii="Times New Roman;sans-serif" w:hAnsi="Times New Roman;sans-serif"/>
          <w:b/>
          <w:color w:val="000000"/>
          <w:sz w:val="20"/>
          <w:u w:val="single"/>
        </w:rPr>
        <w:t>Exhibit C</w:t>
      </w:r>
      <w:r>
        <w:rPr>
          <w:rFonts w:ascii="Times New Roman;sans-serif" w:hAnsi="Times New Roman;sans-serif"/>
          <w:b w:val="false"/>
          <w:color w:val="000000"/>
          <w:sz w:val="20"/>
        </w:rPr>
        <w:t xml:space="preserve">, together with an English translation of the same, attached hereto as </w:t>
      </w:r>
      <w:r>
        <w:rPr>
          <w:rFonts w:ascii="Times New Roman;sans-serif" w:hAnsi="Times New Roman;sans-serif"/>
          <w:b/>
          <w:color w:val="000000"/>
          <w:sz w:val="20"/>
          <w:u w:val="single"/>
        </w:rPr>
        <w:t>Exhibit D</w:t>
      </w:r>
      <w:r>
        <w:rPr>
          <w:rFonts w:ascii="Times New Roman;sans-serif" w:hAnsi="Times New Roman;sans-serif"/>
          <w:b w:val="false"/>
          <w:color w:val="000000"/>
          <w:sz w:val="20"/>
        </w:rPr>
        <w:t xml:space="preserve">, which constitutes an integral part hereof. In so far as amendments to the General Approval shall be necessary, according and subject to any law or regulations, the provisions of the amended General Approval shall prevail and replace the General Approval attached hereto as </w:t>
      </w:r>
      <w:r>
        <w:rPr>
          <w:rFonts w:ascii="Times New Roman;sans-serif" w:hAnsi="Times New Roman;sans-serif"/>
          <w:b/>
          <w:color w:val="000000"/>
          <w:sz w:val="20"/>
          <w:u w:val="single"/>
        </w:rPr>
        <w:t>Exhibit 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u w:val="single"/>
        </w:rPr>
        <w:t>Exhibit</w:t>
      </w:r>
      <w:r>
        <w:rPr>
          <w:color w:val="000000"/>
        </w:rPr>
        <w:t xml:space="preserve"> </w:t>
      </w:r>
      <w:r>
        <w:rPr>
          <w:rFonts w:ascii="Times New Roman;sans-serif" w:hAnsi="Times New Roman;sans-serif"/>
          <w:b/>
          <w:color w:val="000000"/>
          <w:sz w:val="20"/>
          <w:u w:val="single"/>
        </w:rPr>
        <w:t>D</w:t>
      </w:r>
      <w:r>
        <w:rPr>
          <w:rFonts w:ascii="Times New Roman;sans-serif" w:hAnsi="Times New Roman;sans-serif"/>
          <w:b w:val="false"/>
          <w:color w:val="000000"/>
          <w:sz w:val="20"/>
        </w:rPr>
        <w:t xml:space="preserve">. </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5"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58"/>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6.5 The Company and the Employee shall open and maintain an education fund (“Keren Hishtalmut” in Hebrew) (the “Education Fund”). The Company shall contribute to the Education Fund an amount equal to seven and a half percent (7.5%) and the Employee shall contribute to such Education Fund an amount equal to two and a half percent (2.5%) of each Monthly Salary payment. Notwithstanding the above, the amounts contributed by the Company to the Education Fund will exceed the limit recognized by the Income Tax Authority from time to time. In any event, any tax liability related to the Education Fund shall be borne, exclusively, by the employee. The Employee hereby authorizes the Company to transfer to the Education Fund the amount of the employee's and the Company's contribution from each Monthly Salary payment. </w:t>
      </w:r>
    </w:p>
    <w:p>
      <w:pPr>
        <w:pStyle w:val="TextBody"/>
        <w:bidi w:val="0"/>
        <w:spacing w:lineRule="auto" w:line="288" w:before="0" w:after="113"/>
        <w:ind w:left="0" w:right="0" w:firstLine="813"/>
        <w:jc w:val="both"/>
        <w:rPr/>
      </w:pPr>
      <w:r>
        <w:rPr>
          <w:rFonts w:ascii="Times New Roman;sans-serif" w:hAnsi="Times New Roman;sans-serif"/>
          <w:b w:val="false"/>
          <w:color w:val="000000"/>
          <w:sz w:val="20"/>
        </w:rPr>
        <w:t>6.6</w:t>
      </w:r>
      <w:r>
        <w:rPr>
          <w:color w:val="000000"/>
        </w:rPr>
        <w:t xml:space="preserve"> </w:t>
      </w:r>
      <w:r>
        <w:rPr>
          <w:rFonts w:ascii="Times New Roman;sans-serif" w:hAnsi="Times New Roman;sans-serif"/>
          <w:b w:val="false"/>
          <w:color w:val="000000"/>
          <w:sz w:val="20"/>
        </w:rPr>
        <w:t xml:space="preserve">The Employee shall be entitled to paid annual vacation days as set forth in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 xml:space="preserve">hereto. Accumulation, execution and redemption of such annual vacation days shall be made in accordance with the applicable Company’s Rules, as may be amended from time to time. </w:t>
      </w:r>
    </w:p>
    <w:p>
      <w:pPr>
        <w:pStyle w:val="TextBody"/>
        <w:bidi w:val="0"/>
        <w:spacing w:lineRule="auto" w:line="288" w:before="0" w:after="150"/>
        <w:ind w:left="0" w:right="0" w:firstLine="813"/>
        <w:jc w:val="both"/>
        <w:rPr/>
      </w:pPr>
      <w:r>
        <w:rPr>
          <w:rFonts w:ascii="Times New Roman;sans-serif" w:hAnsi="Times New Roman;sans-serif"/>
          <w:b w:val="false"/>
          <w:color w:val="000000"/>
          <w:sz w:val="20"/>
        </w:rPr>
        <w:t>6.7</w:t>
      </w:r>
      <w:r>
        <w:rPr>
          <w:color w:val="000000"/>
        </w:rPr>
        <w:t xml:space="preserve">     </w:t>
      </w:r>
      <w:r>
        <w:rPr>
          <w:rFonts w:ascii="Times New Roman;sans-serif" w:hAnsi="Times New Roman;sans-serif"/>
          <w:b w:val="false"/>
          <w:color w:val="000000"/>
          <w:sz w:val="20"/>
        </w:rPr>
        <w:t xml:space="preserve">It is explicitly acknowledged and agreed that the Monthly Salary includes mandatory travel expenses in accordance with applicable law and Employee shall not be entitled to receive any additional reimbursement of travel expenses. </w:t>
      </w:r>
    </w:p>
    <w:p>
      <w:pPr>
        <w:pStyle w:val="TextBody"/>
        <w:bidi w:val="0"/>
        <w:spacing w:lineRule="auto" w:line="288" w:before="0" w:after="113"/>
        <w:ind w:left="0" w:right="0" w:firstLine="813"/>
        <w:jc w:val="both"/>
        <w:rPr/>
      </w:pPr>
      <w:r>
        <w:rPr>
          <w:rFonts w:ascii="Times New Roman;sans-serif" w:hAnsi="Times New Roman;sans-serif"/>
          <w:b w:val="false"/>
          <w:color w:val="000000"/>
          <w:sz w:val="20"/>
        </w:rPr>
        <w:t>6.8</w:t>
      </w:r>
      <w:r>
        <w:rPr>
          <w:color w:val="000000"/>
        </w:rPr>
        <w:t xml:space="preserve"> </w:t>
      </w:r>
      <w:r>
        <w:rPr>
          <w:rFonts w:ascii="Times New Roman;sans-serif" w:hAnsi="Times New Roman;sans-serif"/>
          <w:b w:val="false"/>
          <w:color w:val="000000"/>
          <w:sz w:val="20"/>
        </w:rPr>
        <w:t xml:space="preserve">The Employee shall be entitled to sick leave and convalescence payments (known as “Dmei Havra’a”) in accordance with the applicable law, extension orders and in accordance with the applicable Company’ Rules, as may be amended from time to time. </w:t>
      </w:r>
    </w:p>
    <w:p>
      <w:pPr>
        <w:pStyle w:val="TextBody"/>
        <w:bidi w:val="0"/>
        <w:spacing w:lineRule="auto" w:line="288" w:before="0" w:after="113"/>
        <w:ind w:left="0" w:right="0" w:firstLine="813"/>
        <w:jc w:val="both"/>
        <w:rPr/>
      </w:pPr>
      <w:r>
        <w:rPr>
          <w:rFonts w:ascii="Times New Roman;sans-serif" w:hAnsi="Times New Roman;sans-serif"/>
          <w:b w:val="false"/>
          <w:color w:val="000000"/>
          <w:sz w:val="20"/>
        </w:rPr>
        <w:t>6.9</w:t>
      </w:r>
      <w:r>
        <w:rPr>
          <w:color w:val="000000"/>
        </w:rPr>
        <w:t xml:space="preserve"> </w:t>
      </w:r>
      <w:r>
        <w:rPr>
          <w:rFonts w:ascii="Times New Roman;sans-serif" w:hAnsi="Times New Roman;sans-serif"/>
          <w:b w:val="false"/>
          <w:color w:val="000000"/>
          <w:sz w:val="20"/>
        </w:rPr>
        <w:t xml:space="preserve">The Employee shall bring to the attention of his Direct Manager any call-up order for military reserve duty immediately upon receipt of the order. </w:t>
      </w:r>
    </w:p>
    <w:p>
      <w:pPr>
        <w:pStyle w:val="TextBody"/>
        <w:bidi w:val="0"/>
        <w:spacing w:lineRule="auto" w:line="300" w:before="0" w:after="100"/>
        <w:jc w:val="left"/>
        <w:rPr/>
      </w:pPr>
      <w:r>
        <w:rPr>
          <w:color w:val="000000"/>
        </w:rPr>
        <w:t>    </w:t>
      </w: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u w:val="single"/>
        </w:rPr>
        <w:t>Bonus</w:t>
      </w:r>
      <w:r>
        <w:rPr>
          <w:color w:val="000000"/>
        </w:rPr>
        <w:t xml:space="preserve"> </w:t>
      </w:r>
    </w:p>
    <w:p>
      <w:pPr>
        <w:pStyle w:val="TextBody"/>
        <w:bidi w:val="0"/>
        <w:spacing w:lineRule="auto" w:line="288" w:before="0" w:after="113"/>
        <w:ind w:left="0" w:right="0" w:firstLine="798"/>
        <w:jc w:val="left"/>
        <w:rPr/>
      </w:pPr>
      <w:r>
        <w:rPr>
          <w:rFonts w:ascii="Times New Roman;sans-serif" w:hAnsi="Times New Roman;sans-serif"/>
          <w:b w:val="false"/>
          <w:color w:val="000000"/>
          <w:sz w:val="20"/>
        </w:rPr>
        <w:t>7.1</w:t>
      </w:r>
      <w:r>
        <w:rPr>
          <w:color w:val="000000"/>
        </w:rPr>
        <w:t xml:space="preserve">     </w:t>
      </w:r>
      <w:r>
        <w:rPr>
          <w:rFonts w:ascii="Times New Roman;sans-serif" w:hAnsi="Times New Roman;sans-serif"/>
          <w:b w:val="false"/>
          <w:color w:val="000000"/>
          <w:sz w:val="20"/>
        </w:rPr>
        <w:t xml:space="preserve">The Employee shall be entitled to MBO incentive payments, according to the CEO’s decision. </w:t>
      </w:r>
    </w:p>
    <w:p>
      <w:pPr>
        <w:pStyle w:val="TextBody"/>
        <w:bidi w:val="0"/>
        <w:spacing w:lineRule="auto" w:line="288" w:before="0" w:after="145"/>
        <w:ind w:left="0" w:right="0" w:firstLine="1080"/>
        <w:jc w:val="left"/>
        <w:rPr/>
      </w:pPr>
      <w:r>
        <w:rPr>
          <w:rFonts w:ascii="Times New Roman;sans-serif" w:hAnsi="Times New Roman;sans-serif"/>
          <w:b w:val="false"/>
          <w:color w:val="000000"/>
          <w:sz w:val="20"/>
        </w:rPr>
        <w:t>7.2</w:t>
      </w:r>
      <w:r>
        <w:rPr>
          <w:color w:val="000000"/>
        </w:rPr>
        <w:t xml:space="preserve">     </w:t>
      </w:r>
      <w:r>
        <w:rPr>
          <w:rFonts w:ascii="Times New Roman;sans-serif" w:hAnsi="Times New Roman;sans-serif"/>
          <w:b w:val="false"/>
          <w:color w:val="000000"/>
          <w:sz w:val="20"/>
        </w:rPr>
        <w:t xml:space="preserve">The maximum Bonus payment per year shall be as follows: </w:t>
      </w:r>
    </w:p>
    <w:p>
      <w:pPr>
        <w:pStyle w:val="TextBody"/>
        <w:bidi w:val="0"/>
        <w:spacing w:lineRule="auto" w:line="288" w:before="0" w:after="158"/>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7.2.1     The maximum Annual Bonus shall be 280,000 NIS (gross). </w:t>
      </w:r>
    </w:p>
    <w:p>
      <w:pPr>
        <w:pStyle w:val="TextBody"/>
        <w:bidi w:val="0"/>
        <w:spacing w:lineRule="auto" w:line="288" w:before="0" w:after="158"/>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7.2.2     The maximum Annual Additional Stretch Bonus shall be 80,864 NIS (gross) </w:t>
      </w:r>
    </w:p>
    <w:p>
      <w:pPr>
        <w:pStyle w:val="TextBody"/>
        <w:bidi w:val="0"/>
        <w:spacing w:lineRule="auto" w:line="288" w:before="0" w:after="146"/>
        <w:ind w:left="0" w:right="0" w:firstLine="813"/>
        <w:jc w:val="both"/>
        <w:rPr/>
      </w:pPr>
      <w:r>
        <w:rPr>
          <w:rFonts w:ascii="Times New Roman;sans-serif" w:hAnsi="Times New Roman;sans-serif"/>
          <w:b w:val="false"/>
          <w:color w:val="000000"/>
          <w:sz w:val="20"/>
        </w:rPr>
        <w:t>7.3</w:t>
      </w:r>
      <w:r>
        <w:rPr>
          <w:color w:val="000000"/>
        </w:rPr>
        <w:t xml:space="preserve"> </w:t>
      </w:r>
      <w:r>
        <w:rPr>
          <w:rFonts w:ascii="Times New Roman;sans-serif" w:hAnsi="Times New Roman;sans-serif"/>
          <w:b w:val="false"/>
          <w:color w:val="000000"/>
          <w:sz w:val="20"/>
        </w:rPr>
        <w:t>Employee’s entitlement to the Annual Bonus and Annual Additional Stretch Bonus shall be determined, for each calendar year, on the basis of Employee’s (and the Company’s) attainment of certain goals and objectives defined by the Company, which are set forth in the Employee’s annual Bonus Plan (the “</w:t>
      </w:r>
      <w:r>
        <w:rPr>
          <w:rFonts w:ascii="Times New Roman;sans-serif" w:hAnsi="Times New Roman;sans-serif"/>
          <w:b/>
          <w:color w:val="000000"/>
          <w:sz w:val="20"/>
        </w:rPr>
        <w:t>Qualifying Objectives</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7.4     The Company will pay the Employee a monthly amount of 16,333 NIS (gross) (“Monthly Bonus Amount”) which is the equivalent of 70% of the pro-rated maximum Annual Bonus.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7.5 At the end of Q2 of each calendar year, and again at the end of the calendar year, Company will assess attainment of the Qualifying Objectives, and will calculate Employee’s entitlement to the Bonus (or any portion thereof). In the event that Annual Bonus and Annual Additional Stretch Bonus attainment amounts exceed the aggregate Monthly Bonus Amounts paid during the applicable part of the calendar year, then the Employee shall be entitled to receive the balance, which will be paid in September (based on attainment calculated as of the end of Q2) and March of the subsequent calendar year (for attainment calculated as of the end of the applicable calendar year), respectively. If the applicable Annual Bonus and Annual Additional Stretch Bonus attainment amounts are lower than the aggregate Bonus amounts paid during the applicable calendar year, then such shortfall amount will be taken into account and deducted from Employee’s future Bonus payments.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7.6 If Employee’s employment is terminated prior to the end of a semi-annual term as set above, or if Employee was on notice period during the term and was not actively and fully performing all of his duties through the entire term, then the Employee shall not be entitled to the Bonus for such period.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6"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7.7 Since Bonus payments, if paid, are conditional and discretionary payments, Bonus payments shall not be deemed to be part of the Employee’s salary and shall not be taken into account in the calculation of the Employee’s allocations to pension plan, education fund, severance pay, redemption of vacation, or any other employment related payment or benefit.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7.8 All Bonus payments shall be subject to all mandatory deductions and shall be deemed to be quoted in gross figures. </w:t>
      </w:r>
    </w:p>
    <w:p>
      <w:pPr>
        <w:pStyle w:val="TextBody"/>
        <w:bidi w:val="0"/>
        <w:spacing w:lineRule="auto" w:line="300" w:before="0" w:after="100"/>
        <w:jc w:val="left"/>
        <w:rPr/>
      </w:pPr>
      <w:r>
        <w:rPr>
          <w:color w:val="000000"/>
        </w:rPr>
        <w:t>    </w:t>
      </w: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u w:val="single"/>
        </w:rPr>
        <w:t>Additional Benefits</w:t>
      </w:r>
      <w:r>
        <w:rPr>
          <w:color w:val="000000"/>
        </w:rPr>
        <w:t xml:space="preserve"> </w:t>
      </w:r>
    </w:p>
    <w:p>
      <w:pPr>
        <w:pStyle w:val="TextBody"/>
        <w:bidi w:val="0"/>
        <w:spacing w:lineRule="auto" w:line="288" w:before="0" w:after="113"/>
        <w:ind w:left="0" w:right="0" w:firstLine="813"/>
        <w:jc w:val="both"/>
        <w:rPr/>
      </w:pPr>
      <w:r>
        <w:rPr>
          <w:rFonts w:ascii="Times New Roman;sans-serif" w:hAnsi="Times New Roman;sans-serif"/>
          <w:b w:val="false"/>
          <w:color w:val="000000"/>
          <w:sz w:val="20"/>
        </w:rPr>
        <w:t>8.</w:t>
      </w:r>
      <w:r>
        <w:rPr>
          <w:rFonts w:ascii="Times New Roman;sans-serif" w:hAnsi="Times New Roman;sans-serif"/>
          <w:b/>
          <w:color w:val="000000"/>
          <w:sz w:val="20"/>
        </w:rPr>
        <w:t>1 Stock Options.</w:t>
      </w:r>
      <w:r>
        <w:rPr>
          <w:color w:val="000000"/>
        </w:rPr>
        <w:t xml:space="preserve"> </w:t>
      </w:r>
    </w:p>
    <w:p>
      <w:pPr>
        <w:pStyle w:val="TextBody"/>
        <w:bidi w:val="0"/>
        <w:spacing w:lineRule="auto" w:line="288" w:before="0" w:after="158"/>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8.1.1 Following the date hereof, the management of the Company shall recommend to the Board of Directors of Kaltura, Inc., the Company’s parent company (“Kaltura”), to consider that Employee will participate in Kaltura’s 2017 Equity Incentive Plan and any applicable sub-plan (together the “Plan”), subject to its terms and conditions and such additional terms and conditions of an equity award agreement to be entered into between Employee and Kaltura, all as will be determined by the Board of Directors of Kaltura. Accordingly, subject to the approval of the Board of Directors of Kaltura, Employee will be granted the option to purchase up to 50,000 shares of common stock of Kaltura (the “Options”), at a price per share to be determined by the Board of Directors of Kaltura as the fair market value of such shares as of the applicable grant date. </w:t>
      </w:r>
    </w:p>
    <w:p>
      <w:pPr>
        <w:pStyle w:val="TextBody"/>
        <w:bidi w:val="0"/>
        <w:spacing w:before="0" w:after="2"/>
        <w:ind w:left="0" w:right="0" w:firstLine="1093"/>
        <w:jc w:val="both"/>
        <w:rPr/>
      </w:pPr>
      <w:r>
        <w:rPr/>
      </w:r>
    </w:p>
    <w:p>
      <w:pPr>
        <w:pStyle w:val="TextBody"/>
        <w:bidi w:val="0"/>
        <w:spacing w:lineRule="auto" w:line="288" w:before="0" w:after="158"/>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8.1.2 The commencement date of the vesting schedule of the Options shall be the Effective Date (the “Vesting Commencement Date”). The Options shall vest and be exercisable over a four (4) year-period (“Vesting Period”) as follows: (i) 1/4 of the Options shall vest on the first anniversary of the Vesting Commencement Date (the “First Anniversary”); (ii) thereafter, additional 1/48 of the Options shall vest at the end of each subsequent month following the First Anniversary over a three (3) year-period; (iii) in accordance with the above and provided that Employee has been continuously engaged with the Company throughout the Vesting Period, all Options shall become fully vested by the fourth (4th) anniversary of the Vesting Commencement Date. Notwithstanding the foregoing, all unvested portions of the Options shall become fully vested and exercisable subject to the occurrence of the following “double trigger” conditions: (i) during Employee’s employment with the Company (or its subsidiary, parent, or another subsidiary of Kaltura), Kaltura consummates a Merger Transaction (as such term is defined in the Plan), and (ii) within 12 months following the closing of such Merger Transaction, Employee’s employment with the Company (or the entity that employs Employee after the consummation of the Merger Transaction) is terminated (a) by the Company (or by such entity that employs Employee) for any reason other than for Cause (as such term is defined in the Plan); or (b) by Employee for Good Reason. “Good Reason” means any of the following: (i) unless agreed to otherwise by Employee, the failure by the Company (or by such entity that employs Employee) to provide Employee with all or part of his agreed upon salary and/or any other benefits required under law and/or any other material breach by the Company (or by such entity that employs Employee) of any provision of the applicable employment agreement which breach, in each case, is not cured within five (5) days after the receipt of written notice by the Company (or by such entity that employs Employee) of a description of such breach, if the breach is curable; (ii) a reduction resulting in the value of Employee’s salary and/or the monetary value of Employee’s benefits, of more than 12.5%, unless such reductions are made in the same proportion as part of across-the-board salary reductions for substantially all other employees with a similar level; (iii) a substantial diminution in the nature or status of Employee’s responsibilities, duties, titles or reporting level (unless otherwise agreed to by Employee), provided, however, that notwithstanding the foregoing, for purposes of this subsection (iii), a substantial diminution in such nature or status shall not exist in the event that due to a Merger Transaction the Employee has authority and responsibility over a division, subsidiary or entity that is substantially similar in size to the division, subsidiary or entity over which Employee had authority and responsibility immediately prior to such Merger Transaction. </w:t>
      </w:r>
    </w:p>
    <w:p>
      <w:pPr>
        <w:pStyle w:val="TextBody"/>
        <w:bidi w:val="0"/>
        <w:spacing w:before="0" w:after="158"/>
        <w:ind w:left="0" w:right="0" w:hanging="10"/>
        <w:jc w:val="both"/>
        <w:rPr/>
      </w:pPr>
      <w:r>
        <w:rPr/>
      </w:r>
    </w:p>
    <w:p>
      <w:pPr>
        <w:pStyle w:val="TextBody"/>
        <w:bidi w:val="0"/>
        <w:spacing w:lineRule="auto" w:line="288" w:before="0" w:after="158"/>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8.1.3 Employee acknowledges and agrees that Employee will be required to execute additional documents in compliance with any applicable law and the Plan, including, without limitation, an irrevocable proxy empowering a person designated by the Board of Directors of Kaltura to vote any and all shares underlying the Options, in its exclusive discretion. Any and all tax consequences arising from the grant and/or exercise of the Options to the Employee, from the payment for, or the subsequent disposition of, shares covered thereby or from any other event or act of the Company, Kaltura or of the Employee hereunder, shall be borne solely by the Employee, and the Employee will indemnify the Company and Kaltura and hold them harmless against and from any and all liability for any such tax or interest or penalty thereon, including, without limitation, liabilities relating to the necessity to withhold, or to have withheld, any such tax. The Employee hereby irrevocably authorizes the Company to deduct from any payment, which may be due to the Employee from the Company, any amount which the Employee may owe to the Company hereunder.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87"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58"/>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8.1.4 The Employee acknowledges and confirms that as of the Effective Date, the above provisions constitute the sole promise made by the Company with respect to the grant of options and any other equity securities of Kaltura to the Employee, in his capacity as an Employee and in any other capacity; provided that notwithstanding the foregoing, Employee acknowledges and agrees that Employee has no right to receive any such stock or options to acquire stock unless the grant is approved by the Board of Directors of Kaltura. </w:t>
      </w:r>
    </w:p>
    <w:p>
      <w:pPr>
        <w:pStyle w:val="TextBody"/>
        <w:bidi w:val="0"/>
        <w:spacing w:lineRule="auto" w:line="300" w:before="0" w:after="100"/>
        <w:jc w:val="left"/>
        <w:rPr/>
      </w:pPr>
      <w:r>
        <w:rPr>
          <w:color w:val="000000"/>
        </w:rPr>
        <w:t>    </w:t>
      </w:r>
      <w:r>
        <w:rPr>
          <w:rFonts w:ascii="Times New Roman;sans-serif" w:hAnsi="Times New Roman;sans-serif"/>
          <w:b w:val="false"/>
          <w:color w:val="000000"/>
          <w:sz w:val="20"/>
        </w:rPr>
        <w:t>9</w:t>
      </w:r>
      <w:r>
        <w:rPr>
          <w:color w:val="000000"/>
        </w:rPr>
        <w:t xml:space="preserve">     </w:t>
      </w:r>
      <w:r>
        <w:rPr>
          <w:rFonts w:ascii="Times New Roman;sans-serif" w:hAnsi="Times New Roman;sans-serif"/>
          <w:b/>
          <w:color w:val="000000"/>
          <w:sz w:val="20"/>
          <w:u w:val="single"/>
        </w:rPr>
        <w:t>Confidentiality, Non-Compete and Proprietary Rights</w:t>
      </w:r>
      <w:r>
        <w:rPr>
          <w:color w:val="000000"/>
        </w:rPr>
        <w:t xml:space="preserve">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9.1 The Employee shall be required, as a condition to Employee's employment with the Company, to sign the NonCompetition, Proprietary Information and Inventions Agreement in the form attached hereto as Exhibit B hereto (the “IP Agreement”).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9.2 Employee represents and warrants to the Company that he is aware that any breach of, or failure to comply with, the terms and conditions set forth in the IP Agreement, or part of them, will cause the Company or the Company’s affiliates serious and irreparable damage, and that no financial compensation can be an appropriate remedy to such damage. Therefore, Employee agrees, that if such a breach occurs, the Company, any of the Company’s affiliates or any of their designee(s) shall be entitled, without prejudice, to take all legal means necessary, and all and any injunctive relief as is necessary to restrain any continuing or further breach of this Agreement and the IP Agreement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9.3 For the removal of doubt, it is hereby clarified that the Employee‘s compensation under this Employment Agreement has been calculated to include special consideration for the commitments under Exhibit B and the Employee will not be entitled to any further consideration for such commitments, expressly including no entitlement to royalties for any Service Inventions as defined in Section 132 of the Patent Law, 1967 (the “Patent Law”). This clause constitutes an express waiver of my rights under Section 134 of the Patent Law.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9.4 To the extent the services, deliverables, Inventions (as defined in the IP Agreement) or any other work product provided by Employee include any software, computer code and/or firmware, any such services, deliverables, Inventions or work product shall not incorporate or include any Open Source (as defined below), unless explicitly approved in writing by Company in each instance. In addition, all services, deliverables, Inventions and any other work product provided by Employee shall on delivery be free of viruses, malicious code, time bombs, Trojan horses, back doors, drop dead devices, worms, or other code of any kind that may disable, erase, display any unauthorized message, permit unauthorized access, automatically or remotely stop software, code and/or firmware from operating, or otherwise impair the services, deliverables, Inventions or work product or the Company network or any part thereof. “Open Source” means any software that requires as a condition of its use, the modification and/or distribution of such software or other software incorporated into, derived from or distributed with such software be: (i) disclosed or distributed in source code form; (ii) licensed for the purpose of making derivative works; or (ii) redistributable at no charge. </w:t>
      </w:r>
    </w:p>
    <w:p>
      <w:pPr>
        <w:pStyle w:val="TextBody"/>
        <w:bidi w:val="0"/>
        <w:spacing w:lineRule="auto" w:line="300" w:before="0" w:after="100"/>
        <w:ind w:left="0" w:right="0" w:hanging="10"/>
        <w:jc w:val="left"/>
        <w:rPr/>
      </w:pPr>
      <w:r>
        <w:rPr>
          <w:rFonts w:ascii="Times New Roman;sans-serif" w:hAnsi="Times New Roman;sans-serif"/>
          <w:b w:val="false"/>
          <w:color w:val="000000"/>
          <w:sz w:val="20"/>
        </w:rPr>
        <w:t>10</w:t>
      </w:r>
      <w:r>
        <w:rPr>
          <w:color w:val="000000"/>
        </w:rPr>
        <w:t xml:space="preserve"> </w:t>
      </w:r>
      <w:r>
        <w:rPr>
          <w:rFonts w:ascii="Times New Roman;sans-serif" w:hAnsi="Times New Roman;sans-serif"/>
          <w:b/>
          <w:color w:val="000000"/>
          <w:sz w:val="20"/>
          <w:u w:val="single"/>
        </w:rPr>
        <w:t>Employee Representations and Warranties</w:t>
      </w:r>
      <w:r>
        <w:rPr>
          <w:color w:val="000000"/>
        </w:rPr>
        <w:t xml:space="preserve">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10.1 The Employee represents and warrants to the Company that the execution and delivery of this Employment Agreement and the fulfillment of the terms hereof: (i) will not constitute a default under or breach of any agreement or other instrument to which he/she is a party or by which he is bound, including without limitation, any confidentiality, invention assignment or non-competition agreement; (ii) that no provision of any law, regulation, agreement or other document prohibits him/her from entering into this Employment Agreement; (iii) do </w:t>
      </w:r>
    </w:p>
    <w:p>
      <w:pPr>
        <w:pStyle w:val="TextBody"/>
        <w:bidi w:val="0"/>
        <w:spacing w:lineRule="auto" w:line="288" w:before="0" w:after="1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require the consent of any person or entity; and (iv) shall not utilize during the term of his employment any proprietary information of any third party, including prior employers of the Employee (other than any affiliate of the Company).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88"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10.1 The Employee acknowledges that the Company is relying on the Employee's representations under this Section 8 upon entering into this Employment Agreement and any misrepresentation under this section by the Employee shall constitute a material breach of this Employment Agreement.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10.2 The Employee hereby agrees and acknowledges that he has read, understands and consents to the Company Computer Policy attached hereto as Exhibit E and incorporated herein by reference, and agrees to, concurrently with the execution of this Employment Agreement, to execute such form.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10.3 The Employee shall immediately and without delay inform the Company of any affairs and/or matters that might constitute a conflict of interest with the Employee’s Position and/or employment with Company and/or the interests of the Company. </w:t>
      </w:r>
    </w:p>
    <w:p>
      <w:pPr>
        <w:pStyle w:val="TextBody"/>
        <w:bidi w:val="0"/>
        <w:spacing w:lineRule="auto" w:line="300" w:before="0" w:after="100"/>
        <w:ind w:left="0" w:right="0" w:hanging="10"/>
        <w:jc w:val="left"/>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color w:val="000000"/>
          <w:sz w:val="20"/>
          <w:u w:val="single"/>
        </w:rPr>
        <w:t>General</w:t>
      </w:r>
      <w:r>
        <w:rPr>
          <w:color w:val="000000"/>
        </w:rPr>
        <w:t xml:space="preserve">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11.1 This Employment Agreement, together with its Exhibit and Schedules, constitute the entire understanding and agreement between the parties hereto, supersedes any and all prior discussions, agreements and correspondence with regard to the subject matter hereof, and may not be amended, modified or supplemented in any respect, except by a subsequent written document executed by both Employee and the Company.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11.2 The Company may assign or transfer this Employment Agreement or any right, claim or obligation provided herein subject to any applicable law, provided however that none of the Employee’s rights under this Agreement are thereby diminished. The obligations of the Employee hereunder shall not be assignable or delegable.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11.3 All notices, requests and other communications to any party hereunder shall be given or made in writing and faxed, emailed, mailed (by registered or certified mail) or delivered by hand to the respective party at the address set forth in the caption of this Employment Agreement or to such other address (or fax number or email address) as such party may hereafter specify for the purpose of notice to the other party hereto. Each such notice, request or other communication shall be effective (a) if given by fax or email, one (1) business day after such fax is transmitted to the fax number or email address specified herein and the appropriate answerback is received, or (b) if given by any other means, when delivered at the address specified in the Employment Agreement.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11.4 This Employment Agreement shall be governed by, and construed and enforced in accordance with, the laws of Israel without giving effect to principles of conflicts of law thereof. The parties submit to the exclusive jurisdiction of the competent courts of Israel in any dispute related to this Employment Agreement.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11.5 The parties hereby confirm that this is a personal services contract and that the relationship between the parties hereto shall not be subject to any general or special collective employment agreement or any custom or practice of the Company in respect of any of its other employees or contractors. </w:t>
      </w:r>
    </w:p>
    <w:p>
      <w:pPr>
        <w:pStyle w:val="TextBody"/>
        <w:bidi w:val="0"/>
        <w:spacing w:lineRule="auto" w:line="288" w:before="0" w:after="113"/>
        <w:ind w:left="0" w:right="0" w:firstLine="81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11.6 This Employment Agreement includes the terms to be contained in, and constitutes, the written notice to be delivered to the Employee pursuant to the Notice to Employee Law (Terms of Employment), 2002. Accordingly, this Employment Agreement shall come in lieu of the notice that is required under the Notice to Employee Law. </w:t>
      </w:r>
    </w:p>
    <w:p>
      <w:pPr>
        <w:pStyle w:val="TextBody"/>
        <w:bidi w:val="0"/>
        <w:spacing w:lineRule="auto" w:line="288" w:before="0" w:after="191"/>
        <w:ind w:left="0" w:right="0" w:hanging="1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xml:space="preserve">, the Company and the Employee have executed this Employment Agreement as of the date first appearing above. </w:t>
      </w:r>
    </w:p>
    <w:tbl>
      <w:tblPr>
        <w:tblW w:w="602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389"/>
        <w:gridCol w:w="389"/>
        <w:gridCol w:w="55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Natan Israeli</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89"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ind w:left="0" w:right="0" w:hanging="10"/>
        <w:jc w:val="center"/>
        <w:rPr/>
      </w:pPr>
      <w:r>
        <w:rPr>
          <w:rFonts w:ascii="Times New Roman;sans-serif" w:hAnsi="Times New Roman;sans-serif"/>
          <w:b/>
          <w:color w:val="000000"/>
          <w:sz w:val="20"/>
          <w:u w:val="single"/>
        </w:rPr>
        <w:t>Exhibit A</w:t>
      </w:r>
      <w:r>
        <w:rPr>
          <w:color w:val="000000"/>
        </w:rPr>
        <w:t xml:space="preserve"> </w:t>
      </w:r>
    </w:p>
    <w:p>
      <w:pPr>
        <w:pStyle w:val="TextBody"/>
        <w:bidi w:val="0"/>
        <w:spacing w:lineRule="auto" w:line="300" w:before="0" w:after="208"/>
        <w:jc w:val="center"/>
        <w:rPr>
          <w:rFonts w:ascii="Times New Roman;sans-serif" w:hAnsi="Times New Roman;sans-serif"/>
          <w:b/>
          <w:i/>
          <w:color w:val="000000"/>
          <w:sz w:val="20"/>
        </w:rPr>
      </w:pPr>
      <w:r>
        <w:rPr>
          <w:rFonts w:ascii="Times New Roman;sans-serif" w:hAnsi="Times New Roman;sans-serif"/>
          <w:b/>
          <w:i/>
          <w:color w:val="000000"/>
          <w:sz w:val="20"/>
        </w:rPr>
        <w:t xml:space="preserve">Employment Terms </w:t>
      </w:r>
    </w:p>
    <w:p>
      <w:pPr>
        <w:pStyle w:val="TextBody"/>
        <w:bidi w:val="0"/>
        <w:spacing w:before="0" w:after="8"/>
        <w:ind w:left="0" w:right="0" w:hanging="10"/>
        <w:jc w:val="both"/>
        <w:rPr/>
      </w:pPr>
      <w:r>
        <w:rPr/>
      </w:r>
    </w:p>
    <w:p>
      <w:pPr>
        <w:pStyle w:val="TextBody"/>
        <w:bidi w:val="0"/>
        <w:spacing w:lineRule="auto" w:line="288" w:before="0" w:after="113"/>
        <w:ind w:left="0" w:right="0" w:hanging="10"/>
        <w:jc w:val="both"/>
        <w:rPr/>
      </w:pPr>
      <w:r>
        <w:rPr>
          <w:rFonts w:ascii="Times New Roman;sans-serif" w:hAnsi="Times New Roman;sans-serif"/>
          <w:b w:val="false"/>
          <w:color w:val="000000"/>
          <w:sz w:val="20"/>
        </w:rPr>
        <w:t>Set forth below is a table detailing the specific terms of your employment (the “</w:t>
      </w:r>
      <w:r>
        <w:rPr>
          <w:rFonts w:ascii="Times New Roman;sans-serif" w:hAnsi="Times New Roman;sans-serif"/>
          <w:b/>
          <w:i/>
          <w:color w:val="000000"/>
          <w:sz w:val="20"/>
        </w:rPr>
        <w:t>Employment Terms</w:t>
      </w:r>
      <w:r>
        <w:rPr>
          <w:color w:val="000000"/>
        </w:rPr>
        <w:t>”</w:t>
      </w:r>
      <w:r>
        <w:rPr>
          <w:rFonts w:ascii="Times New Roman;sans-serif" w:hAnsi="Times New Roman;sans-serif"/>
          <w:b w:val="false"/>
          <w:color w:val="000000"/>
          <w:sz w:val="20"/>
        </w:rPr>
        <w:t>) with Kaltura Ltd., an Israeli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Please review carefully both the “Employment Terms” and the terms and conditions of the Employment Agreement to which this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is attached. Once you fully understand the terms and conditions set forth herein and agreed to all of the terms and conditions, you are kindly requested to sign the Employment Agreement and the ancillary forms attached thereto and return them to the Company. Your execution of this document constitutes your agreement to the Employment Agreement, including your Employment Terms. The Employment Terms set forth below are subject to the terms and conditions set forth in the Employment Agreement.</w:t>
      </w:r>
      <w:r>
        <w:rPr>
          <w:color w:val="000000"/>
        </w:rPr>
        <w:t xml:space="preserve"> </w:t>
      </w:r>
      <w:r>
        <w:rPr>
          <w:rFonts w:ascii="Times New Roman;sans-serif" w:hAnsi="Times New Roman;sans-serif"/>
          <w:b w:val="false"/>
          <w:color w:val="000000"/>
          <w:sz w:val="20"/>
        </w:rPr>
        <w:t xml:space="preserve">Capitalized terms used but not defined herein shall have the meanings as ascribed to them under the Employment Agreement. </w:t>
      </w:r>
    </w:p>
    <w:tbl>
      <w:tblPr>
        <w:tblW w:w="10205" w:type="dxa"/>
        <w:jc w:val="left"/>
        <w:tblInd w:w="0" w:type="dxa"/>
        <w:tblLayout w:type="fixed"/>
        <w:tblCellMar>
          <w:top w:w="28" w:type="dxa"/>
          <w:left w:w="28" w:type="dxa"/>
          <w:bottom w:w="28" w:type="dxa"/>
          <w:right w:w="28" w:type="dxa"/>
        </w:tblCellMar>
      </w:tblPr>
      <w:tblGrid>
        <w:gridCol w:w="919"/>
        <w:gridCol w:w="773"/>
        <w:gridCol w:w="778"/>
        <w:gridCol w:w="1205"/>
        <w:gridCol w:w="1205"/>
        <w:gridCol w:w="1205"/>
        <w:gridCol w:w="1205"/>
        <w:gridCol w:w="1205"/>
        <w:gridCol w:w="1710"/>
      </w:tblGrid>
      <w:tr>
        <w:trPr/>
        <w:tc>
          <w:tcPr>
            <w:tcW w:w="9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Personal Details</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Full Name: Natan Israeli </w:t>
            </w:r>
          </w:p>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 Number: 029075066 </w:t>
            </w:r>
          </w:p>
          <w:p>
            <w:pPr>
              <w:pStyle w:val="TableContents"/>
              <w:bidi w:val="0"/>
              <w:spacing w:lineRule="auto" w:line="240" w:before="0" w:after="0"/>
              <w:jc w:val="left"/>
              <w:rPr/>
            </w:pPr>
            <w:r>
              <w:rPr>
                <w:rFonts w:ascii="Times New Roman;sans-serif" w:hAnsi="Times New Roman;sans-serif"/>
                <w:b w:val="false"/>
                <w:color w:val="000000"/>
                <w:sz w:val="20"/>
              </w:rPr>
              <w:t>Address: No. 60 Isachar street, Modiin Telephone Number (cell):</w:t>
            </w:r>
            <w:r>
              <w:rPr>
                <w:color w:val="2E74B5"/>
              </w:rPr>
              <w:t xml:space="preserve"> </w:t>
            </w:r>
          </w:p>
          <w:p>
            <w:pPr>
              <w:pStyle w:val="TableContents"/>
              <w:bidi w:val="0"/>
              <w:spacing w:lineRule="auto" w:line="300" w:before="0" w:after="0"/>
              <w:jc w:val="left"/>
              <w:rPr/>
            </w:pPr>
            <w:r>
              <w:rPr>
                <w:rFonts w:ascii="Times New Roman;sans-serif" w:hAnsi="Times New Roman;sans-serif"/>
                <w:b w:val="false"/>
                <w:color w:val="000000"/>
                <w:sz w:val="20"/>
              </w:rPr>
              <w:t xml:space="preserve">E-mail: </w:t>
            </w:r>
            <w:r>
              <w:rPr>
                <w:rFonts w:ascii="Times New Roman;sans-serif" w:hAnsi="Times New Roman;sans-serif"/>
                <w:b w:val="false"/>
                <w:color w:val="0000FF"/>
                <w:sz w:val="20"/>
                <w:u w:val="single"/>
              </w:rPr>
              <w:t>natanisr1234@gmail.com</w:t>
            </w:r>
            <w:r>
              <w:rPr>
                <w:color w:val="000000"/>
              </w:rPr>
              <w:t xml:space="preserve"> </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Position</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CCSO Chief Customer Services Officer</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Manager</w:t>
            </w:r>
          </w:p>
        </w:tc>
        <w:tc>
          <w:tcPr>
            <w:tcW w:w="773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r>
      <w:tr>
        <w:trPr/>
        <w:tc>
          <w:tcPr>
            <w:tcW w:w="24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4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Monthly Salary </w:t>
            </w:r>
          </w:p>
          <w:p>
            <w:pPr>
              <w:pStyle w:val="TableContents"/>
              <w:bidi w:val="0"/>
              <w:spacing w:lineRule="auto" w:line="300" w:before="0" w:after="0"/>
              <w:jc w:val="left"/>
              <w:rPr>
                <w:color w:val="000000"/>
              </w:rPr>
            </w:pPr>
            <w:r>
              <w:rPr>
                <w:color w:val="000000"/>
              </w:rPr>
              <w:t> </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 Salary:</w:t>
            </w:r>
          </w:p>
        </w:tc>
        <w:tc>
          <w:tcPr>
            <w:tcW w:w="41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70,000NIS (gross)</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of Work</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time</w:t>
            </w:r>
          </w:p>
        </w:tc>
      </w:tr>
      <w:tr>
        <w:trPr/>
        <w:tc>
          <w:tcPr>
            <w:tcW w:w="24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6"/>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Period (by the Company or the Employee)</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days</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Entitled under Section 14 route. Per the terms detailed in the Employment Agreement. </w:t>
            </w:r>
          </w:p>
          <w:p>
            <w:pPr>
              <w:pStyle w:val="TableContents"/>
              <w:bidi w:val="0"/>
              <w:spacing w:lineRule="auto" w:line="300" w:before="0" w:after="0"/>
              <w:jc w:val="left"/>
              <w:rPr>
                <w:color w:val="000000"/>
              </w:rPr>
            </w:pPr>
            <w:r>
              <w:rPr>
                <w:color w:val="000000"/>
              </w:rPr>
              <w:t> </w:t>
            </w:r>
          </w:p>
        </w:tc>
      </w:tr>
      <w:tr>
        <w:trPr/>
        <w:tc>
          <w:tcPr>
            <w:tcW w:w="24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4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Keren Hishtalmut </w:t>
            </w:r>
          </w:p>
          <w:p>
            <w:pPr>
              <w:pStyle w:val="TableContents"/>
              <w:bidi w:val="0"/>
              <w:spacing w:lineRule="auto" w:line="300" w:before="0" w:after="3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(Education Fund) </w:t>
            </w:r>
          </w:p>
          <w:p>
            <w:pPr>
              <w:pStyle w:val="TableContents"/>
              <w:bidi w:val="0"/>
              <w:spacing w:lineRule="auto" w:line="300" w:before="0" w:after="0"/>
              <w:jc w:val="left"/>
              <w:rPr>
                <w:color w:val="000000"/>
              </w:rPr>
            </w:pPr>
            <w:r>
              <w:rPr>
                <w:color w:val="000000"/>
              </w:rPr>
              <w:t> </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4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Entitled. </w:t>
            </w:r>
          </w:p>
          <w:p>
            <w:pPr>
              <w:pStyle w:val="TableContents"/>
              <w:bidi w:val="0"/>
              <w:spacing w:lineRule="auto" w:line="300" w:before="0" w:after="3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Contribution- 7.5% of the Monthly Salary </w:t>
            </w:r>
          </w:p>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Contribution- 2.5% of the Monthly Salary </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Days</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workdays per year.</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Sick Leave Days per Year</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pPr>
            <w:r>
              <w:rPr>
                <w:rFonts w:ascii="Calibri;sans-serif" w:hAnsi="Calibri;sans-serif"/>
                <w:b w:val="false"/>
                <w:color w:val="000000"/>
                <w:sz w:val="20"/>
              </w:rPr>
              <w:t>Per Applicable Law. Notwithstanding the aforementioned, Employee shall be entitled to full payment with regard to his Sick Days as of the first day of absence due to sick leave.</w:t>
            </w:r>
            <w:r>
              <w:rPr>
                <w:color w:val="000000"/>
              </w:rPr>
              <w:t xml:space="preserve"> </w:t>
            </w:r>
          </w:p>
        </w:tc>
      </w:tr>
      <w:tr>
        <w:trPr/>
        <w:tc>
          <w:tcPr>
            <w:tcW w:w="2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Recreation Days</w:t>
            </w:r>
          </w:p>
        </w:tc>
        <w:tc>
          <w:tcPr>
            <w:tcW w:w="7735" w:type="dxa"/>
            <w:gridSpan w:val="6"/>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Applicable Law.</w:t>
            </w:r>
          </w:p>
        </w:tc>
      </w:tr>
      <w:tr>
        <w:trPr/>
        <w:tc>
          <w:tcPr>
            <w:tcW w:w="247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735" w:type="dxa"/>
            <w:gridSpan w:val="6"/>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7"/>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lineRule="auto" w:line="288" w:before="0" w:after="113"/>
        <w:ind w:left="0" w:right="0" w:hanging="1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xml:space="preserve">, the parties have executed these Employment Terms Agreement effective as of the Effective Date.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0"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13"/>
        <w:ind w:left="0" w:right="0" w:hanging="10"/>
        <w:jc w:val="both"/>
        <w:rPr/>
      </w:pPr>
      <w:r>
        <w:rPr/>
      </w:r>
    </w:p>
    <w:tbl>
      <w:tblPr>
        <w:tblW w:w="602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389"/>
        <w:gridCol w:w="389"/>
        <w:gridCol w:w="55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Natan Israeli</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83"/>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0"/>
        <w:ind w:left="0" w:right="0" w:hanging="10"/>
        <w:jc w:val="center"/>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1"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13"/>
        <w:ind w:left="0" w:right="0" w:hanging="10"/>
        <w:jc w:val="center"/>
        <w:rPr/>
      </w:pPr>
      <w:r>
        <w:rPr/>
      </w:r>
    </w:p>
    <w:p>
      <w:pPr>
        <w:pStyle w:val="TextBody"/>
        <w:bidi w:val="0"/>
        <w:spacing w:lineRule="auto" w:line="300" w:before="0" w:after="0"/>
        <w:ind w:left="0" w:right="0" w:hanging="1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ADDENDUM TO PERSONAL EMPLOYMENT AGREEMENT </w:t>
      </w:r>
    </w:p>
    <w:p>
      <w:pPr>
        <w:pStyle w:val="TextBody"/>
        <w:bidi w:val="0"/>
        <w:spacing w:before="0" w:after="113"/>
        <w:ind w:left="0" w:right="0" w:hanging="10"/>
        <w:jc w:val="both"/>
        <w:rPr/>
      </w:pPr>
      <w:r>
        <w:rPr/>
      </w:r>
    </w:p>
    <w:p>
      <w:pPr>
        <w:pStyle w:val="TextBody"/>
        <w:bidi w:val="0"/>
        <w:spacing w:lineRule="auto" w:line="283" w:before="0" w:after="235"/>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ADDENDUM TO EMPLOYMENT AGREEMENT (this “Addendum”) is made and entered into this 7 day of March 2021 by and between Kaltura Ltd., (the “Company”), and Natan Israeli (the “Employee”). The Company and the Employee are sometimes referred to herein individually as a “Party” and collectively as the “Parties.” </w:t>
      </w:r>
    </w:p>
    <w:p>
      <w:pPr>
        <w:pStyle w:val="TextBody"/>
        <w:bidi w:val="0"/>
        <w:spacing w:lineRule="auto" w:line="288" w:before="0" w:after="113"/>
        <w:ind w:left="0" w:right="0" w:firstLine="720"/>
        <w:jc w:val="both"/>
        <w:rPr/>
      </w:pPr>
      <w:r>
        <w:rPr>
          <w:rFonts w:ascii="Calibri;sans-serif" w:hAnsi="Calibri;sans-serif"/>
          <w:b/>
          <w:color w:val="000000"/>
          <w:sz w:val="20"/>
        </w:rPr>
        <w:t>WHEREAS,</w:t>
      </w:r>
      <w:r>
        <w:rPr>
          <w:color w:val="000000"/>
        </w:rPr>
        <w:t xml:space="preserve"> </w:t>
      </w:r>
      <w:r>
        <w:rPr>
          <w:rFonts w:ascii="Times New Roman;sans-serif" w:hAnsi="Times New Roman;sans-serif"/>
          <w:b w:val="false"/>
          <w:color w:val="000000"/>
          <w:sz w:val="20"/>
        </w:rPr>
        <w:t>the Parties entered into an Employment Agreement dated 26 November 2020 (as subsequently amended from time to time (the “</w:t>
      </w:r>
      <w:r>
        <w:rPr>
          <w:rFonts w:ascii="Calibri;sans-serif" w:hAnsi="Calibri;sans-serif"/>
          <w:b/>
          <w:color w:val="000000"/>
          <w:sz w:val="20"/>
        </w:rPr>
        <w:t>Employment</w:t>
      </w:r>
      <w:r>
        <w:rPr>
          <w:color w:val="000000"/>
        </w:rPr>
        <w:t xml:space="preserve"> </w:t>
      </w:r>
      <w:r>
        <w:rPr>
          <w:rFonts w:ascii="Calibri;sans-serif" w:hAnsi="Calibri;sans-serif"/>
          <w:b/>
          <w:color w:val="000000"/>
          <w:sz w:val="20"/>
        </w:rPr>
        <w:t>Agreement</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13"/>
        <w:ind w:left="0" w:right="0" w:firstLine="720"/>
        <w:jc w:val="both"/>
        <w:rPr/>
      </w:pPr>
      <w:r>
        <w:rPr>
          <w:rFonts w:ascii="Calibri;sans-serif" w:hAnsi="Calibri;sans-serif"/>
          <w:b/>
          <w:color w:val="000000"/>
          <w:sz w:val="20"/>
        </w:rPr>
        <w:t>WHEREAS</w:t>
      </w:r>
      <w:r>
        <w:rPr>
          <w:rFonts w:ascii="Times New Roman;sans-serif" w:hAnsi="Times New Roman;sans-serif"/>
          <w:b w:val="false"/>
          <w:color w:val="000000"/>
          <w:sz w:val="20"/>
        </w:rPr>
        <w:t xml:space="preserve">, the Parties wish to amend or add certain terms and provisions to the Employment Agreement as detailed below; </w:t>
      </w:r>
    </w:p>
    <w:p>
      <w:pPr>
        <w:pStyle w:val="TextBody"/>
        <w:bidi w:val="0"/>
        <w:spacing w:lineRule="auto" w:line="288" w:before="0" w:after="113"/>
        <w:ind w:left="0" w:right="0" w:hanging="10"/>
        <w:jc w:val="both"/>
        <w:rPr/>
      </w:pPr>
      <w:r>
        <w:rPr>
          <w:rFonts w:ascii="Calibri;sans-serif" w:hAnsi="Calibri;sans-serif"/>
          <w:b/>
          <w:color w:val="000000"/>
          <w:sz w:val="20"/>
        </w:rPr>
        <w:t>NOW, THEREFORE</w:t>
      </w:r>
      <w:r>
        <w:rPr>
          <w:rFonts w:ascii="Times New Roman;sans-serif" w:hAnsi="Times New Roman;sans-serif"/>
          <w:b w:val="false"/>
          <w:color w:val="000000"/>
          <w:sz w:val="20"/>
        </w:rPr>
        <w:t xml:space="preserve">, in consideration of the premises and mutual covenants and conditions herein </w:t>
      </w:r>
    </w:p>
    <w:p>
      <w:pPr>
        <w:pStyle w:val="TextBody"/>
        <w:bidi w:val="0"/>
        <w:spacing w:lineRule="auto" w:line="288" w:before="0" w:after="113"/>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contained, the Parties agree as follows: </w:t>
      </w:r>
    </w:p>
    <w:p>
      <w:pPr>
        <w:pStyle w:val="TextBody"/>
        <w:bidi w:val="0"/>
        <w:spacing w:lineRule="auto" w:line="278" w:before="0" w:after="0"/>
        <w:ind w:left="0" w:right="0" w:firstLine="720"/>
        <w:jc w:val="left"/>
        <w:rPr>
          <w:rFonts w:ascii="Calibri;sans-serif" w:hAnsi="Calibri;sans-serif"/>
          <w:b w:val="false"/>
          <w:i/>
          <w:color w:val="000000"/>
          <w:sz w:val="20"/>
        </w:rPr>
      </w:pPr>
      <w:r>
        <w:rPr>
          <w:rFonts w:ascii="Calibri;sans-serif" w:hAnsi="Calibri;sans-serif"/>
          <w:b w:val="false"/>
          <w:i/>
          <w:color w:val="000000"/>
          <w:sz w:val="20"/>
        </w:rPr>
        <w:t xml:space="preserve">Capitalized terms used but not defined herein have the meanings assigned to them in the Employment Agreement. </w:t>
      </w:r>
    </w:p>
    <w:p>
      <w:pPr>
        <w:pStyle w:val="TextBody"/>
        <w:bidi w:val="0"/>
        <w:spacing w:lineRule="auto" w:line="300" w:before="0" w:after="44"/>
        <w:ind w:left="0" w:right="0" w:hanging="720"/>
        <w:jc w:val="left"/>
        <w:rPr/>
      </w:pPr>
      <w:r>
        <w:rPr>
          <w:rFonts w:ascii="Calibri;sans-serif" w:hAnsi="Calibri;sans-serif"/>
          <w:b w:val="false"/>
          <w:color w:val="000000"/>
          <w:sz w:val="22"/>
        </w:rPr>
        <w:t>1.</w:t>
      </w:r>
      <w:r>
        <w:rPr>
          <w:rFonts w:ascii="Times New Roman;sans-serif" w:hAnsi="Times New Roman;sans-serif"/>
          <w:b w:val="false"/>
          <w:color w:val="000000"/>
          <w:sz w:val="20"/>
          <w:u w:val="single"/>
        </w:rPr>
        <w:t>Bonus</w:t>
      </w:r>
      <w:r>
        <w:rPr>
          <w:color w:val="000000"/>
        </w:rPr>
        <w:t xml:space="preserve"> </w:t>
      </w:r>
    </w:p>
    <w:p>
      <w:pPr>
        <w:pStyle w:val="TextBody"/>
        <w:bidi w:val="0"/>
        <w:spacing w:lineRule="auto" w:line="288" w:before="0" w:after="66"/>
        <w:ind w:left="0" w:right="0" w:hanging="286"/>
        <w:jc w:val="both"/>
        <w:rPr/>
      </w:pPr>
      <w:r>
        <w:rPr>
          <w:rFonts w:ascii="Calibri;sans-serif" w:hAnsi="Calibri;sans-serif"/>
          <w:b w:val="false"/>
          <w:color w:val="000000"/>
          <w:sz w:val="22"/>
        </w:rPr>
        <w:t>a.</w:t>
      </w:r>
      <w:r>
        <w:rPr>
          <w:rFonts w:ascii="Times New Roman;sans-serif" w:hAnsi="Times New Roman;sans-serif"/>
          <w:b w:val="false"/>
          <w:color w:val="000000"/>
          <w:sz w:val="20"/>
        </w:rPr>
        <w:t xml:space="preserve">The applicable Bonus for the 2021 calendar year shall be as follows: </w:t>
      </w:r>
    </w:p>
    <w:p>
      <w:pPr>
        <w:pStyle w:val="TextBody"/>
        <w:bidi w:val="0"/>
        <w:spacing w:lineRule="auto" w:line="288" w:before="0" w:after="57"/>
        <w:ind w:left="0" w:right="0" w:hanging="439"/>
        <w:jc w:val="both"/>
        <w:rPr/>
      </w:pPr>
      <w:r>
        <w:rPr>
          <w:rFonts w:ascii="Calibri;sans-serif" w:hAnsi="Calibri;sans-serif"/>
          <w:b w:val="false"/>
          <w:color w:val="000000"/>
          <w:sz w:val="22"/>
        </w:rPr>
        <w:t>i.</w:t>
      </w:r>
      <w:r>
        <w:rPr>
          <w:rFonts w:ascii="Times New Roman;sans-serif" w:hAnsi="Times New Roman;sans-serif"/>
          <w:b w:val="false"/>
          <w:color w:val="000000"/>
          <w:sz w:val="20"/>
        </w:rPr>
        <w:t>The maximum Annual Bonus shall be</w:t>
      </w:r>
      <w:r>
        <w:rPr>
          <w:color w:val="000000"/>
        </w:rPr>
        <w:t xml:space="preserve"> </w:t>
      </w:r>
      <w:r>
        <w:rPr>
          <w:rFonts w:ascii="Times New Roman;sans-serif" w:hAnsi="Times New Roman;sans-serif"/>
          <w:b w:val="false"/>
          <w:color w:val="000000"/>
          <w:sz w:val="20"/>
        </w:rPr>
        <w:t xml:space="preserve">NIS 280,000 (gross). </w:t>
      </w:r>
    </w:p>
    <w:p>
      <w:pPr>
        <w:pStyle w:val="TextBody"/>
        <w:bidi w:val="0"/>
        <w:spacing w:lineRule="auto" w:line="288" w:before="0" w:after="5"/>
        <w:ind w:left="0" w:right="0" w:hanging="439"/>
        <w:jc w:val="both"/>
        <w:rPr/>
      </w:pPr>
      <w:r>
        <w:rPr>
          <w:rFonts w:ascii="Calibri;sans-serif" w:hAnsi="Calibri;sans-serif"/>
          <w:b w:val="false"/>
          <w:color w:val="000000"/>
          <w:sz w:val="22"/>
        </w:rPr>
        <w:t>ii.</w:t>
      </w:r>
      <w:r>
        <w:rPr>
          <w:rFonts w:ascii="Times New Roman;sans-serif" w:hAnsi="Times New Roman;sans-serif"/>
          <w:b w:val="false"/>
          <w:color w:val="000000"/>
          <w:sz w:val="20"/>
        </w:rPr>
        <w:t>The maximum Annual Additional Stretch Bonus shall be</w:t>
      </w:r>
      <w:r>
        <w:rPr>
          <w:color w:val="000000"/>
        </w:rPr>
        <w:t xml:space="preserve"> </w:t>
      </w:r>
      <w:r>
        <w:rPr>
          <w:rFonts w:ascii="Times New Roman;sans-serif" w:hAnsi="Times New Roman;sans-serif"/>
          <w:b w:val="false"/>
          <w:color w:val="000000"/>
          <w:sz w:val="20"/>
        </w:rPr>
        <w:t xml:space="preserve">NIS 105,000 (gross) </w:t>
      </w:r>
    </w:p>
    <w:p>
      <w:pPr>
        <w:pStyle w:val="TextBody"/>
        <w:bidi w:val="0"/>
        <w:spacing w:lineRule="auto" w:line="288" w:before="0" w:after="5"/>
        <w:ind w:left="0" w:right="0" w:hanging="286"/>
        <w:jc w:val="both"/>
        <w:rPr/>
      </w:pPr>
      <w:r>
        <w:rPr>
          <w:rFonts w:ascii="Calibri;sans-serif" w:hAnsi="Calibri;sans-serif"/>
          <w:b w:val="false"/>
          <w:color w:val="000000"/>
          <w:sz w:val="22"/>
        </w:rPr>
        <w:t>b.</w:t>
      </w:r>
      <w:r>
        <w:rPr>
          <w:rFonts w:ascii="Times New Roman;sans-serif" w:hAnsi="Times New Roman;sans-serif"/>
          <w:b w:val="false"/>
          <w:color w:val="000000"/>
          <w:sz w:val="20"/>
        </w:rPr>
        <w:t xml:space="preserve">Employee’s entitlement to the Annual Bonus and Additional Stretch Bonus shall be determined, for each calendar year, on the basis of the attainment of certain financial and operational metrics set by Kaltura Inc.’s board of directors. </w:t>
      </w:r>
    </w:p>
    <w:p>
      <w:pPr>
        <w:pStyle w:val="TextBody"/>
        <w:bidi w:val="0"/>
        <w:spacing w:lineRule="auto" w:line="288" w:before="0" w:after="5"/>
        <w:ind w:left="0" w:right="0" w:hanging="286"/>
        <w:jc w:val="both"/>
        <w:rPr/>
      </w:pPr>
      <w:r>
        <w:rPr>
          <w:rFonts w:ascii="Calibri;sans-serif" w:hAnsi="Calibri;sans-serif"/>
          <w:b w:val="false"/>
          <w:color w:val="000000"/>
          <w:sz w:val="22"/>
        </w:rPr>
        <w:t>c.</w:t>
      </w:r>
      <w:r>
        <w:rPr>
          <w:rFonts w:ascii="Times New Roman;sans-serif" w:hAnsi="Times New Roman;sans-serif"/>
          <w:b w:val="false"/>
          <w:color w:val="000000"/>
          <w:sz w:val="20"/>
        </w:rPr>
        <w:t>As of January 2021 the Employee’s Monthly Bonus Amount shall be</w:t>
      </w:r>
      <w:r>
        <w:rPr>
          <w:color w:val="000000"/>
        </w:rPr>
        <w:t xml:space="preserve"> </w:t>
      </w:r>
      <w:r>
        <w:rPr>
          <w:rFonts w:ascii="Times New Roman;sans-serif" w:hAnsi="Times New Roman;sans-serif"/>
          <w:b w:val="false"/>
          <w:color w:val="000000"/>
          <w:sz w:val="20"/>
        </w:rPr>
        <w:t xml:space="preserve">NIS 16,333 (gross) (i.e., the equivalent of 70% of the pro-rated Annual Bonus) on account of the Annual Bonus (section 2.a.i above). </w:t>
      </w:r>
    </w:p>
    <w:p>
      <w:pPr>
        <w:pStyle w:val="TextBody"/>
        <w:bidi w:val="0"/>
        <w:spacing w:lineRule="auto" w:line="288" w:before="0" w:after="5"/>
        <w:ind w:left="0" w:right="0" w:hanging="720"/>
        <w:jc w:val="left"/>
        <w:rPr/>
      </w:pPr>
      <w:r>
        <w:rPr>
          <w:rFonts w:ascii="Calibri;sans-serif" w:hAnsi="Calibri;sans-serif"/>
          <w:b w:val="false"/>
          <w:color w:val="000000"/>
          <w:sz w:val="22"/>
        </w:rPr>
        <w:t>2.</w:t>
      </w:r>
      <w:r>
        <w:rPr>
          <w:rFonts w:ascii="Times New Roman;sans-serif" w:hAnsi="Times New Roman;sans-serif"/>
          <w:b w:val="false"/>
          <w:color w:val="000000"/>
          <w:sz w:val="20"/>
        </w:rPr>
        <w:t xml:space="preserve">Except as expressly set forth herein, the terms and conditions of the Employment Agreement shall remain in full force and effect and each Party hereto agrees to be bound by the terms thereof. </w:t>
      </w:r>
    </w:p>
    <w:p>
      <w:pPr>
        <w:pStyle w:val="TextBody"/>
        <w:bidi w:val="0"/>
        <w:spacing w:before="0" w:after="0"/>
        <w:jc w:val="left"/>
        <w:rPr/>
      </w:pPr>
      <w:r>
        <w:rPr/>
      </w:r>
    </w:p>
    <w:p>
      <w:pPr>
        <w:pStyle w:val="TextBody"/>
        <w:bidi w:val="0"/>
        <w:spacing w:lineRule="auto" w:line="300" w:before="0" w:after="0"/>
        <w:ind w:left="0" w:right="0" w:hanging="10"/>
        <w:jc w:val="right"/>
        <w:rPr>
          <w:rFonts w:ascii="Arial;sans-serif" w:hAnsi="Arial;sans-serif"/>
          <w:b w:val="false"/>
          <w:color w:val="000000"/>
          <w:sz w:val="20"/>
        </w:rPr>
      </w:pPr>
      <w:r>
        <w:rPr>
          <w:rFonts w:ascii="Arial;sans-serif" w:hAnsi="Arial;sans-serif"/>
          <w:b w:val="false"/>
          <w:color w:val="000000"/>
          <w:sz w:val="20"/>
        </w:rPr>
        <w:t xml:space="preserve">1 </w:t>
      </w:r>
    </w:p>
    <w:p>
      <w:pPr>
        <w:pStyle w:val="TextBody"/>
        <w:bidi w:val="0"/>
        <w:spacing w:lineRule="auto" w:line="288" w:before="0" w:after="113"/>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hereto have executed this Addendum as of the date set forth above. </w:t>
      </w:r>
    </w:p>
    <w:tbl>
      <w:tblPr>
        <w:tblW w:w="602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389"/>
        <w:gridCol w:w="389"/>
        <w:gridCol w:w="55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Natan Israeli</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13"/>
        <w:ind w:left="0" w:right="0" w:hanging="10"/>
        <w:jc w:val="center"/>
        <w:rPr/>
      </w:pPr>
      <w:r>
        <w:rPr>
          <w:rFonts w:ascii="Times New Roman;sans-serif" w:hAnsi="Times New Roman;sans-serif"/>
          <w:b/>
          <w:color w:val="000000"/>
          <w:sz w:val="20"/>
          <w:u w:val="single"/>
        </w:rPr>
        <w:t>Amendment</w:t>
      </w:r>
      <w:r>
        <w:rPr>
          <w:color w:val="000000"/>
        </w:rPr>
        <w:t xml:space="preserve"> </w:t>
      </w:r>
      <w:r>
        <w:rPr>
          <w:rFonts w:ascii="Times New Roman;sans-serif" w:hAnsi="Times New Roman;sans-serif"/>
          <w:b/>
          <w:color w:val="000000"/>
          <w:sz w:val="20"/>
        </w:rPr>
        <w:t xml:space="preserve">of the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2"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6"/>
        <w:ind w:left="0" w:right="0" w:hanging="10"/>
        <w:jc w:val="center"/>
        <w:rPr/>
      </w:pPr>
      <w:r>
        <w:rPr>
          <w:rFonts w:ascii="Times New Roman;sans-serif" w:hAnsi="Times New Roman;sans-serif"/>
          <w:b/>
          <w:color w:val="000000"/>
          <w:sz w:val="20"/>
          <w:u w:val="single"/>
        </w:rPr>
        <w:t>Employment Agreement</w:t>
      </w:r>
      <w:r>
        <w:rPr>
          <w:color w:val="000000"/>
        </w:rPr>
        <w:t xml:space="preserve"> </w:t>
      </w:r>
    </w:p>
    <w:p>
      <w:pPr>
        <w:pStyle w:val="TextBody"/>
        <w:bidi w:val="0"/>
        <w:spacing w:lineRule="auto" w:line="288" w:before="0" w:after="147"/>
        <w:ind w:left="0" w:right="0" w:firstLine="288"/>
        <w:jc w:val="both"/>
        <w:rPr/>
      </w:pPr>
      <w:r>
        <w:rPr>
          <w:rFonts w:ascii="Times New Roman;sans-serif" w:hAnsi="Times New Roman;sans-serif"/>
          <w:b w:val="false"/>
          <w:color w:val="000000"/>
          <w:sz w:val="20"/>
        </w:rPr>
        <w:t>This AMENDMENT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to that certain individual Employment Agreement (as defined below), is made and entered into this 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day of March, 2023, by and between </w:t>
      </w:r>
      <w:r>
        <w:rPr>
          <w:rFonts w:ascii="Times New Roman;sans-serif" w:hAnsi="Times New Roman;sans-serif"/>
          <w:b/>
          <w:color w:val="000000"/>
          <w:sz w:val="20"/>
        </w:rPr>
        <w:t>Kaltura Ltd.</w:t>
      </w:r>
      <w:r>
        <w:rPr>
          <w:rFonts w:ascii="Times New Roman;sans-serif" w:hAnsi="Times New Roman;sans-serif"/>
          <w:b w:val="false"/>
          <w:color w:val="000000"/>
          <w:sz w:val="20"/>
        </w:rPr>
        <w:t>, a company organized under the laws of the State of Israel and having an office and principal place of business at Atrium Bldg., 22nd floor, 2 Ze’ev Jabotinsky Road, Ramat Gan, Israel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xml:space="preserve">) and Mr. </w:t>
      </w:r>
      <w:r>
        <w:rPr>
          <w:rFonts w:ascii="Times New Roman;sans-serif" w:hAnsi="Times New Roman;sans-serif"/>
          <w:b/>
          <w:color w:val="000000"/>
          <w:sz w:val="20"/>
        </w:rPr>
        <w:t>Natan Israeli</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 xml:space="preserve">). </w:t>
      </w:r>
    </w:p>
    <w:p>
      <w:pPr>
        <w:pStyle w:val="TextBody"/>
        <w:bidi w:val="0"/>
        <w:spacing w:lineRule="auto" w:line="300" w:before="0" w:after="93"/>
        <w:jc w:val="center"/>
        <w:rPr/>
      </w:pPr>
      <w:r>
        <w:rPr>
          <w:rFonts w:ascii="Times New Roman;sans-serif" w:hAnsi="Times New Roman;sans-serif"/>
          <w:b w:val="false"/>
          <w:color w:val="000000"/>
          <w:sz w:val="20"/>
        </w:rPr>
        <w:t>Each of the above is referred to as a “</w:t>
      </w:r>
      <w:r>
        <w:rPr>
          <w:rFonts w:ascii="Times New Roman;sans-serif" w:hAnsi="Times New Roman;sans-serif"/>
          <w:b/>
          <w:color w:val="000000"/>
          <w:sz w:val="20"/>
        </w:rPr>
        <w:t>Party</w:t>
      </w:r>
      <w:r>
        <w:rPr>
          <w:color w:val="000000"/>
        </w:rPr>
        <w:t xml:space="preserve">” </w:t>
      </w:r>
      <w:r>
        <w:rPr>
          <w:rFonts w:ascii="Times New Roman;sans-serif" w:hAnsi="Times New Roman;sans-serif"/>
          <w:b w:val="false"/>
          <w:color w:val="000000"/>
          <w:sz w:val="20"/>
        </w:rPr>
        <w:t>and collectively referred to as the “</w:t>
      </w:r>
      <w:r>
        <w:rPr>
          <w:rFonts w:ascii="Times New Roman;sans-serif" w:hAnsi="Times New Roman;sans-serif"/>
          <w:b/>
          <w:color w:val="000000"/>
          <w:sz w:val="20"/>
        </w:rPr>
        <w:t>Parties</w:t>
      </w:r>
      <w:r>
        <w:rPr>
          <w:color w:val="000000"/>
        </w:rPr>
        <w:t>”</w:t>
      </w:r>
      <w:r>
        <w:rPr>
          <w:rFonts w:ascii="Times New Roman;sans-serif" w:hAnsi="Times New Roman;sans-serif"/>
          <w:b w:val="false"/>
          <w:color w:val="000000"/>
          <w:sz w:val="20"/>
        </w:rPr>
        <w:t>.</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09"/>
        <w:gridCol w:w="360"/>
        <w:gridCol w:w="361"/>
        <w:gridCol w:w="2657"/>
        <w:gridCol w:w="2657"/>
        <w:gridCol w:w="3761"/>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w:t>
            </w:r>
          </w:p>
        </w:tc>
        <w:tc>
          <w:tcPr>
            <w:tcW w:w="9075" w:type="dxa"/>
            <w:gridSpan w:val="3"/>
            <w:tcBorders/>
            <w:tcMar>
              <w:top w:w="0" w:type="dxa"/>
              <w:left w:w="0" w:type="dxa"/>
              <w:bottom w:w="0" w:type="dxa"/>
              <w:right w:w="0" w:type="dxa"/>
            </w:tcMar>
            <w:vAlign w:val="center"/>
          </w:tcPr>
          <w:p>
            <w:pPr>
              <w:pStyle w:val="TableContents"/>
              <w:bidi w:val="0"/>
              <w:spacing w:lineRule="auto" w:line="300" w:before="0" w:after="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have entered into an individual employment agreement dated </w:t>
            </w:r>
          </w:p>
          <w:p>
            <w:pPr>
              <w:pStyle w:val="TableContents"/>
              <w:bidi w:val="0"/>
              <w:spacing w:lineRule="auto" w:line="300" w:before="0" w:after="0"/>
              <w:jc w:val="both"/>
              <w:rPr/>
            </w:pPr>
            <w:r>
              <w:rPr>
                <w:rFonts w:ascii="Times New Roman;sans-serif" w:hAnsi="Times New Roman;sans-serif"/>
                <w:b w:val="false"/>
                <w:color w:val="000000"/>
                <w:sz w:val="20"/>
              </w:rPr>
              <w:t>November 26, 2020, in connection with the Employee’s employment by the Company, as from time to time amended (including on or about February 22, 2023)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0"/>
              </w:rPr>
              <w:t>Employment Agreement</w:t>
            </w:r>
            <w:r>
              <w:rPr>
                <w:color w:val="000000"/>
              </w:rPr>
              <w:t>”</w:t>
            </w:r>
            <w:r>
              <w:rPr>
                <w:rFonts w:ascii="Times New Roman;sans-serif" w:hAnsi="Times New Roman;sans-serif"/>
                <w:b w:val="false"/>
                <w:color w:val="000000"/>
                <w:sz w:val="20"/>
              </w:rPr>
              <w:t xml:space="preserve">); and </w:t>
            </w:r>
          </w:p>
        </w:tc>
      </w:tr>
      <w:tr>
        <w:trPr/>
        <w:tc>
          <w:tcPr>
            <w:tcW w:w="1130"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w:t>
            </w:r>
          </w:p>
        </w:tc>
        <w:tc>
          <w:tcPr>
            <w:tcW w:w="9075" w:type="dxa"/>
            <w:gridSpan w:val="3"/>
            <w:tcBorders/>
            <w:tcMar>
              <w:top w:w="0" w:type="dxa"/>
              <w:left w:w="0" w:type="dxa"/>
              <w:bottom w:w="0" w:type="dxa"/>
              <w:right w:w="0" w:type="dxa"/>
            </w:tcMar>
            <w:vAlign w:val="center"/>
          </w:tcPr>
          <w:p>
            <w:pPr>
              <w:pStyle w:val="TableContents"/>
              <w:bidi w:val="0"/>
              <w:spacing w:lineRule="auto" w:line="300" w:before="0" w:after="0"/>
              <w:jc w:val="both"/>
              <w:rPr/>
            </w:pPr>
            <w:r>
              <w:rPr>
                <w:rFonts w:ascii="Times New Roman;sans-serif" w:hAnsi="Times New Roman;sans-serif"/>
                <w:b w:val="false"/>
                <w:color w:val="000000"/>
                <w:sz w:val="20"/>
              </w:rPr>
              <w:t>the Parties wish to amend</w:t>
            </w:r>
            <w:r>
              <w:rPr>
                <w:color w:val="000000"/>
              </w:rPr>
              <w:t xml:space="preserve"> </w:t>
            </w:r>
            <w:r>
              <w:rPr>
                <w:rFonts w:ascii="Times New Roman;sans-serif" w:hAnsi="Times New Roman;sans-serif"/>
                <w:b w:val="false"/>
                <w:color w:val="000000"/>
                <w:sz w:val="20"/>
              </w:rPr>
              <w:t xml:space="preserve">the Employment Agreement in accordance with the terms herewith; </w:t>
            </w:r>
          </w:p>
        </w:tc>
      </w:tr>
    </w:tbl>
    <w:p>
      <w:pPr>
        <w:pStyle w:val="TextBody"/>
        <w:bidi w:val="0"/>
        <w:spacing w:lineRule="auto" w:line="288" w:before="0" w:after="0"/>
        <w:ind w:left="0" w:right="0" w:firstLine="358"/>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xml:space="preserve">, in consideration of the premises and mutual agreements and covenants contained in this Amendment and other good and valuable consideration (the receipt and adequacy of which are hereby mutually acknowledged), each of the Parties hereby agree as follows: </w:t>
      </w:r>
    </w:p>
    <w:p>
      <w:pPr>
        <w:pStyle w:val="TextBody"/>
        <w:bidi w:val="0"/>
        <w:spacing w:lineRule="auto" w:line="300"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u w:val="single"/>
        </w:rPr>
        <w:t>Definitions and Interpretation</w:t>
      </w:r>
      <w:r>
        <w:rPr>
          <w:color w:val="000000"/>
        </w:rPr>
        <w:t xml:space="preserve"> </w:t>
      </w:r>
    </w:p>
    <w:p>
      <w:pPr>
        <w:pStyle w:val="TextBody"/>
        <w:bidi w:val="0"/>
        <w:spacing w:before="0" w:after="113"/>
        <w:jc w:val="both"/>
        <w:rPr/>
      </w:pPr>
      <w:r>
        <w:rPr/>
      </w:r>
    </w:p>
    <w:p>
      <w:pPr>
        <w:pStyle w:val="TextBody"/>
        <w:bidi w:val="0"/>
        <w:spacing w:lineRule="auto" w:line="288" w:before="0" w:after="113"/>
        <w:ind w:left="0" w:right="0" w:hanging="634"/>
        <w:jc w:val="both"/>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20"/>
        </w:rPr>
        <w:t xml:space="preserve">Capitalized terms used but not otherwise defined herein having the respective meanings set forth in the Employment Agreement. All capitalized terms used but not defined hereinabove or in the Employment Agreement, shall have the meaning ascribed for then as in the recitals or as hereinbelow defined. </w:t>
      </w:r>
    </w:p>
    <w:p>
      <w:pPr>
        <w:pStyle w:val="TextBody"/>
        <w:bidi w:val="0"/>
        <w:spacing w:lineRule="auto" w:line="288" w:before="0" w:after="113"/>
        <w:ind w:left="0" w:right="0" w:hanging="810"/>
        <w:jc w:val="left"/>
        <w:rPr/>
      </w:pPr>
      <w:r>
        <w:rPr>
          <w:color w:val="000000"/>
        </w:rPr>
        <w:t>    </w:t>
      </w:r>
      <w:r>
        <w:rPr>
          <w:rFonts w:ascii="Times New Roman;sans-serif" w:hAnsi="Times New Roman;sans-serif"/>
          <w:b w:val="false"/>
          <w:color w:val="000000"/>
          <w:sz w:val="20"/>
        </w:rPr>
        <w:t>1.2.</w:t>
      </w:r>
      <w:r>
        <w:rPr>
          <w:color w:val="000000"/>
        </w:rPr>
        <w:t xml:space="preserve">     </w:t>
      </w:r>
      <w:r>
        <w:rPr>
          <w:rFonts w:ascii="Times New Roman;sans-serif" w:hAnsi="Times New Roman;sans-serif"/>
          <w:b w:val="false"/>
          <w:color w:val="000000"/>
          <w:sz w:val="20"/>
        </w:rPr>
        <w:t xml:space="preserve">The preface to this Amendment constitutes an indivisible and integral part thereof. </w:t>
      </w:r>
    </w:p>
    <w:p>
      <w:pPr>
        <w:pStyle w:val="TextBody"/>
        <w:bidi w:val="0"/>
        <w:spacing w:lineRule="auto" w:line="288" w:before="0" w:after="0"/>
        <w:ind w:left="0" w:right="0" w:hanging="634"/>
        <w:jc w:val="both"/>
        <w:rPr/>
      </w:pPr>
      <w:r>
        <w:rPr>
          <w:rFonts w:ascii="Times New Roman;sans-serif" w:hAnsi="Times New Roman;sans-serif"/>
          <w:b w:val="false"/>
          <w:color w:val="000000"/>
          <w:sz w:val="20"/>
        </w:rPr>
        <w:t>1.3.</w:t>
      </w:r>
      <w:r>
        <w:rPr>
          <w:color w:val="000000"/>
        </w:rPr>
        <w:t xml:space="preserve"> </w:t>
      </w:r>
      <w:r>
        <w:rPr>
          <w:rFonts w:ascii="Times New Roman;sans-serif" w:hAnsi="Times New Roman;sans-serif"/>
          <w:b w:val="false"/>
          <w:color w:val="000000"/>
          <w:sz w:val="20"/>
        </w:rPr>
        <w:t xml:space="preserve">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 </w:t>
      </w:r>
    </w:p>
    <w:p>
      <w:pPr>
        <w:pStyle w:val="TextBody"/>
        <w:bidi w:val="0"/>
        <w:spacing w:lineRule="auto" w:line="300" w:before="0" w:after="0"/>
        <w:ind w:left="0" w:right="0" w:hanging="1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color w:val="000000"/>
          <w:sz w:val="20"/>
          <w:u w:val="single"/>
        </w:rPr>
        <w:t>Bonus</w:t>
      </w:r>
      <w:r>
        <w:rPr>
          <w:color w:val="000000"/>
        </w:rPr>
        <w:t xml:space="preserve"> </w:t>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2.1.</w:t>
      </w:r>
      <w:r>
        <w:rPr>
          <w:color w:val="000000"/>
        </w:rPr>
        <w:t xml:space="preserve"> </w:t>
      </w:r>
      <w:r>
        <w:rPr>
          <w:rFonts w:ascii="Times New Roman;sans-serif" w:hAnsi="Times New Roman;sans-serif"/>
          <w:b w:val="false"/>
          <w:color w:val="000000"/>
          <w:sz w:val="20"/>
        </w:rPr>
        <w:t xml:space="preserve">Commencing 2023 (inclusive), the Employee’s total attainable annual Bonus (namely, the 100% MBO OTB) shall be in an amount equal to 6.3 monthly salaries. </w:t>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2.2.</w:t>
      </w:r>
      <w:r>
        <w:rPr>
          <w:color w:val="000000"/>
        </w:rPr>
        <w:t xml:space="preserve"> </w:t>
      </w:r>
      <w:r>
        <w:rPr>
          <w:rFonts w:ascii="Times New Roman;sans-serif" w:hAnsi="Times New Roman;sans-serif"/>
          <w:b w:val="false"/>
          <w:color w:val="000000"/>
          <w:sz w:val="20"/>
        </w:rPr>
        <w:t xml:space="preserve">The Employee’s entitlement to an annual Bonus for the calendar year of 2023 shall be determined, for such year only, on the basis of the Employee’s and the Company’s attainment of certain goals and objectives defined by the Company, which are set forth in the Employee’s annual bonus plan according to Company’s 2023 Executive Compensation Plan as approved by the Company’s Compensation Committee on or about February 5, 2023, a summary of which is enclosed as </w:t>
      </w:r>
      <w:r>
        <w:rPr>
          <w:rFonts w:ascii="Times New Roman;sans-serif" w:hAnsi="Times New Roman;sans-serif"/>
          <w:b/>
          <w:color w:val="000000"/>
          <w:sz w:val="20"/>
          <w:u w:val="single"/>
        </w:rPr>
        <w:t>Annex A</w:t>
      </w:r>
      <w:r>
        <w:rPr>
          <w:color w:val="000000"/>
        </w:rPr>
        <w:t xml:space="preserve"> </w:t>
      </w:r>
      <w:r>
        <w:rPr>
          <w:rFonts w:ascii="Times New Roman;sans-serif" w:hAnsi="Times New Roman;sans-serif"/>
          <w:b w:val="false"/>
          <w:color w:val="000000"/>
          <w:sz w:val="20"/>
        </w:rPr>
        <w:t>hereof (the “</w:t>
      </w:r>
      <w:r>
        <w:rPr>
          <w:rFonts w:ascii="Times New Roman;sans-serif" w:hAnsi="Times New Roman;sans-serif"/>
          <w:b/>
          <w:color w:val="000000"/>
          <w:sz w:val="20"/>
        </w:rPr>
        <w:t>2023 Executive Compensation Plan</w:t>
      </w:r>
      <w:r>
        <w:rPr>
          <w:color w:val="000000"/>
        </w:rPr>
        <w:t>”</w:t>
      </w:r>
      <w:r>
        <w:rPr>
          <w:rFonts w:ascii="Times New Roman;sans-serif" w:hAnsi="Times New Roman;sans-serif"/>
          <w:b w:val="false"/>
          <w:color w:val="000000"/>
          <w:sz w:val="20"/>
        </w:rPr>
        <w:t xml:space="preserve">). </w:t>
      </w:r>
    </w:p>
    <w:p>
      <w:pPr>
        <w:pStyle w:val="TextBody"/>
        <w:bidi w:val="0"/>
        <w:spacing w:before="0" w:after="113"/>
        <w:ind w:left="0" w:right="0" w:hanging="540"/>
        <w:jc w:val="both"/>
        <w:rPr/>
      </w:pPr>
      <w:r>
        <w:rPr/>
      </w:r>
    </w:p>
    <w:p>
      <w:pPr>
        <w:pStyle w:val="TextBody"/>
        <w:bidi w:val="0"/>
        <w:spacing w:lineRule="auto" w:line="288" w:before="0" w:after="113"/>
        <w:ind w:left="0" w:right="0" w:hanging="1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subject to Section 2.3 hereof, the 2023 annual Bonus shall be as follows: </w:t>
      </w:r>
    </w:p>
    <w:p>
      <w:pPr>
        <w:pStyle w:val="TextBody"/>
        <w:bidi w:val="0"/>
        <w:spacing w:lineRule="auto" w:line="288" w:before="0" w:after="113"/>
        <w:ind w:left="0" w:right="0" w:hanging="720"/>
        <w:jc w:val="both"/>
        <w:rPr/>
      </w:pPr>
      <w:r>
        <w:rPr>
          <w:rFonts w:ascii="Times New Roman;sans-serif" w:hAnsi="Times New Roman;sans-serif"/>
          <w:b w:val="false"/>
          <w:color w:val="000000"/>
          <w:sz w:val="20"/>
        </w:rPr>
        <w:t>2.2.1.</w:t>
      </w:r>
      <w:r>
        <w:rPr>
          <w:color w:val="000000"/>
        </w:rPr>
        <w:t xml:space="preserve"> </w:t>
      </w:r>
      <w:r>
        <w:rPr>
          <w:rFonts w:ascii="Times New Roman;sans-serif" w:hAnsi="Times New Roman;sans-serif"/>
          <w:b w:val="false"/>
          <w:color w:val="000000"/>
          <w:sz w:val="20"/>
        </w:rPr>
        <w:t>The potential maximum annual Bonus with respect to 100% attainment, satisfaction and performance against the 2023 Executive Compensation Plan’s targets and thresholds (namely, Individual Objectives and Company Financial Goals KPIs and OKRs) as elaborated in the 2023 Executive Compensation Plan, shall equal the gross amount of USD 150,391 (herein, the “</w:t>
      </w:r>
      <w:r>
        <w:rPr>
          <w:rFonts w:ascii="Times New Roman;sans-serif" w:hAnsi="Times New Roman;sans-serif"/>
          <w:b/>
          <w:color w:val="000000"/>
          <w:sz w:val="20"/>
        </w:rPr>
        <w:t>Base OTB</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13"/>
        <w:ind w:left="0" w:right="0" w:hanging="720"/>
        <w:jc w:val="both"/>
        <w:rPr/>
      </w:pPr>
      <w:r>
        <w:rPr>
          <w:rFonts w:ascii="Times New Roman;sans-serif" w:hAnsi="Times New Roman;sans-serif"/>
          <w:b w:val="false"/>
          <w:color w:val="000000"/>
          <w:sz w:val="20"/>
        </w:rPr>
        <w:t>2.2.2.</w:t>
      </w:r>
      <w:r>
        <w:rPr>
          <w:color w:val="000000"/>
        </w:rPr>
        <w:t xml:space="preserve"> </w:t>
      </w:r>
      <w:r>
        <w:rPr>
          <w:rFonts w:ascii="Times New Roman;sans-serif" w:hAnsi="Times New Roman;sans-serif"/>
          <w:b w:val="false"/>
          <w:color w:val="000000"/>
          <w:sz w:val="20"/>
        </w:rPr>
        <w:t xml:space="preserve">The potential maximum annual Additional Stretch Bonus for overachievement against such goals (&gt;100%), shall equal the gross amount of USD 56,396. </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3"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2.3.</w:t>
      </w:r>
      <w:r>
        <w:rPr>
          <w:color w:val="000000"/>
        </w:rPr>
        <w:t xml:space="preserve"> </w:t>
      </w:r>
      <w:r>
        <w:rPr>
          <w:rFonts w:ascii="Times New Roman;sans-serif" w:hAnsi="Times New Roman;sans-serif"/>
          <w:b w:val="false"/>
          <w:color w:val="000000"/>
          <w:sz w:val="20"/>
        </w:rPr>
        <w:t xml:space="preserve">Notwithstanding anything to the contrary in the Employment Agreement or any other agreements, arrangements, undertakings, obligations, representations, warranties and/or understandings, either oral, in writing or otherwise, relating to the Employee’s employment and/or grant of services and/or any other engagement, entered into between the Parties, the monetary value of the Base OTB to which the Employee shall be entitled under the 2023 Executive Compensation Plan up to 100% attainment, shall be granted in the form of up to </w:t>
      </w:r>
      <w:r>
        <w:rPr>
          <w:rFonts w:ascii="Times New Roman;sans-serif" w:hAnsi="Times New Roman;sans-serif"/>
          <w:b/>
          <w:color w:val="000000"/>
          <w:sz w:val="20"/>
        </w:rPr>
        <w:t>79,153</w:t>
      </w:r>
      <w:r>
        <w:rPr>
          <w:color w:val="000000"/>
        </w:rPr>
        <w:t xml:space="preserve"> </w:t>
      </w:r>
      <w:r>
        <w:rPr>
          <w:rFonts w:ascii="Times New Roman;sans-serif" w:hAnsi="Times New Roman;sans-serif"/>
          <w:b w:val="false"/>
          <w:color w:val="000000"/>
          <w:sz w:val="20"/>
        </w:rPr>
        <w:t>Restricted Stock Units (as defined in the 2021 Kaltura, Inc. Incentive Award Plan and Israeli Sub-Plan; together, the “</w:t>
      </w:r>
      <w:r>
        <w:rPr>
          <w:rFonts w:ascii="Times New Roman;sans-serif" w:hAnsi="Times New Roman;sans-serif"/>
          <w:b/>
          <w:color w:val="000000"/>
          <w:sz w:val="20"/>
        </w:rPr>
        <w:t>2021 Plan</w:t>
      </w:r>
      <w:r>
        <w:rPr>
          <w:color w:val="000000"/>
        </w:rPr>
        <w:t>”</w:t>
      </w:r>
      <w:r>
        <w:rPr>
          <w:rFonts w:ascii="Times New Roman;sans-serif" w:hAnsi="Times New Roman;sans-serif"/>
          <w:b w:val="false"/>
          <w:color w:val="000000"/>
          <w:sz w:val="20"/>
        </w:rPr>
        <w:t>), to be settled in shares in accordance with the calculation and vesting terms set forth in the 2023 Executive Compensation Plan (the “</w:t>
      </w:r>
      <w:r>
        <w:rPr>
          <w:rFonts w:ascii="Times New Roman;sans-serif" w:hAnsi="Times New Roman;sans-serif"/>
          <w:b/>
          <w:color w:val="000000"/>
          <w:sz w:val="20"/>
        </w:rPr>
        <w:t>MBO RSUs</w:t>
      </w:r>
      <w:r>
        <w:rPr>
          <w:color w:val="000000"/>
        </w:rPr>
        <w:t>”</w:t>
      </w:r>
      <w:r>
        <w:rPr>
          <w:rFonts w:ascii="Times New Roman;sans-serif" w:hAnsi="Times New Roman;sans-serif"/>
          <w:b w:val="false"/>
          <w:color w:val="000000"/>
          <w:sz w:val="20"/>
        </w:rPr>
        <w:t xml:space="preserve">), while any excess entitlement earned by the Employee for MBO overachievement up to the maximum Annual Additional Stretch Bonus (i.e., &gt;100% attainment of the applicable goals under the 2023 Executive Compensation Plan) will be paid in cash in accordance with the entitlement and payment terms set forth under the 2023 Executive Compensation Plan. </w:t>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2.4.</w:t>
      </w:r>
      <w:r>
        <w:rPr>
          <w:color w:val="000000"/>
        </w:rPr>
        <w:t xml:space="preserve"> </w:t>
      </w:r>
      <w:r>
        <w:rPr>
          <w:rFonts w:ascii="Times New Roman;sans-serif" w:hAnsi="Times New Roman;sans-serif"/>
          <w:b w:val="false"/>
          <w:color w:val="000000"/>
          <w:sz w:val="20"/>
        </w:rPr>
        <w:t xml:space="preserve">Except as set forth in this Amendment for the 2023 annual Bonus, the Employee’s entitlement to annual Bonus and Additional Stretch Bonus shall be determined, for each subsequent calendar year, on the basis of the attainment of certain financial and operational metrics set by Kaltura, Inc.’s Board of Directors or Compensation Committee. </w:t>
      </w:r>
    </w:p>
    <w:p>
      <w:pPr>
        <w:pStyle w:val="TextBody"/>
        <w:bidi w:val="0"/>
        <w:spacing w:lineRule="auto" w:line="288" w:before="0" w:after="0"/>
        <w:ind w:left="0" w:right="0" w:hanging="540"/>
        <w:jc w:val="both"/>
        <w:rPr/>
      </w:pPr>
      <w:r>
        <w:rPr>
          <w:rFonts w:ascii="Times New Roman;sans-serif" w:hAnsi="Times New Roman;sans-serif"/>
          <w:b w:val="false"/>
          <w:color w:val="000000"/>
          <w:sz w:val="20"/>
        </w:rPr>
        <w:t>2.5.</w:t>
      </w:r>
      <w:r>
        <w:rPr>
          <w:color w:val="000000"/>
        </w:rPr>
        <w:t xml:space="preserve"> </w:t>
      </w:r>
      <w:r>
        <w:rPr>
          <w:rFonts w:ascii="Times New Roman;sans-serif" w:hAnsi="Times New Roman;sans-serif"/>
          <w:b w:val="false"/>
          <w:color w:val="000000"/>
          <w:sz w:val="20"/>
        </w:rPr>
        <w:t xml:space="preserve">All Bonus payments, if any, shall be subject to all mandatory withholdings and deductions, and shall be deemed to be quoted in gross figures. In addition, all Bonus payments in currencies other than US Dollar (for 2023, the Additional Stretch Bonus payment) will be adjusted in accordance with the specific payment currency and US Dollar exchange rate that shall prevail as of the payment calculation date in accordance with the Company’s policies and procedures. </w:t>
      </w:r>
    </w:p>
    <w:p>
      <w:pPr>
        <w:pStyle w:val="TextBody"/>
        <w:bidi w:val="0"/>
        <w:spacing w:lineRule="auto" w:line="300" w:before="0" w:after="0"/>
        <w:ind w:left="0" w:right="0" w:hanging="360"/>
        <w:jc w:val="left"/>
        <w:rPr/>
      </w:pPr>
      <w:r>
        <w:rPr>
          <w:rFonts w:ascii="Times New Roman;sans-serif" w:hAnsi="Times New Roman;sans-serif"/>
          <w:b/>
          <w:color w:val="000000"/>
          <w:sz w:val="20"/>
        </w:rPr>
        <w:t>3.</w:t>
      </w:r>
      <w:r>
        <w:rPr>
          <w:rFonts w:ascii="Times New Roman;sans-serif" w:hAnsi="Times New Roman;sans-serif"/>
          <w:b/>
          <w:color w:val="000000"/>
          <w:sz w:val="20"/>
          <w:u w:val="single"/>
        </w:rPr>
        <w:t>MBO RSUs Terms of Grant</w:t>
      </w:r>
      <w:r>
        <w:rPr>
          <w:color w:val="000000"/>
        </w:rPr>
        <w:t xml:space="preserve"> </w:t>
      </w:r>
    </w:p>
    <w:p>
      <w:pPr>
        <w:pStyle w:val="TextBody"/>
        <w:bidi w:val="0"/>
        <w:spacing w:before="0" w:after="113"/>
        <w:ind w:left="0" w:right="0" w:hanging="10"/>
        <w:jc w:val="both"/>
        <w:rPr/>
      </w:pPr>
      <w:r>
        <w:rPr/>
      </w:r>
    </w:p>
    <w:p>
      <w:pPr>
        <w:pStyle w:val="TextBody"/>
        <w:bidi w:val="0"/>
        <w:spacing w:lineRule="auto" w:line="288" w:before="0" w:after="113"/>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provisions of the 2021 Plan, the 2023 Executive Compensation Plan and the applicable Award Agreement, the MBO RSUs (if and to the Extent the Employee shall be entitled to such) shall be subject to the following: </w:t>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3.1.</w:t>
      </w:r>
      <w:r>
        <w:rPr>
          <w:color w:val="000000"/>
        </w:rPr>
        <w:t xml:space="preserve"> </w:t>
      </w: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xml:space="preserve">: effective as of the effective date of the Compensation Committee’s approval of the 2023 Executive Compensation Plan, namely, February 5, 2023. </w:t>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3.2.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Up to the maximum number of the MBO RSUs that were granted to the Employee will be eligible to vest in accordance with the satisfaction and performance against the 2023 Executive Compensation Plan’s targets and thresholds (namely, Individual Objectives and Company Financial Goals KPIs and OKRs), upon and subject to the eligibility of the Employee to the cash payment of the Annual Bonus but for the conversion thereof to MBO RSUs which shall be determined following the approval of the final audited results for FY-23 (no later than March 15, 2024), </w:t>
      </w:r>
      <w:r>
        <w:rPr>
          <w:rFonts w:ascii="Times New Roman;sans-serif" w:hAnsi="Times New Roman;sans-serif"/>
          <w:b w:val="false"/>
          <w:i/>
          <w:color w:val="000000"/>
          <w:sz w:val="20"/>
        </w:rPr>
        <w:t>subject, however</w:t>
      </w:r>
      <w:r>
        <w:rPr>
          <w:rFonts w:ascii="Times New Roman;sans-serif" w:hAnsi="Times New Roman;sans-serif"/>
          <w:b w:val="false"/>
          <w:color w:val="000000"/>
          <w:sz w:val="20"/>
        </w:rPr>
        <w:t xml:space="preserve">, to the continued employment of the Employee through December 31, 2023. </w:t>
      </w:r>
    </w:p>
    <w:p>
      <w:pPr>
        <w:pStyle w:val="TextBody"/>
        <w:bidi w:val="0"/>
        <w:spacing w:lineRule="auto" w:line="288" w:before="0" w:after="0"/>
        <w:ind w:left="0" w:right="0" w:hanging="540"/>
        <w:jc w:val="both"/>
        <w:rPr/>
      </w:pPr>
      <w:r>
        <w:rPr>
          <w:rFonts w:ascii="Times New Roman;sans-serif" w:hAnsi="Times New Roman;sans-serif"/>
          <w:b w:val="false"/>
          <w:color w:val="000000"/>
          <w:sz w:val="20"/>
        </w:rPr>
        <w:t>3.3.</w:t>
      </w:r>
      <w:r>
        <w:rPr>
          <w:color w:val="000000"/>
        </w:rPr>
        <w:t xml:space="preserve"> </w:t>
      </w:r>
      <w:r>
        <w:rPr>
          <w:rFonts w:ascii="Times New Roman;sans-serif" w:hAnsi="Times New Roman;sans-serif"/>
          <w:b w:val="false"/>
          <w:color w:val="000000"/>
          <w:sz w:val="20"/>
          <w:u w:val="single"/>
        </w:rPr>
        <w:t>Contingencies</w:t>
      </w:r>
      <w:r>
        <w:rPr>
          <w:rFonts w:ascii="Times New Roman;sans-serif" w:hAnsi="Times New Roman;sans-serif"/>
          <w:b w:val="false"/>
          <w:color w:val="000000"/>
          <w:sz w:val="20"/>
        </w:rPr>
        <w:t xml:space="preserve">: the MBO RSUs award shall be made pursuant to the 2021 Plan, the 2023 Executive Compensation Plan and the appropriate award agreement to be executed by the Employee and countersigned by Kaltura, Inc., and to the execution and delivery of all required agreements and instruments pursuant to the 2021 Plan and Kaltura, Inc.’s policies. </w:t>
      </w:r>
    </w:p>
    <w:p>
      <w:pPr>
        <w:pStyle w:val="TextBody"/>
        <w:bidi w:val="0"/>
        <w:spacing w:lineRule="auto" w:line="300" w:before="0" w:after="0"/>
        <w:ind w:left="0" w:right="0" w:hanging="1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color w:val="000000"/>
          <w:sz w:val="20"/>
          <w:u w:val="single"/>
        </w:rPr>
        <w:t>Additional Benefits</w:t>
      </w:r>
      <w:r>
        <w:rPr>
          <w:color w:val="000000"/>
        </w:rPr>
        <w:t xml:space="preserve"> </w:t>
      </w:r>
    </w:p>
    <w:p>
      <w:pPr>
        <w:pStyle w:val="TextBody"/>
        <w:bidi w:val="0"/>
        <w:spacing w:before="0" w:after="13"/>
        <w:ind w:left="0" w:right="0" w:hanging="10"/>
        <w:jc w:val="both"/>
        <w:rPr/>
      </w:pPr>
      <w:r>
        <w:rPr/>
      </w:r>
    </w:p>
    <w:p>
      <w:pPr>
        <w:pStyle w:val="TextBody"/>
        <w:bidi w:val="0"/>
        <w:spacing w:lineRule="auto" w:line="300" w:before="0" w:after="13"/>
        <w:ind w:left="0" w:right="0" w:hanging="10"/>
        <w:jc w:val="both"/>
        <w:rPr/>
      </w:pPr>
      <w:r>
        <w:rPr>
          <w:rFonts w:ascii="Times New Roman;sans-serif" w:hAnsi="Times New Roman;sans-serif"/>
          <w:b w:val="false"/>
          <w:color w:val="000000"/>
          <w:sz w:val="20"/>
        </w:rPr>
        <w:t>4.1.</w:t>
      </w:r>
      <w:r>
        <w:rPr>
          <w:color w:val="000000"/>
        </w:rPr>
        <w:t xml:space="preserve"> </w:t>
      </w:r>
      <w:r>
        <w:rPr>
          <w:rFonts w:ascii="Times New Roman;sans-serif" w:hAnsi="Times New Roman;sans-serif"/>
          <w:b w:val="false"/>
          <w:color w:val="000000"/>
          <w:sz w:val="20"/>
        </w:rPr>
        <w:t xml:space="preserve">Subject to the approval of the Compensation Committee of the Board of Directors of </w:t>
      </w:r>
    </w:p>
    <w:p>
      <w:pPr>
        <w:pStyle w:val="TextBody"/>
        <w:bidi w:val="0"/>
        <w:spacing w:lineRule="auto" w:line="288" w:before="0" w:after="113"/>
        <w:ind w:left="0" w:right="0" w:hanging="10"/>
        <w:jc w:val="both"/>
        <w:rPr/>
      </w:pPr>
      <w:r>
        <w:rPr>
          <w:rFonts w:ascii="Times New Roman;sans-serif" w:hAnsi="Times New Roman;sans-serif"/>
          <w:b w:val="false"/>
          <w:color w:val="000000"/>
          <w:sz w:val="20"/>
        </w:rPr>
        <w:t xml:space="preserve">Kaltura, Inc., and the Employee’s continued employment by the Company through the applicable vesting date, the Company anticipates granting the Employee </w:t>
      </w:r>
      <w:r>
        <w:rPr>
          <w:rFonts w:ascii="Times New Roman;sans-serif" w:hAnsi="Times New Roman;sans-serif"/>
          <w:b/>
          <w:color w:val="000000"/>
          <w:sz w:val="20"/>
        </w:rPr>
        <w:t>455,921</w:t>
      </w:r>
      <w:r>
        <w:rPr>
          <w:color w:val="000000"/>
        </w:rPr>
        <w:t xml:space="preserve"> </w:t>
      </w:r>
      <w:r>
        <w:rPr>
          <w:rFonts w:ascii="Times New Roman;sans-serif" w:hAnsi="Times New Roman;sans-serif"/>
          <w:b w:val="false"/>
          <w:color w:val="000000"/>
          <w:sz w:val="20"/>
        </w:rPr>
        <w:t>RSUs as stipulated in the 2023 Executive Compensation Plan (herein, “</w:t>
      </w:r>
      <w:r>
        <w:rPr>
          <w:rFonts w:ascii="Times New Roman;sans-serif" w:hAnsi="Times New Roman;sans-serif"/>
          <w:b/>
          <w:color w:val="000000"/>
          <w:sz w:val="20"/>
        </w:rPr>
        <w:t>LTI RSUs</w:t>
      </w:r>
      <w:r>
        <w:rPr>
          <w:color w:val="000000"/>
        </w:rPr>
        <w:t>”</w:t>
      </w:r>
      <w:r>
        <w:rPr>
          <w:rFonts w:ascii="Times New Roman;sans-serif" w:hAnsi="Times New Roman;sans-serif"/>
          <w:b w:val="false"/>
          <w:color w:val="000000"/>
          <w:sz w:val="20"/>
        </w:rPr>
        <w:t xml:space="preserve">). </w:t>
      </w:r>
    </w:p>
    <w:p>
      <w:pPr>
        <w:pStyle w:val="TextBody"/>
        <w:bidi w:val="0"/>
        <w:spacing w:before="0" w:after="113"/>
        <w:ind w:left="0" w:right="0" w:hanging="10"/>
        <w:jc w:val="both"/>
        <w:rPr/>
      </w:pPr>
      <w:r>
        <w:rPr/>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4.2.</w:t>
      </w:r>
      <w:r>
        <w:rPr>
          <w:color w:val="000000"/>
        </w:rPr>
        <w:t xml:space="preserve"> </w:t>
      </w:r>
      <w:r>
        <w:rPr>
          <w:rFonts w:ascii="Times New Roman;sans-serif" w:hAnsi="Times New Roman;sans-serif"/>
          <w:b w:val="false"/>
          <w:color w:val="000000"/>
          <w:sz w:val="20"/>
        </w:rPr>
        <w:t xml:space="preserve">The LTI RSUs, if awarded, will be governed by the terms and conditions of the Company’s 2021 Plan, the respective provisions of the 2023 Executive Compensation Plan and applicable award agreements. </w:t>
      </w:r>
    </w:p>
    <w:p>
      <w:pPr>
        <w:pStyle w:val="TextBody"/>
        <w:bidi w:val="0"/>
        <w:spacing w:lineRule="auto" w:line="288" w:before="0" w:after="113"/>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above, if and to the extent the Employee shall be granted LTI RSUs, then the grant thereof shall be subject to the following: </w:t>
      </w:r>
    </w:p>
    <w:p>
      <w:pPr>
        <w:pStyle w:val="TextBody"/>
        <w:bidi w:val="0"/>
        <w:spacing w:lineRule="auto" w:line="288" w:before="0" w:after="113"/>
        <w:ind w:left="0" w:right="0" w:hanging="811"/>
        <w:jc w:val="both"/>
        <w:rPr/>
      </w:pPr>
      <w:r>
        <w:rPr>
          <w:rFonts w:ascii="Times New Roman;sans-serif" w:hAnsi="Times New Roman;sans-serif"/>
          <w:b w:val="false"/>
          <w:color w:val="000000"/>
          <w:sz w:val="20"/>
        </w:rPr>
        <w:t>4.2.1.</w:t>
      </w:r>
      <w:r>
        <w:rPr>
          <w:color w:val="000000"/>
        </w:rPr>
        <w:t xml:space="preserve"> </w:t>
      </w: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xml:space="preserve">: effective as of the effective date of the Compensation Committee’s approval of the 2023 Executive Compensation Plan, namely, February 5, 2023. </w:t>
      </w:r>
    </w:p>
    <w:p>
      <w:pPr>
        <w:pStyle w:val="TextBody"/>
        <w:bidi w:val="0"/>
        <w:spacing w:lineRule="auto" w:line="288" w:before="0" w:after="113"/>
        <w:ind w:left="0" w:right="0" w:hanging="811"/>
        <w:jc w:val="both"/>
        <w:rPr/>
      </w:pPr>
      <w:r>
        <w:rPr>
          <w:rFonts w:ascii="Times New Roman;sans-serif" w:hAnsi="Times New Roman;sans-serif"/>
          <w:b w:val="false"/>
          <w:color w:val="000000"/>
          <w:sz w:val="20"/>
        </w:rPr>
        <w:t>4.2.2.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Three-year quarterly, commencing retroactively from January 1</w:t>
      </w:r>
      <w:r>
        <w:rPr>
          <w:rFonts w:ascii="Times New Roman;sans-serif" w:hAnsi="Times New Roman;sans-serif"/>
          <w:b w:val="false"/>
          <w:color w:val="000000"/>
          <w:sz w:val="13"/>
        </w:rPr>
        <w:t>st</w:t>
      </w:r>
      <w:r>
        <w:rPr>
          <w:rFonts w:ascii="Times New Roman;sans-serif" w:hAnsi="Times New Roman;sans-serif"/>
          <w:b w:val="false"/>
          <w:color w:val="000000"/>
          <w:sz w:val="20"/>
        </w:rPr>
        <w:t xml:space="preserve">, 2023. </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4"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811"/>
        <w:jc w:val="left"/>
        <w:rPr/>
      </w:pPr>
      <w:r>
        <w:rPr>
          <w:rFonts w:ascii="Times New Roman;sans-serif" w:hAnsi="Times New Roman;sans-serif"/>
          <w:b w:val="false"/>
          <w:color w:val="000000"/>
          <w:sz w:val="20"/>
        </w:rPr>
        <w:t>4.2.3.</w:t>
      </w:r>
      <w:r>
        <w:rPr>
          <w:color w:val="000000"/>
        </w:rPr>
        <w:t xml:space="preserve">     </w:t>
      </w:r>
      <w:r>
        <w:rPr>
          <w:rFonts w:ascii="Times New Roman;sans-serif" w:hAnsi="Times New Roman;sans-serif"/>
          <w:b w:val="false"/>
          <w:color w:val="000000"/>
          <w:sz w:val="20"/>
          <w:u w:val="single"/>
        </w:rPr>
        <w:t>Contingencies</w:t>
      </w:r>
      <w:r>
        <w:rPr>
          <w:rFonts w:ascii="Times New Roman;sans-serif" w:hAnsi="Times New Roman;sans-serif"/>
          <w:b w:val="false"/>
          <w:color w:val="000000"/>
          <w:sz w:val="20"/>
        </w:rPr>
        <w:t xml:space="preserve">: the LTI RSUs award shall be made pursuant to the 2021 Plan, the 2023 Executive Compensation Plan and the appropriate award agreement to be executed by the Employee and countersigned by Kaltura, Inc., and to the execution and delivery of all required agreements and instruments pursuant to the 2021 Plan and Kaltura, Inc.’s policies. </w:t>
      </w:r>
    </w:p>
    <w:p>
      <w:pPr>
        <w:pStyle w:val="TextBody"/>
        <w:bidi w:val="0"/>
        <w:spacing w:lineRule="auto" w:line="300" w:before="0" w:after="0"/>
        <w:ind w:left="0" w:right="0" w:hanging="360"/>
        <w:jc w:val="left"/>
        <w:rPr/>
      </w:pPr>
      <w:r>
        <w:rPr>
          <w:rFonts w:ascii="Times New Roman;sans-serif" w:hAnsi="Times New Roman;sans-serif"/>
          <w:b/>
          <w:color w:val="000000"/>
          <w:sz w:val="20"/>
        </w:rPr>
        <w:t>5.</w:t>
      </w:r>
      <w:r>
        <w:rPr>
          <w:rFonts w:ascii="Times New Roman;sans-serif" w:hAnsi="Times New Roman;sans-serif"/>
          <w:b/>
          <w:color w:val="000000"/>
          <w:sz w:val="20"/>
          <w:u w:val="single"/>
        </w:rPr>
        <w:t>Miscellaneous</w:t>
      </w:r>
      <w:r>
        <w:rPr>
          <w:color w:val="000000"/>
        </w:rPr>
        <w:t xml:space="preserve"> </w:t>
      </w:r>
    </w:p>
    <w:p>
      <w:pPr>
        <w:pStyle w:val="TextBody"/>
        <w:bidi w:val="0"/>
        <w:spacing w:before="0" w:after="113"/>
        <w:jc w:val="both"/>
        <w:rPr/>
      </w:pPr>
      <w:r>
        <w:rPr/>
      </w:r>
    </w:p>
    <w:p>
      <w:pPr>
        <w:pStyle w:val="TextBody"/>
        <w:bidi w:val="0"/>
        <w:spacing w:lineRule="auto" w:line="288" w:before="0" w:after="113"/>
        <w:ind w:left="0" w:right="0" w:hanging="540"/>
        <w:jc w:val="both"/>
        <w:rPr/>
      </w:pPr>
      <w:r>
        <w:rPr>
          <w:rFonts w:ascii="Times New Roman;sans-serif" w:hAnsi="Times New Roman;sans-serif"/>
          <w:b w:val="false"/>
          <w:color w:val="000000"/>
          <w:sz w:val="20"/>
        </w:rPr>
        <w:t>5.1.</w:t>
      </w:r>
      <w:r>
        <w:rPr>
          <w:color w:val="000000"/>
        </w:rPr>
        <w:t xml:space="preserve"> </w:t>
      </w:r>
      <w:r>
        <w:rPr>
          <w:rFonts w:ascii="Times New Roman;sans-serif" w:hAnsi="Times New Roman;sans-serif"/>
          <w:b w:val="false"/>
          <w:color w:val="000000"/>
          <w:sz w:val="20"/>
        </w:rPr>
        <w:t xml:space="preserve">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 </w:t>
      </w:r>
    </w:p>
    <w:p>
      <w:pPr>
        <w:pStyle w:val="TextBody"/>
        <w:bidi w:val="0"/>
        <w:spacing w:lineRule="auto" w:line="288" w:before="0" w:after="50"/>
        <w:ind w:left="0" w:right="0" w:hanging="540"/>
        <w:jc w:val="both"/>
        <w:rPr/>
      </w:pPr>
      <w:r>
        <w:rPr>
          <w:rFonts w:ascii="Times New Roman;sans-serif" w:hAnsi="Times New Roman;sans-serif"/>
          <w:b w:val="false"/>
          <w:color w:val="000000"/>
          <w:sz w:val="20"/>
        </w:rPr>
        <w:t>5.2.</w:t>
      </w:r>
      <w:r>
        <w:rPr>
          <w:color w:val="000000"/>
        </w:rPr>
        <w:t xml:space="preserve"> </w:t>
      </w:r>
      <w:r>
        <w:rPr>
          <w:rFonts w:ascii="Times New Roman;sans-serif" w:hAnsi="Times New Roman;sans-serif"/>
          <w:b w:val="false"/>
          <w:color w:val="000000"/>
          <w:sz w:val="20"/>
        </w:rPr>
        <w:t xml:space="preserve">This Amendment may be executed in one or more counterparts, each of which shall be deemed an original, but all of which together shall constitute one and the same instrument. </w:t>
      </w:r>
    </w:p>
    <w:p>
      <w:pPr>
        <w:pStyle w:val="TextBody"/>
        <w:bidi w:val="0"/>
        <w:spacing w:lineRule="auto" w:line="288" w:before="0" w:after="50"/>
        <w:ind w:left="0" w:right="0" w:hanging="1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xml:space="preserve">, the Parties hereto have executed this Amendment as of the date first hereinabove set forth: </w:t>
      </w:r>
    </w:p>
    <w:tbl>
      <w:tblPr>
        <w:tblW w:w="602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389"/>
        <w:gridCol w:w="389"/>
        <w:gridCol w:w="55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Natan Israeli</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p>
    <w:p>
      <w:pPr>
        <w:pStyle w:val="TextBody"/>
        <w:bidi w:val="0"/>
        <w:spacing w:before="0" w:after="113"/>
        <w:ind w:left="0" w:right="0" w:hanging="1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5"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13"/>
        <w:ind w:left="0" w:right="0" w:hanging="1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13"/>
        <w:ind w:left="0" w:right="0" w:hanging="1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Amendment</w:t>
      </w:r>
    </w:p>
    <w:p>
      <w:pPr>
        <w:pStyle w:val="TextBody"/>
        <w:bidi w:val="0"/>
        <w:spacing w:lineRule="auto" w:line="288" w:before="0" w:after="113"/>
        <w:ind w:left="0" w:right="0" w:hanging="10"/>
        <w:jc w:val="center"/>
        <w:rPr>
          <w:rFonts w:ascii="Times New Roman;sans-serif" w:hAnsi="Times New Roman;sans-serif"/>
          <w:b/>
          <w:color w:val="000000"/>
          <w:sz w:val="22"/>
        </w:rPr>
      </w:pPr>
      <w:r>
        <w:rPr>
          <w:rFonts w:ascii="Times New Roman;sans-serif" w:hAnsi="Times New Roman;sans-serif"/>
          <w:b/>
          <w:color w:val="000000"/>
          <w:sz w:val="22"/>
        </w:rPr>
        <w:t>of the</w:t>
      </w:r>
    </w:p>
    <w:p>
      <w:pPr>
        <w:pStyle w:val="TextBody"/>
        <w:bidi w:val="0"/>
        <w:spacing w:lineRule="auto" w:line="288" w:before="0" w:after="113"/>
        <w:ind w:left="0" w:right="0" w:hanging="1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Employment Agreement</w:t>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This AMENDMENT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to that certain individual Employment Agreement (as defined below), is made and entered into this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day of February, 2024, by and between </w:t>
      </w:r>
      <w:r>
        <w:rPr>
          <w:rFonts w:ascii="Times New Roman;sans-serif" w:hAnsi="Times New Roman;sans-serif"/>
          <w:b/>
          <w:color w:val="000000"/>
          <w:sz w:val="22"/>
        </w:rPr>
        <w:t>Kaltura Ltd.</w:t>
      </w:r>
      <w:r>
        <w:rPr>
          <w:rFonts w:ascii="Times New Roman;sans-serif" w:hAnsi="Times New Roman;sans-serif"/>
          <w:b w:val="false"/>
          <w:color w:val="000000"/>
          <w:sz w:val="22"/>
        </w:rPr>
        <w:t>, a company organized under the laws of the State of Israel and having an office and principal place of business at Allied Tower, 9 Ben-Gurion Road, Bnei-Brak, Israel 5126014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xml:space="preserve">) and Mr. </w:t>
      </w:r>
      <w:r>
        <w:rPr>
          <w:rFonts w:ascii="Times New Roman;sans-serif" w:hAnsi="Times New Roman;sans-serif"/>
          <w:b/>
          <w:color w:val="000000"/>
          <w:sz w:val="22"/>
        </w:rPr>
        <w:t>Natan Israeli</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Employee</w:t>
      </w:r>
      <w:r>
        <w:rPr>
          <w:color w:val="000000"/>
        </w:rPr>
        <w:t>”</w:t>
      </w:r>
      <w:r>
        <w:rPr>
          <w:rFonts w:ascii="Times New Roman;sans-serif" w:hAnsi="Times New Roman;sans-serif"/>
          <w:b w:val="false"/>
          <w:color w:val="000000"/>
          <w:sz w:val="22"/>
        </w:rPr>
        <w:t>).</w:t>
      </w:r>
    </w:p>
    <w:p>
      <w:pPr>
        <w:pStyle w:val="TextBody"/>
        <w:bidi w:val="0"/>
        <w:spacing w:lineRule="auto" w:line="240" w:before="60" w:after="120"/>
        <w:ind w:left="0" w:right="0" w:firstLine="288"/>
        <w:jc w:val="both"/>
        <w:rPr/>
      </w:pPr>
      <w:r>
        <w:rPr>
          <w:rFonts w:ascii="Times New Roman;sans-serif" w:hAnsi="Times New Roman;sans-serif"/>
          <w:b w:val="false"/>
          <w:color w:val="000000"/>
          <w:sz w:val="22"/>
        </w:rPr>
        <w:t>Each of the above is referred to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referred to as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before="60" w:after="283"/>
        <w:jc w:val="both"/>
        <w:rPr/>
      </w:pPr>
      <w:r>
        <w:rPr/>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have entered into an individual employment agreement dated November 26, 2020, in connection with the Employee’s employment by the Company, as from time to time amended (the said agreement, together with all the exhibits, attachments and addendums thereto, and any amendments hereto or thereto in accordance with the provisions thereof or hereof, shell be referred to herein as the “</w:t>
      </w:r>
      <w:r>
        <w:rPr>
          <w:rFonts w:ascii="Times New Roman;sans-serif" w:hAnsi="Times New Roman;sans-serif"/>
          <w:b/>
          <w:color w:val="000000"/>
          <w:sz w:val="22"/>
        </w:rPr>
        <w:t>Employment Agreement</w:t>
      </w:r>
      <w:r>
        <w:rPr>
          <w:color w:val="000000"/>
        </w:rPr>
        <w:t>”</w:t>
      </w:r>
      <w:r>
        <w:rPr>
          <w:rFonts w:ascii="Times New Roman;sans-serif" w:hAnsi="Times New Roman;sans-serif"/>
          <w:b w:val="false"/>
          <w:color w:val="000000"/>
          <w:sz w:val="22"/>
        </w:rPr>
        <w:t>); and</w:t>
      </w:r>
    </w:p>
    <w:p>
      <w:pPr>
        <w:pStyle w:val="TextBody"/>
        <w:bidi w:val="0"/>
        <w:spacing w:lineRule="auto" w:line="240" w:before="60" w:after="120"/>
        <w:ind w:left="0" w:right="0" w:hanging="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wish to amend the Employment Agreement in accordance with the terms herewith;</w:t>
      </w:r>
    </w:p>
    <w:p>
      <w:pPr>
        <w:pStyle w:val="TextBody"/>
        <w:bidi w:val="0"/>
        <w:spacing w:before="60" w:after="283"/>
        <w:jc w:val="both"/>
        <w:rPr/>
      </w:pPr>
      <w:r>
        <w:rPr/>
      </w:r>
    </w:p>
    <w:p>
      <w:pPr>
        <w:pStyle w:val="TextBody"/>
        <w:bidi w:val="0"/>
        <w:spacing w:lineRule="auto" w:line="240" w:before="60" w:after="283"/>
        <w:ind w:left="0" w:right="0" w:firstLine="357"/>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mutual agreements and covenants contained in this Amendment and other good and valuable consideration (the receipt and adequacy of which are hereby mutually acknowledged), each of the Parties hereby agree as follows:</w:t>
      </w:r>
    </w:p>
    <w:p>
      <w:pPr>
        <w:pStyle w:val="TextBody"/>
        <w:bidi w:val="0"/>
        <w:spacing w:before="0" w:after="113"/>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Definitions and Interpretation</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1.1.Capitalized terms used but not otherwise defined herein having the respective meanings set forth in the Employment Agreement. All capitalized terms used but not defined hereinabove or in the Employment Agreement, shall have the meaning ascribed for then as in the recitals or as hereinbelow defined.</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1.2.The preface to this Amendment constitutes an indivisible and integral part thereof.</w:t>
      </w:r>
    </w:p>
    <w:p>
      <w:pPr>
        <w:pStyle w:val="TextBody"/>
        <w:bidi w:val="0"/>
        <w:spacing w:lineRule="auto" w:line="240" w:before="120" w:after="283"/>
        <w:ind w:left="0" w:right="0" w:hanging="633"/>
        <w:jc w:val="both"/>
        <w:rPr>
          <w:rFonts w:ascii="Times New Roman;sans-serif" w:hAnsi="Times New Roman;sans-serif"/>
          <w:b w:val="false"/>
          <w:color w:val="000000"/>
          <w:sz w:val="22"/>
        </w:rPr>
      </w:pPr>
      <w:r>
        <w:rPr>
          <w:rFonts w:ascii="Times New Roman;sans-serif" w:hAnsi="Times New Roman;sans-serif"/>
          <w:b w:val="false"/>
          <w:color w:val="000000"/>
          <w:sz w:val="22"/>
        </w:rPr>
        <w:t>1.3.The provisions of this Amendment are in addition to, and in amendment of, the provisions of the Employment Agreement and in the event of any discrepancy or inconsistency between the provisions of the Employment Agreement and the provisions of this Amendment, the provisions of this Amendment shall prevail. Any reference in the Employment Agreement or herein to “this Agreement” shall mean the Employment Agreement as amended by this Amendment.</w:t>
      </w:r>
    </w:p>
    <w:p>
      <w:pPr>
        <w:pStyle w:val="TextBody"/>
        <w:bidi w:val="0"/>
        <w:spacing w:before="0" w:after="113"/>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Base Salary</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2.1.Commencing as of January 1</w:t>
      </w:r>
      <w:r>
        <w:rPr>
          <w:rFonts w:ascii="Times New Roman;sans-serif" w:hAnsi="Times New Roman;sans-serif"/>
          <w:b w:val="false"/>
          <w:color w:val="000000"/>
          <w:sz w:val="14"/>
        </w:rPr>
        <w:t>st</w:t>
      </w:r>
      <w:r>
        <w:rPr>
          <w:rFonts w:ascii="Times New Roman;sans-serif" w:hAnsi="Times New Roman;sans-serif"/>
          <w:b w:val="false"/>
          <w:color w:val="000000"/>
          <w:sz w:val="22"/>
        </w:rPr>
        <w:t>, 2024, the Employee’s annual Base Salary shall be increased by a gross amount of NIS 178,500 (which is equal to $50,000 in accordance with $1.00/NIS3.57 exchange rate as was affixed by the Company for the purposes of your Employment Agreement, regardless such rate at the Effective Date of this Amendment) to a gross annual amount of NIS 1,102,500 (namely, an addition of NIS 14,875 gross per month to a total gross monthly Base Salary of NIS 91,875). To dispel doubt, the new Base Salay NIS amount as so affixed by the Company shall be deemed for all purposes as the amount by which your NIS gross Base Salary has been increased, and it shall not be linked or subject to any further NIS/USD exchange rate changes.</w:t>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before="0" w:after="113"/>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Bonus</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96"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3.1.The Employee’s entitlement to an annual Bonus for the calendar year of 2024 shall be determined, for such year only, on the basis of the Employee’s and Kaltura Inc. (the “</w:t>
      </w:r>
      <w:r>
        <w:rPr>
          <w:rFonts w:ascii="Times New Roman;sans-serif" w:hAnsi="Times New Roman;sans-serif"/>
          <w:b/>
          <w:color w:val="000000"/>
          <w:sz w:val="22"/>
        </w:rPr>
        <w:t>US Parent</w:t>
      </w:r>
      <w:r>
        <w:rPr>
          <w:color w:val="000000"/>
        </w:rPr>
        <w:t>”</w:t>
      </w:r>
      <w:r>
        <w:rPr>
          <w:rFonts w:ascii="Times New Roman;sans-serif" w:hAnsi="Times New Roman;sans-serif"/>
          <w:b w:val="false"/>
          <w:color w:val="000000"/>
          <w:sz w:val="22"/>
        </w:rPr>
        <w:t xml:space="preserve">) attainment of certain goals and objectives defined by the US Parent, which are set forth in the Employee’s annual bonus plan according to US Parent’s 2024 Executive Compensation Plan as approved by the its Compensation Committee on or about February 14, 2024, a summary of which is enclosed as </w:t>
      </w:r>
      <w:r>
        <w:rPr>
          <w:rFonts w:ascii="Times New Roman;sans-serif" w:hAnsi="Times New Roman;sans-serif"/>
          <w:b/>
          <w:color w:val="000000"/>
          <w:sz w:val="22"/>
          <w:u w:val="single"/>
        </w:rPr>
        <w:t>Annex A</w:t>
      </w:r>
      <w:r>
        <w:rPr>
          <w:color w:val="000000"/>
        </w:rPr>
        <w:t xml:space="preserve"> </w:t>
      </w:r>
      <w:r>
        <w:rPr>
          <w:rFonts w:ascii="Times New Roman;sans-serif" w:hAnsi="Times New Roman;sans-serif"/>
          <w:b w:val="false"/>
          <w:color w:val="000000"/>
          <w:sz w:val="22"/>
        </w:rPr>
        <w:t>hereof (the “</w:t>
      </w:r>
      <w:r>
        <w:rPr>
          <w:rFonts w:ascii="Times New Roman;sans-serif" w:hAnsi="Times New Roman;sans-serif"/>
          <w:b/>
          <w:color w:val="000000"/>
          <w:sz w:val="22"/>
        </w:rPr>
        <w:t>2024 Executive Compensation Plan</w:t>
      </w:r>
      <w:r>
        <w:rPr>
          <w:color w:val="000000"/>
        </w:rPr>
        <w:t>”</w:t>
      </w:r>
      <w:r>
        <w:rPr>
          <w:rFonts w:ascii="Times New Roman;sans-serif" w:hAnsi="Times New Roman;sans-serif"/>
          <w:b w:val="false"/>
          <w:color w:val="000000"/>
          <w:sz w:val="22"/>
        </w:rPr>
        <w:t>).</w:t>
      </w:r>
    </w:p>
    <w:p>
      <w:pPr>
        <w:pStyle w:val="TextBody"/>
        <w:bidi w:val="0"/>
        <w:spacing w:lineRule="auto" w:line="288" w:before="120" w:after="113"/>
        <w:ind w:left="0" w:right="0" w:hanging="10"/>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subject to the successive Subsections of this Section 3, the 2024 annual Bonus shall be as follows: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3.1.1.The potential maximum annual Bonus with respect to 100% attainment, satisfaction and performance against the 2024 Executive Compensation Plan’s targets and thresholds (namely, Individual Objectives and Company Financial Goals KPIs and OKRs) as elaborated in the 2024 Executive Compensation Plan, shall equal the gross amount of USD </w:t>
      </w:r>
      <w:r>
        <w:rPr>
          <w:rFonts w:ascii="Times New Roman;sans-serif" w:hAnsi="Times New Roman;sans-serif"/>
          <w:b/>
          <w:color w:val="000000"/>
          <w:sz w:val="22"/>
        </w:rPr>
        <w:t>309,000</w:t>
      </w:r>
      <w:r>
        <w:rPr>
          <w:color w:val="000000"/>
        </w:rPr>
        <w:t xml:space="preserve"> </w:t>
      </w:r>
      <w:r>
        <w:rPr>
          <w:rFonts w:ascii="Times New Roman;sans-serif" w:hAnsi="Times New Roman;sans-serif"/>
          <w:b w:val="false"/>
          <w:color w:val="000000"/>
          <w:sz w:val="22"/>
        </w:rPr>
        <w:t>(herein, the “</w:t>
      </w:r>
      <w:r>
        <w:rPr>
          <w:rFonts w:ascii="Times New Roman;sans-serif" w:hAnsi="Times New Roman;sans-serif"/>
          <w:b/>
          <w:color w:val="000000"/>
          <w:sz w:val="22"/>
        </w:rPr>
        <w:t>Base OTB</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3.1.2.The potential maximum annual Additional Stretch Bonus for overachievement against such goals (&gt;100%), shall equal the gross amount of USD </w:t>
      </w:r>
      <w:r>
        <w:rPr>
          <w:rFonts w:ascii="Times New Roman;sans-serif" w:hAnsi="Times New Roman;sans-serif"/>
          <w:b/>
          <w:color w:val="000000"/>
          <w:sz w:val="22"/>
        </w:rPr>
        <w:t>116,000</w:t>
      </w:r>
      <w:r>
        <w:rPr>
          <w:color w:val="000000"/>
        </w:rPr>
        <w:t xml:space="preserve"> </w:t>
      </w:r>
      <w:r>
        <w:rPr>
          <w:rFonts w:ascii="Times New Roman;sans-serif" w:hAnsi="Times New Roman;sans-serif"/>
          <w:b w:val="false"/>
          <w:color w:val="000000"/>
          <w:sz w:val="22"/>
        </w:rPr>
        <w:t>(based on overstretch bonus of 137.5% of Base OTB).</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3.2.Notwithstanding anything to the contrary in the Employment Agreement or any other agreements, arrangements, undertakings, obligations, representations, warranties and/or understandings, either oral, in writing or otherwise, relating to the Employee’s employment and/or grant of services and/or any other engagement, entered into between the Parties, the monetary value of the Base OTB to which the Employee shall be entitled under the 2024 Executive Compensation Plan up to 100% attainment, shall be granted in the form of up to </w:t>
      </w:r>
      <w:r>
        <w:rPr>
          <w:rFonts w:ascii="Times New Roman;sans-serif" w:hAnsi="Times New Roman;sans-serif"/>
          <w:b/>
          <w:color w:val="000000"/>
          <w:sz w:val="22"/>
        </w:rPr>
        <w:t>172,000</w:t>
      </w:r>
      <w:r>
        <w:rPr>
          <w:color w:val="000000"/>
        </w:rPr>
        <w:t xml:space="preserve"> </w:t>
      </w:r>
      <w:r>
        <w:rPr>
          <w:rFonts w:ascii="Times New Roman;sans-serif" w:hAnsi="Times New Roman;sans-serif"/>
          <w:b w:val="false"/>
          <w:color w:val="000000"/>
          <w:sz w:val="22"/>
        </w:rPr>
        <w:t>Restricted Stock Units (as defined in the 2021 Kaltura, Inc. Incentive Award Plan and Israeli Sub-Plan; together, the “</w:t>
      </w:r>
      <w:r>
        <w:rPr>
          <w:rFonts w:ascii="Times New Roman;sans-serif" w:hAnsi="Times New Roman;sans-serif"/>
          <w:b/>
          <w:color w:val="000000"/>
          <w:sz w:val="22"/>
        </w:rPr>
        <w:t>2021 Plan</w:t>
      </w:r>
      <w:r>
        <w:rPr>
          <w:color w:val="000000"/>
        </w:rPr>
        <w:t>”</w:t>
      </w:r>
      <w:r>
        <w:rPr>
          <w:rFonts w:ascii="Times New Roman;sans-serif" w:hAnsi="Times New Roman;sans-serif"/>
          <w:b w:val="false"/>
          <w:color w:val="000000"/>
          <w:sz w:val="22"/>
        </w:rPr>
        <w:t>), to be settled in shares in accordance with the calculation and vesting terms set forth in the 2024 Executive Compensation Plan (the “</w:t>
      </w:r>
      <w:r>
        <w:rPr>
          <w:rFonts w:ascii="Times New Roman;sans-serif" w:hAnsi="Times New Roman;sans-serif"/>
          <w:b/>
          <w:color w:val="000000"/>
          <w:sz w:val="22"/>
        </w:rPr>
        <w:t>MBO RSUs</w:t>
      </w:r>
      <w:r>
        <w:rPr>
          <w:color w:val="000000"/>
        </w:rPr>
        <w:t>”</w:t>
      </w:r>
      <w:r>
        <w:rPr>
          <w:rFonts w:ascii="Times New Roman;sans-serif" w:hAnsi="Times New Roman;sans-serif"/>
          <w:b w:val="false"/>
          <w:color w:val="000000"/>
          <w:sz w:val="22"/>
        </w:rPr>
        <w:t>), while any excess entitlement earned by the Employee for MBO overachievement up to the maximum Annual Additional Stretch Bonus (i.e., &gt;100% attainment of the applicable goals under the 2024 Executive Compensation Plan) will be paid in cash in accordance with the entitlement and payment terms set forth under the 2024 Executive Compensation Plan.</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3.3.Except as set forth in this Amendment for the 2024 annual Bonus, the Employee’s entitlement to annual Bonus and Additional Stretch Bonus shall be determined, for each subsequent calendar year, on the basis of the attainment of certain financial and operational metrics set by Kaltura, Inc.’s Board of Directors or Compensation Committee. </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3.4.All Bonus payments, if any, shall be subject to all mandatory withholdings and deductions, and shall be deemed to be quoted in gross figures. In addition, all Bonus payments in currencies other than US Dollar (for 2024, the Additional Stretch Bonus payment) will be adjusted in accordance with the specific payment currency and US Dollar exchange rate that shall prevail as of the payment calculation date in accordance with the Company’s policies and procedures.</w:t>
      </w:r>
    </w:p>
    <w:p>
      <w:pPr>
        <w:pStyle w:val="TextBody"/>
        <w:bidi w:val="0"/>
        <w:spacing w:before="0" w:after="113"/>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MBO RSUs Terms of Grant</w:t>
      </w:r>
    </w:p>
    <w:p>
      <w:pPr>
        <w:pStyle w:val="TextBody"/>
        <w:bidi w:val="0"/>
        <w:spacing w:lineRule="auto" w:line="288" w:before="120" w:after="113"/>
        <w:ind w:left="0" w:right="0" w:hanging="1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terms and provisions of the 2021 Plan, the 2024 Executive Compensation Plan and the applicable Award Agreement, the MBO RSUs (if and to the Extent the Employee shall be entitled to such) shall be subject to the following:</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Grant Date</w:t>
      </w:r>
      <w:r>
        <w:rPr>
          <w:rFonts w:ascii="Times New Roman;sans-serif" w:hAnsi="Times New Roman;sans-serif"/>
          <w:b w:val="false"/>
          <w:color w:val="000000"/>
          <w:sz w:val="22"/>
        </w:rPr>
        <w:t>: effective as of the effective date of the Compensation Committee’s approval of the 2024 Executive Compensation Plan, namely, February 14, 2024.</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xml:space="preserve">: Up to the maximum number of the MBO RSUs that were granted to the Employee will be eligible to vest in accordance with the satisfaction and performance against the 2024 Executive Compensation Plan’s targets and thresholds (namely, Individual Objectives and Company Financial Goals KPIs and OKRs), upon and subject to the eligibility of the Employee to the cash payment of the Annual Bonus but for the conversion thereof to MBO RSUs which shall be determined following the approval of the final audited results for FY-2024 (no later than March 15, 2025), </w:t>
      </w:r>
      <w:r>
        <w:rPr>
          <w:rFonts w:ascii="Times New Roman;sans-serif" w:hAnsi="Times New Roman;sans-serif"/>
          <w:b w:val="false"/>
          <w:i/>
          <w:color w:val="000000"/>
          <w:sz w:val="22"/>
        </w:rPr>
        <w:t>subject, however</w:t>
      </w:r>
      <w:r>
        <w:rPr>
          <w:rFonts w:ascii="Times New Roman;sans-serif" w:hAnsi="Times New Roman;sans-serif"/>
          <w:b w:val="false"/>
          <w:color w:val="000000"/>
          <w:sz w:val="22"/>
        </w:rPr>
        <w:t>, to the continued employment of the Employee through December 31, 2024.</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Contingencies</w:t>
      </w:r>
      <w:r>
        <w:rPr>
          <w:rFonts w:ascii="Times New Roman;sans-serif" w:hAnsi="Times New Roman;sans-serif"/>
          <w:b w:val="false"/>
          <w:color w:val="000000"/>
          <w:sz w:val="22"/>
        </w:rPr>
        <w:t xml:space="preserve">: the MBO RSUs award shall be made pursuant to the 2021 Plan, the 2024 Executive Compensation Plan and the appropriate award agreement to be executed by the Employee and </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countersigned by Kaltura, Inc., and to the execution and delivery of all required agreements and instruments pursuant to the 2021 Plan and Kaltura, Inc.’s policies.</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97"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4.4.All other terms of grant as set forth in the 2024 Executive Compensation Plan and the Company’s Award Documents.</w:t>
      </w:r>
    </w:p>
    <w:p>
      <w:pPr>
        <w:pStyle w:val="TextBody"/>
        <w:bidi w:val="0"/>
        <w:spacing w:before="0" w:after="113"/>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Additional Benefits</w:t>
      </w:r>
    </w:p>
    <w:p>
      <w:pPr>
        <w:pStyle w:val="TextBody"/>
        <w:bidi w:val="0"/>
        <w:spacing w:lineRule="auto" w:line="240" w:before="120" w:after="283"/>
        <w:ind w:left="0" w:right="0" w:hanging="540"/>
        <w:jc w:val="both"/>
        <w:rPr/>
      </w:pPr>
      <w:r>
        <w:rPr>
          <w:rFonts w:ascii="Times New Roman;sans-serif" w:hAnsi="Times New Roman;sans-serif"/>
          <w:b w:val="false"/>
          <w:color w:val="000000"/>
          <w:sz w:val="22"/>
        </w:rPr>
        <w:t xml:space="preserve">5.1.Subject to the approval of the Compensation Committee of the Board of Directors of Kaltura, Inc., and the Employee’s continued employment by the Company through the applicable vesting date, the Company anticipates granting the Employee </w:t>
      </w:r>
      <w:r>
        <w:rPr>
          <w:rFonts w:ascii="Times New Roman;sans-serif" w:hAnsi="Times New Roman;sans-serif"/>
          <w:b/>
          <w:color w:val="000000"/>
          <w:sz w:val="22"/>
        </w:rPr>
        <w:t>768,000</w:t>
      </w:r>
      <w:r>
        <w:rPr>
          <w:color w:val="000000"/>
        </w:rPr>
        <w:t xml:space="preserve"> </w:t>
      </w:r>
      <w:r>
        <w:rPr>
          <w:rFonts w:ascii="Times New Roman;sans-serif" w:hAnsi="Times New Roman;sans-serif"/>
          <w:b w:val="false"/>
          <w:color w:val="000000"/>
          <w:sz w:val="22"/>
        </w:rPr>
        <w:t>RSUs as stipulated in the 2024 Executive Compensation Plan (herein, “</w:t>
      </w:r>
      <w:r>
        <w:rPr>
          <w:rFonts w:ascii="Times New Roman;sans-serif" w:hAnsi="Times New Roman;sans-serif"/>
          <w:b/>
          <w:color w:val="000000"/>
          <w:sz w:val="22"/>
        </w:rPr>
        <w:t>LTI RSUs</w:t>
      </w:r>
      <w:r>
        <w:rPr>
          <w:color w:val="000000"/>
        </w:rPr>
        <w:t>”</w:t>
      </w:r>
      <w:r>
        <w:rPr>
          <w:rFonts w:ascii="Times New Roman;sans-serif" w:hAnsi="Times New Roman;sans-serif"/>
          <w:b w:val="false"/>
          <w:color w:val="000000"/>
          <w:sz w:val="22"/>
        </w:rPr>
        <w: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5.2.The LTI RSUs, if awarded, will be governed by the terms and conditions of the Company’s 2021 Plan, the respective provisions of the 2024 Executive Compensation Plan and applicable award agreements.</w:t>
      </w:r>
    </w:p>
    <w:p>
      <w:pPr>
        <w:pStyle w:val="TextBody"/>
        <w:bidi w:val="0"/>
        <w:spacing w:lineRule="auto" w:line="288" w:before="120" w:after="113"/>
        <w:ind w:left="0" w:right="0" w:hanging="1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above, if and to the extent the Employee shall be granted LTI RSUs, then the grant thereof shall be subject to the following:</w:t>
      </w:r>
    </w:p>
    <w:p>
      <w:pPr>
        <w:pStyle w:val="TextBody"/>
        <w:bidi w:val="0"/>
        <w:spacing w:lineRule="auto" w:line="240" w:before="120" w:after="283"/>
        <w:ind w:left="0" w:right="0" w:hanging="810"/>
        <w:jc w:val="both"/>
        <w:rPr/>
      </w:pPr>
      <w:r>
        <w:rPr>
          <w:rFonts w:ascii="Times New Roman;sans-serif" w:hAnsi="Times New Roman;sans-serif"/>
          <w:b w:val="false"/>
          <w:color w:val="000000"/>
          <w:sz w:val="22"/>
        </w:rPr>
        <w:t>5.2.1.</w:t>
      </w:r>
      <w:r>
        <w:rPr>
          <w:rFonts w:ascii="Times New Roman;sans-serif" w:hAnsi="Times New Roman;sans-serif"/>
          <w:b w:val="false"/>
          <w:color w:val="000000"/>
          <w:sz w:val="22"/>
          <w:u w:val="single"/>
        </w:rPr>
        <w:t>Grant Date</w:t>
      </w:r>
      <w:r>
        <w:rPr>
          <w:rFonts w:ascii="Times New Roman;sans-serif" w:hAnsi="Times New Roman;sans-serif"/>
          <w:b w:val="false"/>
          <w:color w:val="000000"/>
          <w:sz w:val="22"/>
        </w:rPr>
        <w:t>: effective as of the effective date of the Compensation Committee’s approval of the 2024 Executive Compensation Plan, namely, February 14, 2024.</w:t>
      </w:r>
    </w:p>
    <w:p>
      <w:pPr>
        <w:pStyle w:val="TextBody"/>
        <w:bidi w:val="0"/>
        <w:spacing w:lineRule="auto" w:line="240" w:before="120" w:after="283"/>
        <w:ind w:left="0" w:right="0" w:hanging="810"/>
        <w:jc w:val="both"/>
        <w:rPr/>
      </w:pPr>
      <w:r>
        <w:rPr>
          <w:rFonts w:ascii="Times New Roman;sans-serif" w:hAnsi="Times New Roman;sans-serif"/>
          <w:b w:val="false"/>
          <w:color w:val="000000"/>
          <w:sz w:val="22"/>
        </w:rPr>
        <w:t>5.2.2.</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Three-year quarterly, commencing retroactively from January 1</w:t>
      </w:r>
      <w:r>
        <w:rPr>
          <w:rFonts w:ascii="Times New Roman;sans-serif" w:hAnsi="Times New Roman;sans-serif"/>
          <w:b w:val="false"/>
          <w:color w:val="000000"/>
          <w:sz w:val="14"/>
        </w:rPr>
        <w:t>st</w:t>
      </w:r>
      <w:r>
        <w:rPr>
          <w:rFonts w:ascii="Times New Roman;sans-serif" w:hAnsi="Times New Roman;sans-serif"/>
          <w:b w:val="false"/>
          <w:color w:val="000000"/>
          <w:sz w:val="22"/>
        </w:rPr>
        <w:t>, 2024.</w:t>
      </w:r>
    </w:p>
    <w:p>
      <w:pPr>
        <w:pStyle w:val="TextBody"/>
        <w:bidi w:val="0"/>
        <w:spacing w:lineRule="auto" w:line="240" w:before="120" w:after="283"/>
        <w:ind w:left="0" w:right="0" w:hanging="810"/>
        <w:jc w:val="both"/>
        <w:rPr/>
      </w:pPr>
      <w:r>
        <w:rPr>
          <w:rFonts w:ascii="Times New Roman;sans-serif" w:hAnsi="Times New Roman;sans-serif"/>
          <w:b w:val="false"/>
          <w:color w:val="000000"/>
          <w:sz w:val="22"/>
        </w:rPr>
        <w:t>5.2.3.</w:t>
      </w:r>
      <w:r>
        <w:rPr>
          <w:rFonts w:ascii="Times New Roman;sans-serif" w:hAnsi="Times New Roman;sans-serif"/>
          <w:b w:val="false"/>
          <w:color w:val="000000"/>
          <w:sz w:val="22"/>
          <w:u w:val="single"/>
        </w:rPr>
        <w:t>Contingencies</w:t>
      </w:r>
      <w:r>
        <w:rPr>
          <w:rFonts w:ascii="Times New Roman;sans-serif" w:hAnsi="Times New Roman;sans-serif"/>
          <w:b w:val="false"/>
          <w:color w:val="000000"/>
          <w:sz w:val="22"/>
        </w:rPr>
        <w:t>: the LTI RSUs award shall be made pursuant to the 2021 Plan, the 2024 Executive Compensation Plan and the appropriate award agreement to be executed by the Employee and countersigned by Kaltura, Inc., and to the execution and delivery of all required agreements and instruments pursuant to the 2021 Plan and Kaltura, Inc.’s policies.</w:t>
      </w:r>
    </w:p>
    <w:p>
      <w:pPr>
        <w:pStyle w:val="TextBody"/>
        <w:bidi w:val="0"/>
        <w:spacing w:before="0" w:after="113"/>
        <w:ind w:left="0" w:right="0" w:hanging="10"/>
        <w:jc w:val="both"/>
        <w:rPr/>
      </w:pPr>
      <w:r>
        <w:rPr/>
      </w:r>
    </w:p>
    <w:p>
      <w:pPr>
        <w:pStyle w:val="TextBody"/>
        <w:bidi w:val="0"/>
        <w:spacing w:lineRule="auto" w:line="240" w:before="120" w:after="283"/>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Miscellaneous</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6.1.The Employment Agreement is hereby amended as expressly set out in this Amendment above, and all references and provisions relating to the subject matters of this Amendment, shall be read and interpreted in line with this Amendment and in a manner that will give full force and effect thereto, whether or not specified so herein. This Amendment shall be read together with the Employment Agreement as one agreement and, save as expressly amended by this Amendment, the Employment Agreement shall remain unaltered and in full force and effect.</w:t>
      </w:r>
    </w:p>
    <w:p>
      <w:pPr>
        <w:pStyle w:val="TextBody"/>
        <w:bidi w:val="0"/>
        <w:spacing w:lineRule="auto" w:line="240" w:before="120" w:after="283"/>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6.2.This Amendment may be executed in one or more counterparts, each of which shall be deemed an original, but all of which together shall constitute one and the same instrument.</w:t>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40" w:before="60" w:after="283"/>
        <w:jc w:val="both"/>
        <w:rPr/>
      </w:pPr>
      <w:r>
        <w:rPr>
          <w:color w:val="000000"/>
        </w:rPr>
        <w:t>    </w:t>
      </w: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executed this Amendment as of the date first hereinabove set forth:</w:t>
      </w:r>
    </w:p>
    <w:p>
      <w:pPr>
        <w:pStyle w:val="TextBody"/>
        <w:bidi w:val="0"/>
        <w:spacing w:before="60" w:after="283"/>
        <w:jc w:val="both"/>
        <w:rPr/>
      </w:pPr>
      <w:r>
        <w:rPr/>
      </w:r>
    </w:p>
    <w:p>
      <w:pPr>
        <w:pStyle w:val="TextBody"/>
        <w:bidi w:val="0"/>
        <w:spacing w:before="60" w:after="283"/>
        <w:jc w:val="both"/>
        <w:rPr/>
      </w:pPr>
      <w:r>
        <w:rPr/>
      </w:r>
    </w:p>
    <w:tbl>
      <w:tblPr>
        <w:tblW w:w="6021" w:type="dxa"/>
        <w:jc w:val="left"/>
        <w:tblInd w:w="0" w:type="dxa"/>
        <w:tblLayout w:type="fixed"/>
        <w:tblCellMar>
          <w:top w:w="28" w:type="dxa"/>
          <w:left w:w="28" w:type="dxa"/>
          <w:bottom w:w="28" w:type="dxa"/>
          <w:right w:w="28" w:type="dxa"/>
        </w:tblCellMar>
      </w:tblPr>
      <w:tblGrid>
        <w:gridCol w:w="267"/>
        <w:gridCol w:w="234"/>
        <w:gridCol w:w="234"/>
        <w:gridCol w:w="1131"/>
        <w:gridCol w:w="1024"/>
        <w:gridCol w:w="950"/>
        <w:gridCol w:w="109"/>
        <w:gridCol w:w="109"/>
        <w:gridCol w:w="109"/>
        <w:gridCol w:w="173"/>
        <w:gridCol w:w="173"/>
        <w:gridCol w:w="173"/>
        <w:gridCol w:w="389"/>
        <w:gridCol w:w="389"/>
        <w:gridCol w:w="55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Kaltura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color w:val="000000"/>
                <w:sz w:val="22"/>
              </w:rPr>
            </w:pPr>
            <w:r>
              <w:rPr>
                <w:rFonts w:ascii="Times New Roman;sans-serif" w:hAnsi="Times New Roman;sans-serif"/>
                <w:b/>
                <w:color w:val="000000"/>
                <w:sz w:val="22"/>
              </w:rPr>
              <w:t>Employee</w:t>
            </w:r>
          </w:p>
        </w:tc>
      </w:tr>
      <w:tr>
        <w:trPr/>
        <w:tc>
          <w:tcPr>
            <w:tcW w:w="3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Sigal Srur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Natan Israeli</w:t>
            </w:r>
          </w:p>
        </w:tc>
      </w:tr>
      <w:tr>
        <w:trPr/>
        <w:tc>
          <w:tcPr>
            <w:tcW w:w="735"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33"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98"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360"/>
        <w:jc w:val="center"/>
        <w:rPr>
          <w:rFonts w:ascii="Times New Roman;sans-serif" w:hAnsi="Times New Roman;sans-serif"/>
          <w:b/>
          <w:color w:val="333333"/>
          <w:sz w:val="22"/>
        </w:rPr>
      </w:pPr>
      <w:r>
        <w:rPr>
          <w:rFonts w:ascii="Times New Roman;sans-serif" w:hAnsi="Times New Roman;sans-serif"/>
          <w:b/>
          <w:color w:val="333333"/>
          <w:sz w:val="22"/>
        </w:rPr>
        <w:t>Consent of Independent Registered Public Accounting Firm</w:t>
      </w:r>
    </w:p>
    <w:p>
      <w:pPr>
        <w:pStyle w:val="TextBody"/>
        <w:bidi w:val="0"/>
        <w:spacing w:lineRule="auto" w:line="333" w:before="0" w:after="480"/>
        <w:jc w:val="both"/>
        <w:rPr>
          <w:rFonts w:ascii="Times New Roman;sans-serif" w:hAnsi="Times New Roman;sans-serif"/>
          <w:b w:val="false"/>
          <w:color w:val="333333"/>
          <w:sz w:val="20"/>
        </w:rPr>
      </w:pPr>
      <w:r>
        <w:rPr>
          <w:rFonts w:ascii="Times New Roman;sans-serif" w:hAnsi="Times New Roman;sans-serif"/>
          <w:b w:val="false"/>
          <w:color w:val="333333"/>
          <w:sz w:val="20"/>
        </w:rPr>
        <w:t>We consent to the incorporation by reference in the Registration Statements on Form S-8 (Nos. 333-258261, 333-263262 and 333-270081) of Kaltura, Inc., pertaining to the Kaltura Inc. 2007 Israeli Share Option Plan, Kaltura Inc. 2007 Stock Option Plan, Kaltura Inc. 2017 Equity Incentive Plan and Kaltura Inc. 2021 Incentive Award Plan, of our report dated February 22, 2024, with respect to the consolidated financial statements of Kaltura, Inc. included in this Annual Report (Form 10-K) for the year ended December 31, 2023.</w:t>
      </w:r>
    </w:p>
    <w:tbl>
      <w:tblPr>
        <w:tblW w:w="4409" w:type="dxa"/>
        <w:jc w:val="left"/>
        <w:tblInd w:w="0" w:type="dxa"/>
        <w:tblLayout w:type="fixed"/>
        <w:tblCellMar>
          <w:top w:w="28" w:type="dxa"/>
          <w:left w:w="28" w:type="dxa"/>
          <w:bottom w:w="28" w:type="dxa"/>
          <w:right w:w="28" w:type="dxa"/>
        </w:tblCellMar>
      </w:tblPr>
      <w:tblGrid>
        <w:gridCol w:w="581"/>
        <w:gridCol w:w="510"/>
        <w:gridCol w:w="513"/>
        <w:gridCol w:w="820"/>
        <w:gridCol w:w="820"/>
        <w:gridCol w:w="1165"/>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February 22, 2024</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333333"/>
                <w:sz w:val="20"/>
              </w:rPr>
            </w:pPr>
            <w:r>
              <w:rPr>
                <w:rFonts w:ascii="Times New Roman;sans-serif" w:hAnsi="Times New Roman;sans-serif"/>
                <w:b w:val="false"/>
                <w:color w:val="333333"/>
                <w:sz w:val="20"/>
              </w:rPr>
              <w:t>/s/ Kost Forer Gabbay &amp; Kasierer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Tel-Aviv, Israel</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333333"/>
                <w:sz w:val="20"/>
              </w:rPr>
            </w:pPr>
            <w:r>
              <w:rPr>
                <w:rFonts w:ascii="Times New Roman;sans-serif" w:hAnsi="Times New Roman;sans-serif"/>
                <w:b w:val="false"/>
                <w:color w:val="333333"/>
                <w:sz w:val="20"/>
              </w:rPr>
              <w:t>A Member of EY Global</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99"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center"/>
        <w:rPr/>
      </w:pPr>
      <w:r>
        <w:rPr/>
      </w:r>
    </w:p>
    <w:p>
      <w:pPr>
        <w:pStyle w:val="TextBody"/>
        <w:bidi w:val="0"/>
        <w:spacing w:lineRule="auto" w:line="34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Ron Yekutiel, certify that:</w:t>
      </w:r>
    </w:p>
    <w:tbl>
      <w:tblPr>
        <w:tblW w:w="61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05"/>
        <w:gridCol w:w="1605"/>
        <w:gridCol w:w="2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Kaltura,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93"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93"/>
        <w:gridCol w:w="993"/>
        <w:gridCol w:w="141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Ron Yekutiel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Ron Yekutiel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Chairman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0"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1"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34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Yaron Garmazi, certify that:</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Kaltura, Inc.;</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5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34"/>
        <w:gridCol w:w="1134"/>
        <w:gridCol w:w="160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Yaron Garmazi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Yaron Garmazi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2"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4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Kaltura, Inc. (the “Company”)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tbl>
      <w:tblPr>
        <w:tblW w:w="5893"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93"/>
        <w:gridCol w:w="993"/>
        <w:gridCol w:w="141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Ron Yekutiel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Ron Yekutiel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Chairman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3"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34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4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Kaltura, Inc. (the “Company”)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34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tbl>
      <w:tblPr>
        <w:tblW w:w="635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34"/>
        <w:gridCol w:w="1134"/>
        <w:gridCol w:w="160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Yaron Garmazi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Yaron Garmazi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4"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20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 descr=""/>
                          <pic:cNvPicPr>
                            <a:picLocks noChangeAspect="1" noChangeArrowheads="1"/>
                          </pic:cNvPicPr>
                        </pic:nvPicPr>
                        <pic:blipFill>
                          <a:blip r:embed="rId97"/>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Kaltura, Inc.</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Policy for</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Recovery of Erroneously Awarded Compensation</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(Clawback)</w: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Version date: November 20,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Purpose and General Scope</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1.1.Kaltura,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has adopted this Policy for Recovery of Erroneously Awarded Compensation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effective as of November 20, 2023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for setting clawback rules for the recoupment of erroneously awarded incentive-based compensation in the event of a triggering restatement as set forth hereinbelow.</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1.2.The Policy includes the following exhibits:</w:t>
      </w:r>
    </w:p>
    <w:p>
      <w:pPr>
        <w:pStyle w:val="TextBody"/>
        <w:bidi w:val="0"/>
        <w:spacing w:lineRule="auto" w:line="240" w:before="120" w:after="283"/>
        <w:jc w:val="both"/>
        <w:rPr/>
      </w:pPr>
      <w:r>
        <w:rPr>
          <w:rFonts w:ascii="Times New Roman;sans-serif" w:hAnsi="Times New Roman;sans-serif"/>
          <w:b/>
          <w:color w:val="000000"/>
          <w:sz w:val="22"/>
        </w:rPr>
        <w:t>Exhibit A</w:t>
      </w:r>
      <w:r>
        <w:rPr>
          <w:color w:val="000000"/>
        </w:rPr>
        <w:t xml:space="preserve"> – </w:t>
      </w:r>
      <w:r>
        <w:rPr>
          <w:rFonts w:ascii="Times New Roman;sans-serif" w:hAnsi="Times New Roman;sans-serif"/>
          <w:b w:val="false"/>
          <w:color w:val="000000"/>
          <w:sz w:val="22"/>
        </w:rPr>
        <w:t>Specimen of Officer’s Acknowledgement &amp; Consent form</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Definitions, Terms and Interpretation</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2.1.The following expressions and terms shall have the meaning as hereinafter defined, unless the context otherwise requires: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4"/>
        <w:gridCol w:w="581"/>
        <w:gridCol w:w="587"/>
        <w:gridCol w:w="109"/>
        <w:gridCol w:w="109"/>
        <w:gridCol w:w="109"/>
        <w:gridCol w:w="2442"/>
        <w:gridCol w:w="2243"/>
        <w:gridCol w:w="3191"/>
      </w:tblGrid>
      <w:tr>
        <w:trPr/>
        <w:tc>
          <w:tcPr>
            <w:tcW w:w="83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Affiliate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any particular Person, means any other Person directly or indirectly Controlling, Controlled by or under common Control with such particular Person.</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Applicable Rules</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Section 10D of the Exchange Act, Rule 10D-1 promulgated thereunder, the listing rules of the national securities exchange or association on which the Company’s securities are listed, and any applicable rules, standards or other guidance adopted by the U.S. Securities and Exchange Commission or any national securities exchange or association on which the Company’s securities are listed.</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Board</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Board of Directors of the Company.</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Committee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means the committee of the Board responsible for executive compensation decisions comprised solely of independent directors (as determined under the Applicable Rules; namely, the Compensation Committee of the Board), or in the absence of such a committee, a majority of the independent directors serving on the Board.</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Control</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Controlling</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Controlled</w:t>
            </w:r>
            <w:r>
              <w:rPr>
                <w:color w:val="000000"/>
              </w:rPr>
              <w:t xml:space="preserve">” </w:t>
            </w:r>
            <w:r>
              <w:rPr>
                <w:rFonts w:ascii="Times New Roman;sans-serif" w:hAnsi="Times New Roman;sans-serif"/>
                <w:b w:val="false"/>
                <w:color w:val="000000"/>
                <w:sz w:val="22"/>
              </w:rPr>
              <w:t>or other declension of such term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87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any Person, shall mean: (a) the possession, directly or indirectly, of the power to direct or cause the direction of the management and policies of such Person whether through the ownership of voting securities, by agreement or otherwise; and/or (b) the possession, directly or indirectly, of the power to elect and remove one half or more of the directors or other individuals exercising similar authority with respect to such Person, whether through the ownership of voting securities, by contract or otherwise; and/or (c) the possession, directly or indirectly, of a voting interest of 50% or more.</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910330"/>
                <wp:effectExtent l="0" t="0" r="0" b="0"/>
                <wp:wrapNone/>
                <wp:docPr id="206" name="Frame199"/>
                <a:graphic xmlns:a="http://schemas.openxmlformats.org/drawingml/2006/main">
                  <a:graphicData uri="http://schemas.microsoft.com/office/word/2010/wordprocessingShape">
                    <wps:wsp>
                      <wps:cNvSpPr txBox="1"/>
                      <wps:spPr>
                        <a:xfrm>
                          <a:off x="0" y="0"/>
                          <a:ext cx="6480175" cy="3910330"/>
                        </a:xfrm>
                        <a:prstGeom prst="rect"/>
                        <a:solidFill>
                          <a:srgbClr val="FFFFFF"/>
                        </a:solidFill>
                      </wps:spPr>
                      <wps:txbx>
                        <w:txbxContent>
                          <w:tbl>
                            <w:tblPr>
                              <w:tblW w:w="6164" w:type="dxa"/>
                              <w:jc w:val="left"/>
                              <w:tblInd w:w="0" w:type="dxa"/>
                              <w:tblLayout w:type="fixed"/>
                              <w:tblCellMar>
                                <w:top w:w="28" w:type="dxa"/>
                                <w:left w:w="28" w:type="dxa"/>
                                <w:bottom w:w="28" w:type="dxa"/>
                                <w:right w:w="28" w:type="dxa"/>
                              </w:tblCellMar>
                            </w:tblPr>
                            <w:tblGrid>
                              <w:gridCol w:w="1974"/>
                              <w:gridCol w:w="1733"/>
                              <w:gridCol w:w="2457"/>
                            </w:tblGrid>
                            <w:tr>
                              <w:trPr/>
                              <w:tc>
                                <w:tcPr>
                                  <w:tcW w:w="1974" w:type="dxa"/>
                                  <w:tcBorders/>
                                  <w:vAlign w:val="center"/>
                                </w:tcPr>
                                <w:p>
                                  <w:pPr>
                                    <w:pStyle w:val="TableContents"/>
                                    <w:bidi w:val="0"/>
                                    <w:spacing w:before="0" w:after="283"/>
                                    <w:jc w:val="left"/>
                                    <w:rPr>
                                      <w:sz w:val="4"/>
                                      <w:szCs w:val="4"/>
                                    </w:rPr>
                                  </w:pPr>
                                  <w:r>
                                    <w:rPr>
                                      <w:sz w:val="4"/>
                                      <w:szCs w:val="4"/>
                                    </w:rPr>
                                  </w:r>
                                  <w:r>
                                    <w:br w:type="page"/>
                                  </w:r>
                                </w:p>
                              </w:tc>
                              <w:tc>
                                <w:tcPr>
                                  <w:tcW w:w="1733"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0" w:before="0" w:after="0"/>
                                    <w:jc w:val="center"/>
                                    <w:rPr>
                                      <w:rFonts w:ascii="Times New Roman;sans-serif" w:hAnsi="Times New Roman;sans-serif"/>
                                      <w:b w:val="false"/>
                                      <w:color w:val="808080"/>
                                      <w:sz w:val="18"/>
                                    </w:rPr>
                                  </w:pPr>
                                  <w:r>
                                    <w:rPr>
                                      <w:rFonts w:ascii="Times New Roman;sans-serif" w:hAnsi="Times New Roman;sans-serif"/>
                                      <w:b w:val="false"/>
                                      <w:color w:val="808080"/>
                                      <w:sz w:val="18"/>
                                    </w:rPr>
                                    <w:t>Kaltura, Inc. • 860 Broadway, 3rd Floor New York, NY 10003 • Tel: 646-290-5445</w:t>
                                  </w:r>
                                </w:p>
                                <w:p>
                                  <w:pPr>
                                    <w:pStyle w:val="TableContents"/>
                                    <w:bidi w:val="0"/>
                                    <w:spacing w:lineRule="auto" w:line="2880" w:before="0" w:after="0"/>
                                    <w:jc w:val="center"/>
                                    <w:rPr>
                                      <w:rFonts w:ascii="Times New Roman;sans-serif" w:hAnsi="Times New Roman;sans-serif"/>
                                      <w:b w:val="false"/>
                                      <w:color w:val="808080"/>
                                      <w:sz w:val="18"/>
                                    </w:rPr>
                                  </w:pPr>
                                  <w:r>
                                    <w:rPr>
                                      <w:rFonts w:ascii="Times New Roman;sans-serif" w:hAnsi="Times New Roman;sans-serif"/>
                                      <w:b w:val="false"/>
                                      <w:color w:val="808080"/>
                                      <w:sz w:val="18"/>
                                    </w:rPr>
                                    <w:t>Allied Tower, 9 Ben-Gurion Road, Bnei-Brak, Israel</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808080"/>
                                      <w:sz w:val="18"/>
                                    </w:rPr>
                                  </w:pPr>
                                  <w:r>
                                    <w:rPr>
                                      <w:rFonts w:ascii="Times New Roman;sans-serif" w:hAnsi="Times New Roman;sans-serif"/>
                                      <w:b w:val="false"/>
                                      <w:color w:val="808080"/>
                                      <w:sz w:val="18"/>
                                    </w:rPr>
                                    <w:t>www.kaltura.com</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7.9pt;mso-wrap-distance-left:0pt;mso-wrap-distance-right:0pt;mso-wrap-distance-top:0pt;mso-wrap-distance-bottom:0pt;margin-top:0pt;mso-position-vertical:top;mso-position-vertical-relative:text;margin-left:0pt;mso-position-horizontal:left;mso-position-horizontal-relative:text">
                <v:textbox>
                  <w:txbxContent>
                    <w:tbl>
                      <w:tblPr>
                        <w:tblW w:w="6164" w:type="dxa"/>
                        <w:jc w:val="left"/>
                        <w:tblInd w:w="0" w:type="dxa"/>
                        <w:tblLayout w:type="fixed"/>
                        <w:tblCellMar>
                          <w:top w:w="28" w:type="dxa"/>
                          <w:left w:w="28" w:type="dxa"/>
                          <w:bottom w:w="28" w:type="dxa"/>
                          <w:right w:w="28" w:type="dxa"/>
                        </w:tblCellMar>
                      </w:tblPr>
                      <w:tblGrid>
                        <w:gridCol w:w="1974"/>
                        <w:gridCol w:w="1733"/>
                        <w:gridCol w:w="2457"/>
                      </w:tblGrid>
                      <w:tr>
                        <w:trPr/>
                        <w:tc>
                          <w:tcPr>
                            <w:tcW w:w="197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0" w:before="0" w:after="0"/>
                              <w:jc w:val="center"/>
                              <w:rPr>
                                <w:rFonts w:ascii="Times New Roman;sans-serif" w:hAnsi="Times New Roman;sans-serif"/>
                                <w:b w:val="false"/>
                                <w:color w:val="808080"/>
                                <w:sz w:val="18"/>
                              </w:rPr>
                            </w:pPr>
                            <w:r>
                              <w:rPr>
                                <w:rFonts w:ascii="Times New Roman;sans-serif" w:hAnsi="Times New Roman;sans-serif"/>
                                <w:b w:val="false"/>
                                <w:color w:val="808080"/>
                                <w:sz w:val="18"/>
                              </w:rPr>
                              <w:t>Kaltura, Inc. • 860 Broadway, 3rd Floor New York, NY 10003 • Tel: 646-290-5445</w:t>
                            </w:r>
                          </w:p>
                          <w:p>
                            <w:pPr>
                              <w:pStyle w:val="TableContents"/>
                              <w:bidi w:val="0"/>
                              <w:spacing w:lineRule="auto" w:line="2880" w:before="0" w:after="0"/>
                              <w:jc w:val="center"/>
                              <w:rPr>
                                <w:rFonts w:ascii="Times New Roman;sans-serif" w:hAnsi="Times New Roman;sans-serif"/>
                                <w:b w:val="false"/>
                                <w:color w:val="808080"/>
                                <w:sz w:val="18"/>
                              </w:rPr>
                            </w:pPr>
                            <w:r>
                              <w:rPr>
                                <w:rFonts w:ascii="Times New Roman;sans-serif" w:hAnsi="Times New Roman;sans-serif"/>
                                <w:b w:val="false"/>
                                <w:color w:val="808080"/>
                                <w:sz w:val="18"/>
                              </w:rPr>
                              <w:t>Allied Tower, 9 Ben-Gurion Road, Bnei-Brak, Israel</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808080"/>
                                <w:sz w:val="18"/>
                              </w:rPr>
                            </w:pPr>
                            <w:r>
                              <w:rPr>
                                <w:rFonts w:ascii="Times New Roman;sans-serif" w:hAnsi="Times New Roman;sans-serif"/>
                                <w:b w:val="false"/>
                                <w:color w:val="808080"/>
                                <w:sz w:val="18"/>
                              </w:rPr>
                              <w:t>www.kaltura.com</w:t>
                            </w:r>
                          </w:p>
                        </w:tc>
                      </w:tr>
                    </w:tbl>
                    <w:p>
                      <w:pPr>
                        <w:pStyle w:val="TextBody"/>
                        <w:bidi w:val="0"/>
                        <w:spacing w:before="0" w:after="0"/>
                        <w:jc w:val="both"/>
                        <w:rPr/>
                      </w:pPr>
                      <w:r>
                        <w:rPr/>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20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 descr=""/>
                          <pic:cNvPicPr>
                            <a:picLocks noChangeAspect="1" noChangeArrowheads="1"/>
                          </pic:cNvPicPr>
                        </pic:nvPicPr>
                        <pic:blipFill>
                          <a:blip r:embed="rId98"/>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1"/>
        <w:gridCol w:w="534"/>
        <w:gridCol w:w="535"/>
        <w:gridCol w:w="109"/>
        <w:gridCol w:w="109"/>
        <w:gridCol w:w="109"/>
        <w:gridCol w:w="2357"/>
        <w:gridCol w:w="2357"/>
        <w:gridCol w:w="3334"/>
      </w:tblGrid>
      <w:tr>
        <w:trPr/>
        <w:tc>
          <w:tcPr>
            <w:tcW w:w="76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Erroneously Awarded Compensation</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Exchange Act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the Securities Exchange Act of 1934, as amended.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Financial Reporting Measure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GAAP</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United States generally accepted accounting principles.</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IFRS</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international financial reporting standards as adopted by the International Accounting Standards Board.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Impracticable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Incentive-Based Compensation</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Officer</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each person who serves as an executive officer of the Company, as defined in Rule 10D-1(d) under the Exchange Act.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Other Recovery Arrangements</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0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shall have the meaning ascribed to it in Section 9 hereof.</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6840"/>
                <wp:effectExtent l="0" t="0" r="0" b="0"/>
                <wp:wrapNone/>
                <wp:docPr id="208"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2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 descr=""/>
                          <pic:cNvPicPr>
                            <a:picLocks noChangeAspect="1" noChangeArrowheads="1"/>
                          </pic:cNvPicPr>
                        </pic:nvPicPr>
                        <pic:blipFill>
                          <a:blip r:embed="rId99"/>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07"/>
        <w:gridCol w:w="445"/>
        <w:gridCol w:w="451"/>
        <w:gridCol w:w="109"/>
        <w:gridCol w:w="109"/>
        <w:gridCol w:w="109"/>
        <w:gridCol w:w="2488"/>
        <w:gridCol w:w="2474"/>
        <w:gridCol w:w="3513"/>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Person</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an individual or an incorporated or other legal entity, such as, but not limited to, a partnership, a corporation, a limited liability company, an association, a joint stock company, a trust, a joint venture, an unincorporated organization or similar bodies.</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Restatement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2"/>
              </w:rPr>
              <w:t>Three-Year Period</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 </w:t>
            </w:r>
          </w:p>
        </w:tc>
      </w:tr>
    </w:tbl>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2.2.All capitalized terms used but not defined hereinabove, shall have the meaning ascribed for then as herein below defined.</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2.3.The Preamble to this Policy forms an integral part hereof.</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2.4.The Schedules, Annexes, Appendixes, Tables, Exhibits and other attachments to this Policy constitute an integral part hereof.</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2.5.The headings of the Sections, Schedules, Annexes, Appendixes, Tables, Exhibits and other attachments in this Policy are for convenience of reference only and shall not affect or limit in any way the interpretation or construction of the provisions of this Policy. </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2.6.Any reference to a statute, rule or regulation is to that statute, rule or regulation as now enacted or as the same may from time to time be amended, re-enacted or expressly replaced.</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In such event, the General Counsel together with the Company’s Chief Executive Officer or Chief Financial Officer, shall replace the said provision with a substitute, valid and enforceable provision or procedure which is consistent with such Applicable Rules and most nearly effectuates the Company’s intent in establishing this Policy. Such a change shall be ratified by the Committee or by the Board at its subsequent meeting.</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Persons Subject to Policy</w:t>
      </w:r>
    </w:p>
    <w:p>
      <w:pPr>
        <w:pStyle w:val="TextBody"/>
        <w:bidi w:val="0"/>
        <w:spacing w:lineRule="auto" w:line="240" w:before="120" w:after="283"/>
        <w:jc w:val="both"/>
        <w:rPr/>
      </w:pPr>
      <w:r>
        <w:rPr>
          <w:rFonts w:ascii="Times New Roman;sans-serif" w:hAnsi="Times New Roman;sans-serif"/>
          <w:b w:val="false"/>
          <w:color w:val="000000"/>
          <w:sz w:val="22"/>
        </w:rPr>
        <w:t xml:space="preserve">This Policy shall apply to current and former Officers of the Company. Each Officer shall be required to sign an acknowledgment pursuant to which such Officer will agree to be bound by the terms of, and comply with, this Policy substantially in the form of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hereof; however, any Officer’s failure to sign any such acknowledgment shall not negate the application of this Policy to the Officer.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16840"/>
                <wp:effectExtent l="0" t="0" r="0" b="0"/>
                <wp:wrapNone/>
                <wp:docPr id="210"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2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 descr=""/>
                          <pic:cNvPicPr>
                            <a:picLocks noChangeAspect="1" noChangeArrowheads="1"/>
                          </pic:cNvPicPr>
                        </pic:nvPicPr>
                        <pic:blipFill>
                          <a:blip r:embed="rId100"/>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p>
      <w:pPr>
        <w:pStyle w:val="TextBody"/>
        <w:bidi w:val="0"/>
        <w:spacing w:before="0" w:after="0"/>
        <w:jc w:val="center"/>
        <w:rPr/>
      </w:pPr>
      <w:r>
        <w:rPr/>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Compensation Subject to Policy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Recovery of Compensation</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Manner of Recovery; Limitation on Duplicative Recovery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 xml:space="preserve">Administration </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administered, interpreted and construed by the Committee, which is authorized to make all determinations necessary, appropriate or advisable for such purpose. The Board of Directors of the Company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Officers, equityholders and employees. The Committee may delegate administrative duties with respect to this Policy to one or more directors or employees of the Company, unless prohibited under applicable law, including any Applicable Rules.</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Ay its capacity as administrator, the Committee shall take reasonable steps to inform the Company’s Officers of this Policy and obtain their agreement to this Policy as set forth in Section 3 above, which steps may constitute, unless other measures taken, the inclusion of this Policy as an attachment to any award that is accepted by the respective Officer.</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No Indemnification; No Liability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6840"/>
                <wp:effectExtent l="0" t="0" r="0" b="0"/>
                <wp:wrapNone/>
                <wp:docPr id="212"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2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1" descr=""/>
                          <pic:cNvPicPr>
                            <a:picLocks noChangeAspect="1" noChangeArrowheads="1"/>
                          </pic:cNvPicPr>
                        </pic:nvPicPr>
                        <pic:blipFill>
                          <a:blip r:embed="rId101"/>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p>
      <w:pPr>
        <w:pStyle w:val="TextBody"/>
        <w:bidi w:val="0"/>
        <w:spacing w:before="0" w:after="0"/>
        <w:jc w:val="center"/>
        <w:rPr/>
      </w:pPr>
      <w:r>
        <w:rPr/>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Company, its officer and employees, an affiliate of the Company or any member of the Committee or the Board shall have any liability to any person as a result of actions taken under this Policy.</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Application; Enforceability</w:t>
      </w:r>
    </w:p>
    <w:p>
      <w:pPr>
        <w:pStyle w:val="TextBody"/>
        <w:bidi w:val="0"/>
        <w:spacing w:lineRule="auto" w:line="240" w:before="120" w:after="283"/>
        <w:ind w:left="0" w:right="0" w:hanging="737"/>
        <w:jc w:val="both"/>
        <w:rPr/>
      </w:pPr>
      <w:r>
        <w:rPr>
          <w:rFonts w:ascii="Times New Roman;sans-serif" w:hAnsi="Times New Roman;sans-serif"/>
          <w:b w:val="false"/>
          <w:color w:val="000000"/>
          <w:sz w:val="22"/>
        </w:rPr>
        <w:t>9.1.Except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color w:val="000000"/>
          <w:sz w:val="22"/>
        </w:rPr>
        <w:t>Other Recovery Arrangements</w:t>
      </w:r>
      <w:r>
        <w:rPr>
          <w:color w:val="000000"/>
        </w:rPr>
        <w:t>”</w:t>
      </w:r>
      <w:r>
        <w:rPr>
          <w:rFonts w:ascii="Times New Roman;sans-serif" w:hAnsi="Times New Roman;sans-serif"/>
          <w:b w:val="false"/>
          <w:color w:val="000000"/>
          <w:sz w:val="22"/>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40" w:before="120" w:after="283"/>
        <w:ind w:left="0" w:right="0" w:hanging="737"/>
        <w:jc w:val="both"/>
        <w:rPr>
          <w:rFonts w:ascii="Times New Roman;sans-serif" w:hAnsi="Times New Roman;sans-serif"/>
          <w:b w:val="false"/>
          <w:color w:val="000000"/>
          <w:sz w:val="22"/>
        </w:rPr>
      </w:pPr>
      <w:r>
        <w:rPr>
          <w:rFonts w:ascii="Times New Roman;sans-serif" w:hAnsi="Times New Roman;sans-serif"/>
          <w:b w:val="false"/>
          <w:color w:val="000000"/>
          <w:sz w:val="22"/>
        </w:rPr>
        <w:t>9.2.This Policy shall be construed as an instrument for the benefit of a third party with respect to the Company’s Affiliates, and shall apply to all the Company’s Affiliates regardless the employment or engagement structure with the respective Officer, and regardless weather such Affiliates have establish their own clawback policies or Other Recovery Agreements or not.</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Severability</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240" w:before="120" w:after="283"/>
        <w:ind w:left="0" w:right="0" w:hanging="397"/>
        <w:jc w:val="both"/>
        <w:rPr/>
      </w:pPr>
      <w:r>
        <w:rPr>
          <w:rFonts w:ascii="Times New Roman;sans-serif" w:hAnsi="Times New Roman;sans-serif"/>
          <w:b w:val="false"/>
          <w:color w:val="000000"/>
          <w:sz w:val="22"/>
        </w:rPr>
        <w:t>11.</w:t>
      </w:r>
      <w:r>
        <w:rPr>
          <w:rFonts w:ascii="Times New Roman;sans-serif" w:hAnsi="Times New Roman;sans-serif"/>
          <w:b/>
          <w:color w:val="000000"/>
          <w:sz w:val="22"/>
          <w:u w:val="single"/>
        </w:rPr>
        <w:t>Amendment and Termination</w:t>
      </w:r>
    </w:p>
    <w:p>
      <w:pPr>
        <w:pStyle w:val="TextBody"/>
        <w:bidi w:val="0"/>
        <w:spacing w:lineRule="auto" w:line="240" w:before="12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 *</w:t>
      </w:r>
    </w:p>
    <w:p>
      <w:pPr>
        <w:pStyle w:val="TextBody"/>
        <w:bidi w:val="0"/>
        <w:spacing w:before="0" w:after="0"/>
        <w:jc w:val="both"/>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16840"/>
                <wp:effectExtent l="0" t="0" r="0" b="0"/>
                <wp:wrapNone/>
                <wp:docPr id="214" name="Frame2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689"/>
        <w:gridCol w:w="605"/>
        <w:gridCol w:w="607"/>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43000" cy="276225"/>
                  <wp:effectExtent l="0" t="0" r="0" b="0"/>
                  <wp:docPr id="2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2" descr=""/>
                          <pic:cNvPicPr>
                            <a:picLocks noChangeAspect="1" noChangeArrowheads="1"/>
                          </pic:cNvPicPr>
                        </pic:nvPicPr>
                        <pic:blipFill>
                          <a:blip r:embed="rId102"/>
                          <a:stretch>
                            <a:fillRect/>
                          </a:stretch>
                        </pic:blipFill>
                        <pic:spPr bwMode="auto">
                          <a:xfrm>
                            <a:off x="0" y="0"/>
                            <a:ext cx="1143000" cy="276225"/>
                          </a:xfrm>
                          <a:prstGeom prst="rect">
                            <a:avLst/>
                          </a:prstGeom>
                        </pic:spPr>
                      </pic:pic>
                    </a:graphicData>
                  </a:graphic>
                </wp:inline>
              </w:drawing>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both"/>
        <w:rPr/>
      </w:pPr>
      <w:r>
        <w:rPr/>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ACKNOWLEDGMENT AND CONSENT TO</w:t>
      </w:r>
    </w:p>
    <w:p>
      <w:pPr>
        <w:pStyle w:val="TextBody"/>
        <w:bidi w:val="0"/>
        <w:spacing w:lineRule="auto" w:line="240"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POLICY FOR RECOVERY OF ERRONEOUSLY AWARDED COMPENSATION</w:t>
      </w:r>
    </w:p>
    <w:p>
      <w:pPr>
        <w:pStyle w:val="TextBody"/>
        <w:bidi w:val="0"/>
        <w:spacing w:before="0" w:after="0"/>
        <w:jc w:val="both"/>
        <w:rPr/>
      </w:pPr>
      <w:r>
        <w:rPr/>
      </w:r>
    </w:p>
    <w:p>
      <w:pPr>
        <w:pStyle w:val="TextBody"/>
        <w:bidi w:val="0"/>
        <w:spacing w:lineRule="auto" w:line="240" w:before="120" w:after="283"/>
        <w:ind w:left="0" w:right="0" w:firstLine="567"/>
        <w:jc w:val="both"/>
        <w:rPr/>
      </w:pPr>
      <w:r>
        <w:rPr>
          <w:rFonts w:ascii="Times New Roman;sans-serif" w:hAnsi="Times New Roman;sans-serif"/>
          <w:b w:val="false"/>
          <w:color w:val="000000"/>
          <w:sz w:val="22"/>
        </w:rPr>
        <w:t>The undersigned has received a copy of the Policy for Recovery of Erroneously Awarded Compensation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adopted by Kaltura,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on or about November 20, 2023.</w:t>
      </w:r>
    </w:p>
    <w:p>
      <w:pPr>
        <w:pStyle w:val="TextBody"/>
        <w:bidi w:val="0"/>
        <w:spacing w:lineRule="auto" w:line="240" w:before="120" w:after="283"/>
        <w:ind w:left="0" w:right="0" w:firstLine="567"/>
        <w:jc w:val="both"/>
        <w:rPr>
          <w:rFonts w:ascii="Times New Roman;sans-serif" w:hAnsi="Times New Roman;sans-serif"/>
          <w:b w:val="false"/>
          <w:color w:val="000000"/>
          <w:sz w:val="22"/>
        </w:rPr>
      </w:pPr>
      <w:r>
        <w:rPr>
          <w:rFonts w:ascii="Times New Roman;sans-serif" w:hAnsi="Times New Roman;sans-serif"/>
          <w:b w:val="false"/>
          <w:color w:val="000000"/>
          <w:sz w:val="22"/>
        </w:rPr>
        <w:t>For good and valuable consideration, the receipt of which is acknowledged, the undersigned agrees to the terms of the Policy and any further update or amended thereof as shall be required under any applicable law,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907"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80"/>
        <w:gridCol w:w="180"/>
        <w:gridCol w:w="181"/>
        <w:gridCol w:w="109"/>
        <w:gridCol w:w="109"/>
        <w:gridCol w:w="109"/>
        <w:gridCol w:w="303"/>
        <w:gridCol w:w="303"/>
        <w:gridCol w:w="430"/>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16840"/>
                <wp:effectExtent l="0" t="0" r="0" b="0"/>
                <wp:wrapNone/>
                <wp:docPr id="216" name="Frame2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Kaltura - Clawback Policy (Board) - 11-14-2023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32133/000162828021014333/exhibit31-closing8xk.htm" TargetMode="External"/><Relationship Id="rId5" Type="http://schemas.openxmlformats.org/officeDocument/2006/relationships/hyperlink" Target="https://www.sec.gov/Archives/edgar/data/1432133/000162828021014333/exhibit31-closing8xk.htm" TargetMode="External"/><Relationship Id="rId6" Type="http://schemas.openxmlformats.org/officeDocument/2006/relationships/hyperlink" Target="https://www.sec.gov/Archives/edgar/data/1432133/000143213322000035/kalturainc-certificateofde.htm" TargetMode="External"/><Relationship Id="rId7" Type="http://schemas.openxmlformats.org/officeDocument/2006/relationships/hyperlink" Target="https://www.sec.gov/Archives/edgar/data/1432133/000143213322000035/kalturainc-certificateofde.htm" TargetMode="External"/><Relationship Id="rId8" Type="http://schemas.openxmlformats.org/officeDocument/2006/relationships/hyperlink" Target="https://www.sec.gov/Archives/edgar/data/1432133/000162828021014333/exhibit32-closing8xk.htm" TargetMode="External"/><Relationship Id="rId9" Type="http://schemas.openxmlformats.org/officeDocument/2006/relationships/hyperlink" Target="https://www.sec.gov/Archives/edgar/data/1432133/000162828021014333/exhibit32-closing8xk.htm" TargetMode="External"/><Relationship Id="rId10" Type="http://schemas.openxmlformats.org/officeDocument/2006/relationships/hyperlink" Target="https://www.sec.gov/Archives/edgar/data/1432133/000162828021005315/exhibit41-sx1a1.htm" TargetMode="External"/><Relationship Id="rId11" Type="http://schemas.openxmlformats.org/officeDocument/2006/relationships/hyperlink" Target="https://www.sec.gov/Archives/edgar/data/1432133/000162828021005315/exhibit41-sx1a1.htm" TargetMode="External"/><Relationship Id="rId12" Type="http://schemas.openxmlformats.org/officeDocument/2006/relationships/hyperlink" Target="https://www.sec.gov/Archives/edgar/data/1432133/000162828021005315/exhibit42-sx1a1.htm" TargetMode="External"/><Relationship Id="rId13" Type="http://schemas.openxmlformats.org/officeDocument/2006/relationships/hyperlink" Target="https://www.sec.gov/Archives/edgar/data/1432133/000162828021005315/exhibit42-sx1a1.htm" TargetMode="External"/><Relationship Id="rId14" Type="http://schemas.openxmlformats.org/officeDocument/2006/relationships/hyperlink" Target="https://www.sec.gov/Archives/edgar/data/1432133/000117891322000830/exhibit_4-4.htm" TargetMode="External"/><Relationship Id="rId15" Type="http://schemas.openxmlformats.org/officeDocument/2006/relationships/hyperlink" Target="https://www.sec.gov/Archives/edgar/data/1432133/000117891322000830/exhibit_4-4.htm" TargetMode="External"/><Relationship Id="rId16" Type="http://schemas.openxmlformats.org/officeDocument/2006/relationships/hyperlink" Target="https://www.sec.gov/Archives/edgar/data/1432133/000143213322000035/kalturainc-rightsplan2022l.htm" TargetMode="External"/><Relationship Id="rId17" Type="http://schemas.openxmlformats.org/officeDocument/2006/relationships/hyperlink" Target="https://www.sec.gov/Archives/edgar/data/1432133/000143213322000035/kalturainc-rightsplan2022l.htm" TargetMode="External"/><Relationship Id="rId18" Type="http://schemas.openxmlformats.org/officeDocument/2006/relationships/hyperlink" Target="https://www.sec.gov/Archives/edgar/data/1432133/000162828021005737/exhibit101-sx1a2.htm" TargetMode="External"/><Relationship Id="rId19" Type="http://schemas.openxmlformats.org/officeDocument/2006/relationships/hyperlink" Target="https://www.sec.gov/Archives/edgar/data/1432133/000162828021005737/exhibit101-sx1a2.htm" TargetMode="External"/><Relationship Id="rId20" Type="http://schemas.openxmlformats.org/officeDocument/2006/relationships/hyperlink" Target="https://www.sec.gov/Archives/edgar/data/1432133/000162828021013715/exhibit101-sx1a5.htm" TargetMode="External"/><Relationship Id="rId21" Type="http://schemas.openxmlformats.org/officeDocument/2006/relationships/hyperlink" Target="https://www.sec.gov/Archives/edgar/data/1432133/000162828021013715/exhibit101-sx1a5.htm" TargetMode="External"/><Relationship Id="rId22" Type="http://schemas.openxmlformats.org/officeDocument/2006/relationships/hyperlink" Target="https://www.sec.gov/Archives/edgar/data/1432133/000117891322000830/exhibit_10-3.htm" TargetMode="External"/><Relationship Id="rId23" Type="http://schemas.openxmlformats.org/officeDocument/2006/relationships/hyperlink" Target="https://www.sec.gov/Archives/edgar/data/1432133/000117891322000830/exhibit_10-3.htm" TargetMode="External"/><Relationship Id="rId24" Type="http://schemas.openxmlformats.org/officeDocument/2006/relationships/hyperlink" Target="https://www.sec.gov/Archives/edgar/data/1432133/000143213323000074/a2341401-thirdamendmenttoc.htm" TargetMode="External"/><Relationship Id="rId25" Type="http://schemas.openxmlformats.org/officeDocument/2006/relationships/hyperlink" Target="https://www.sec.gov/Archives/edgar/data/1432133/000143213323000074/a2341401-thirdamendmenttoc.htm" TargetMode="External"/><Relationship Id="rId26" Type="http://schemas.openxmlformats.org/officeDocument/2006/relationships/hyperlink" Target="https://www.sec.gov/Archives/edgar/data/1432133/000143213323000074/a2543512-fourthamendmentto.htm" TargetMode="External"/><Relationship Id="rId27" Type="http://schemas.openxmlformats.org/officeDocument/2006/relationships/hyperlink" Target="https://www.sec.gov/Archives/edgar/data/1432133/000143213323000074/a2543512-fourthamendmentto.htm" TargetMode="External"/><Relationship Id="rId28" Type="http://schemas.openxmlformats.org/officeDocument/2006/relationships/hyperlink" Target="https://www.sec.gov/Archives/edgar/data/1432133/000143213323000166/final-fifthamendmenttocr.htm" TargetMode="External"/><Relationship Id="rId29" Type="http://schemas.openxmlformats.org/officeDocument/2006/relationships/hyperlink" Target="https://www.sec.gov/Archives/edgar/data/1432133/000143213323000166/final-fifthamendmenttocr.htm" TargetMode="External"/><Relationship Id="rId30" Type="http://schemas.openxmlformats.org/officeDocument/2006/relationships/hyperlink" Target="https://www.sec.gov/Archives/edgar/data/1432133/000162828021005737/exhibit102-sx1a2.htm" TargetMode="External"/><Relationship Id="rId31" Type="http://schemas.openxmlformats.org/officeDocument/2006/relationships/hyperlink" Target="https://www.sec.gov/Archives/edgar/data/1432133/000162828021005737/exhibit102-sx1a2.htm" TargetMode="External"/><Relationship Id="rId32" Type="http://schemas.openxmlformats.org/officeDocument/2006/relationships/hyperlink" Target="https://www.sec.gov/Archives/edgar/data/1432133/000162828021005737/exhibit103-sx1a2.htm" TargetMode="External"/><Relationship Id="rId33" Type="http://schemas.openxmlformats.org/officeDocument/2006/relationships/hyperlink" Target="https://www.sec.gov/Archives/edgar/data/1432133/000162828021005737/exhibit103-sx1a2.htm" TargetMode="External"/><Relationship Id="rId34" Type="http://schemas.openxmlformats.org/officeDocument/2006/relationships/hyperlink" Target="https://www.sec.gov/Archives/edgar/data/1432133/000162828021005315/exhibit104-sx1a1.htm" TargetMode="External"/><Relationship Id="rId35" Type="http://schemas.openxmlformats.org/officeDocument/2006/relationships/hyperlink" Target="https://www.sec.gov/Archives/edgar/data/1432133/000162828021005315/exhibit104-sx1a1.htm" TargetMode="External"/><Relationship Id="rId36" Type="http://schemas.openxmlformats.org/officeDocument/2006/relationships/hyperlink" Target="https://www.sec.gov/Archives/edgar/data/1432133/000162828021005315/exhibit104-sx1a1.htm" TargetMode="External"/><Relationship Id="rId37" Type="http://schemas.openxmlformats.org/officeDocument/2006/relationships/hyperlink" Target="https://www.sec.gov/Archives/edgar/data/1432133/000162828021005315/exhibit104-sx1a1.htm" TargetMode="External"/><Relationship Id="rId38" Type="http://schemas.openxmlformats.org/officeDocument/2006/relationships/hyperlink" Target="https://www.sec.gov/Archives/edgar/data/1432133/000162828021005315/exhibit106-sx1a1.htm" TargetMode="External"/><Relationship Id="rId39" Type="http://schemas.openxmlformats.org/officeDocument/2006/relationships/hyperlink" Target="https://www.sec.gov/Archives/edgar/data/1432133/000162828021005315/exhibit106-sx1a1.htm" TargetMode="External"/><Relationship Id="rId40" Type="http://schemas.openxmlformats.org/officeDocument/2006/relationships/hyperlink" Target="https://www.sec.gov/Archives/edgar/data/1432133/000162828021005315/exhibit106-sx1a1.htm" TargetMode="External"/><Relationship Id="rId41" Type="http://schemas.openxmlformats.org/officeDocument/2006/relationships/hyperlink" Target="https://www.sec.gov/Archives/edgar/data/1432133/000162828021005315/exhibit105s-1a1.htm" TargetMode="External"/><Relationship Id="rId42" Type="http://schemas.openxmlformats.org/officeDocument/2006/relationships/hyperlink" Target="https://www.sec.gov/Archives/edgar/data/1432133/000162828021005315/exhibit107-sx1a1.htm" TargetMode="External"/><Relationship Id="rId43" Type="http://schemas.openxmlformats.org/officeDocument/2006/relationships/hyperlink" Target="https://www.sec.gov/Archives/edgar/data/1432133/000162828021005315/exhibit107-sx1a1.htm" TargetMode="External"/><Relationship Id="rId44" Type="http://schemas.openxmlformats.org/officeDocument/2006/relationships/hyperlink" Target="https://www.sec.gov/Archives/edgar/data/1432133/000162828021005315/exhibit107-sx1a1.htm" TargetMode="External"/><Relationship Id="rId45" Type="http://schemas.openxmlformats.org/officeDocument/2006/relationships/hyperlink" Target="https://www.sec.gov/Archives/edgar/data/1432133/000162828021005315/exhibit106-sx1a1.htm" TargetMode="External"/><Relationship Id="rId46" Type="http://schemas.openxmlformats.org/officeDocument/2006/relationships/hyperlink" Target="https://www.sec.gov/Archives/edgar/data/1432133/000162828021005315/exhibit108-sx1a1.htm" TargetMode="External"/><Relationship Id="rId47" Type="http://schemas.openxmlformats.org/officeDocument/2006/relationships/hyperlink" Target="https://www.sec.gov/Archives/edgar/data/1432133/000162828021005315/exhibit108-sx1a1.htm" TargetMode="External"/><Relationship Id="rId48" Type="http://schemas.openxmlformats.org/officeDocument/2006/relationships/hyperlink" Target="https://www.sec.gov/Archives/edgar/data/1432133/000162828021005315/exhibit108-sx1a1.htm" TargetMode="External"/><Relationship Id="rId49" Type="http://schemas.openxmlformats.org/officeDocument/2006/relationships/hyperlink" Target="https://www.sec.gov/Archives/edgar/data/1432133/000162828021005315/exhibit107-sx1a1.htm" TargetMode="External"/><Relationship Id="rId50" Type="http://schemas.openxmlformats.org/officeDocument/2006/relationships/hyperlink" Target="https://www.sec.gov/Archives/edgar/data/1432133/000162828021005315/exhibit109-sx1a1.htm" TargetMode="External"/><Relationship Id="rId51" Type="http://schemas.openxmlformats.org/officeDocument/2006/relationships/hyperlink" Target="https://www.sec.gov/Archives/edgar/data/1432133/000162828021005315/exhibit109-sx1a1.htm" TargetMode="External"/><Relationship Id="rId52" Type="http://schemas.openxmlformats.org/officeDocument/2006/relationships/hyperlink" Target="https://www.sec.gov/Archives/edgar/data/1432133/000162828021005315/exhibit109-sx1a1.htm" TargetMode="External"/><Relationship Id="rId53" Type="http://schemas.openxmlformats.org/officeDocument/2006/relationships/hyperlink" Target="https://www.sec.gov/Archives/edgar/data/1432133/000162828021005315/exhibit108-sx1a1.htm" TargetMode="External"/><Relationship Id="rId54" Type="http://schemas.openxmlformats.org/officeDocument/2006/relationships/hyperlink" Target="https://www.sec.gov/Archives/edgar/data/0001432133/000117891322001409/exhibit_10-1.htm" TargetMode="External"/><Relationship Id="rId55" Type="http://schemas.openxmlformats.org/officeDocument/2006/relationships/hyperlink" Target="https://www.sec.gov/Archives/edgar/data/0001432133/000117891322001409/exhibit_10-1.htm" TargetMode="External"/><Relationship Id="rId56" Type="http://schemas.openxmlformats.org/officeDocument/2006/relationships/hyperlink" Target="https://www.sec.gov/Archives/edgar/data/0001432133/000117891322001409/exhibit_10-1.htm" TargetMode="External"/><Relationship Id="rId57" Type="http://schemas.openxmlformats.org/officeDocument/2006/relationships/hyperlink" Target="https://www.sec.gov/Archives/edgar/data/1432133/000162828021005315/exhibit109-sx1a1.htm" TargetMode="External"/><Relationship Id="rId58" Type="http://schemas.openxmlformats.org/officeDocument/2006/relationships/hyperlink" Target="https://www.sec.gov/Archives/edgar/data/0001432133/000117891322001409/exhibit_10-1.htm" TargetMode="External"/><Relationship Id="rId59" Type="http://schemas.openxmlformats.org/officeDocument/2006/relationships/hyperlink" Target="https://www.sec.gov/Archives/edgar/data/0001432133/000117891322001409/exhibit_10-1.htm" TargetMode="External"/><Relationship Id="rId60" Type="http://schemas.openxmlformats.org/officeDocument/2006/relationships/hyperlink" Target="https://www.sec.gov/Archives/edgar/data/0001432133/000117891322001409/exhibit_10-1.htm" TargetMode="External"/><Relationship Id="rId61" Type="http://schemas.openxmlformats.org/officeDocument/2006/relationships/hyperlink" Target="https://www.sec.gov/Archives/edgar/data/0001432133/000117891322001409/exhibit_10-1.htm" TargetMode="External"/><Relationship Id="rId62" Type="http://schemas.openxmlformats.org/officeDocument/2006/relationships/hyperlink" Target="https://www.sec.gov/Archives/edgar/data/1432133/000117891322001409/exhibit_10-3.htm" TargetMode="External"/><Relationship Id="rId63" Type="http://schemas.openxmlformats.org/officeDocument/2006/relationships/hyperlink" Target="https://www.sec.gov/Archives/edgar/data/1432133/000117891322001409/exhibit_10-3.htm" TargetMode="External"/><Relationship Id="rId64" Type="http://schemas.openxmlformats.org/officeDocument/2006/relationships/hyperlink" Target="https://www.sec.gov/Archives/edgar/data/1432133/000117891322001409/exhibit_10-3.htm" TargetMode="External"/><Relationship Id="rId65" Type="http://schemas.openxmlformats.org/officeDocument/2006/relationships/hyperlink" Target="https://www.sec.gov/Archives/edgar/data/0001432133/000117891322001409/exhibit_10-1.htm" TargetMode="External"/><Relationship Id="rId66" Type="http://schemas.openxmlformats.org/officeDocument/2006/relationships/hyperlink" Target="https://www.sec.gov/Archives/edgar/data/0001432133/000117891322001409/exhibit_10-4.htm" TargetMode="External"/><Relationship Id="rId67" Type="http://schemas.openxmlformats.org/officeDocument/2006/relationships/hyperlink" Target="https://www.sec.gov/Archives/edgar/data/0001432133/000117891322001409/exhibit_10-4.htm" TargetMode="External"/><Relationship Id="rId68" Type="http://schemas.openxmlformats.org/officeDocument/2006/relationships/hyperlink" Target="https://www.sec.gov/Archives/edgar/data/0001432133/000117891322001409/exhibit_10-4.htm" TargetMode="External"/><Relationship Id="rId69" Type="http://schemas.openxmlformats.org/officeDocument/2006/relationships/hyperlink" Target="https://www.sec.gov/Archives/edgar/data/1432133/000117891322001409/exhibit_10-3.htm" TargetMode="External"/><Relationship Id="rId70" Type="http://schemas.openxmlformats.org/officeDocument/2006/relationships/hyperlink" Target="https://www.sec.gov/Archives/edgar/data/1432133/000117891324000157/exhibit_10-2.htm" TargetMode="External"/><Relationship Id="rId71" Type="http://schemas.openxmlformats.org/officeDocument/2006/relationships/hyperlink" Target="https://www.sec.gov/Archives/edgar/data/1432133/000117891324000157/exhibit_10-2.htm" TargetMode="External"/><Relationship Id="rId72" Type="http://schemas.openxmlformats.org/officeDocument/2006/relationships/hyperlink" Target="https://www.sec.gov/Archives/edgar/data/1432133/000117891324000157/exhibit_10-2.htm" TargetMode="External"/><Relationship Id="rId73" Type="http://schemas.openxmlformats.org/officeDocument/2006/relationships/hyperlink" Target="https://www.sec.gov/Archives/edgar/data/1432133/000117891324000157/exhibit_10-2.htm" TargetMode="External"/><Relationship Id="rId74" Type="http://schemas.openxmlformats.org/officeDocument/2006/relationships/hyperlink" Target="https://www.sec.gov/Archives/edgar/data/1432133/000162828021005315/exhibit1017-sx1a1.htm" TargetMode="External"/><Relationship Id="rId75" Type="http://schemas.openxmlformats.org/officeDocument/2006/relationships/hyperlink" Target="https://www.sec.gov/Archives/edgar/data/1432133/000162828021005315/exhibit1017-sx1a1.htm" TargetMode="External"/><Relationship Id="rId76" Type="http://schemas.openxmlformats.org/officeDocument/2006/relationships/hyperlink" Target="https://www.sec.gov/Archives/edgar/data/1432133/000162828021005315/exhibit1017-sx1a1.htm" TargetMode="External"/><Relationship Id="rId77" Type="http://schemas.openxmlformats.org/officeDocument/2006/relationships/hyperlink" Target="https://www.sec.gov/Archives/edgar/data/1432133/000162828021005315/exhibit1017-sx1a1.htm" TargetMode="External"/><Relationship Id="rId78" Type="http://schemas.openxmlformats.org/officeDocument/2006/relationships/hyperlink" Target="https://www.sec.gov/Archives/edgar/data/1432133/000117891322000830/exhibit_10-19.htm" TargetMode="External"/><Relationship Id="rId79" Type="http://schemas.openxmlformats.org/officeDocument/2006/relationships/hyperlink" Target="https://www.sec.gov/Archives/edgar/data/1432133/000117891322000830/exhibit_10-19.htm" TargetMode="External"/><Relationship Id="rId80" Type="http://schemas.openxmlformats.org/officeDocument/2006/relationships/hyperlink" Target="https://www.sec.gov/Archives/edgar/data/1432133/000117891322000830/exhibit_10-19.htm" TargetMode="External"/><Relationship Id="rId81" Type="http://schemas.openxmlformats.org/officeDocument/2006/relationships/hyperlink" Target="https://www.sec.gov/Archives/edgar/data/1432133/000117891322000830/exhibit_10-19.htm" TargetMode="External"/><Relationship Id="rId82" Type="http://schemas.openxmlformats.org/officeDocument/2006/relationships/hyperlink" Target="https://www.sec.gov/Archives/edgar/data/1432133/000117891322000830/exhibit_10-20.htm" TargetMode="External"/><Relationship Id="rId83" Type="http://schemas.openxmlformats.org/officeDocument/2006/relationships/hyperlink" Target="https://www.sec.gov/Archives/edgar/data/1432133/000117891322000830/exhibit_10-20.htm" TargetMode="External"/><Relationship Id="rId84" Type="http://schemas.openxmlformats.org/officeDocument/2006/relationships/hyperlink" Target="https://www.sec.gov/Archives/edgar/data/1432133/000117891322000830/exhibit_10-20.htm" TargetMode="External"/><Relationship Id="rId85" Type="http://schemas.openxmlformats.org/officeDocument/2006/relationships/hyperlink" Target="https://www.sec.gov/Archives/edgar/data/1432133/000117891322000830/exhibit_10-20.htm" TargetMode="External"/><Relationship Id="rId86" Type="http://schemas.openxmlformats.org/officeDocument/2006/relationships/hyperlink" Target="https://www.sec.gov/Archives/edgar/data/1432133/000117891322000830/exhibit_10-20.htm" TargetMode="External"/><Relationship Id="rId87" Type="http://schemas.openxmlformats.org/officeDocument/2006/relationships/hyperlink" Target="https://www.sec.gov/Archives/edgar/data/1432133/000162828021005315/exhibit1018-sx1a1.htm" TargetMode="External"/><Relationship Id="rId88" Type="http://schemas.openxmlformats.org/officeDocument/2006/relationships/hyperlink" Target="https://www.sec.gov/Archives/edgar/data/1432133/000162828021005315/exhibit1018-sx1a1.htm" TargetMode="External"/><Relationship Id="rId89" Type="http://schemas.openxmlformats.org/officeDocument/2006/relationships/hyperlink" Target="https://www.sec.gov/Archives/edgar/data/1432133/000162828021005315/exhibit1018-sx1a1.htm" TargetMode="External"/><Relationship Id="rId90" Type="http://schemas.openxmlformats.org/officeDocument/2006/relationships/hyperlink" Target="https://www.sec.gov/Archives/edgar/data/1432133/000162828021005315/exhibit1018-sx1a1.htm" TargetMode="External"/><Relationship Id="rId91" Type="http://schemas.openxmlformats.org/officeDocument/2006/relationships/hyperlink" Target="https://www.sec.gov/Archives/edgar/data/1432133/000143213323000035/exhibit211kalturasubsidiar.htm" TargetMode="External"/><Relationship Id="rId92" Type="http://schemas.openxmlformats.org/officeDocument/2006/relationships/hyperlink" Target="https://www.sec.gov/Archives/edgar/data/1432133/000143213323000035/exhibit211kalturasubsidiar.htm" TargetMode="External"/><Relationship Id="rId93" Type="http://schemas.openxmlformats.org/officeDocument/2006/relationships/image" Target="media/image3.png"/><Relationship Id="rId94" Type="http://schemas.openxmlformats.org/officeDocument/2006/relationships/image" Target="media/image3.png"/><Relationship Id="rId95" Type="http://schemas.openxmlformats.org/officeDocument/2006/relationships/image" Target="media/image3.png"/><Relationship Id="rId96" Type="http://schemas.openxmlformats.org/officeDocument/2006/relationships/image" Target="media/image3.png"/><Relationship Id="rId97" Type="http://schemas.openxmlformats.org/officeDocument/2006/relationships/image" Target="media/image3.png"/><Relationship Id="rId98" Type="http://schemas.openxmlformats.org/officeDocument/2006/relationships/image" Target="media/image3.png"/><Relationship Id="rId99" Type="http://schemas.openxmlformats.org/officeDocument/2006/relationships/image" Target="media/image3.png"/><Relationship Id="rId100" Type="http://schemas.openxmlformats.org/officeDocument/2006/relationships/image" Target="media/image3.png"/><Relationship Id="rId101" Type="http://schemas.openxmlformats.org/officeDocument/2006/relationships/image" Target="media/image3.png"/><Relationship Id="rId102" Type="http://schemas.openxmlformats.org/officeDocument/2006/relationships/image" Target="media/image3.pn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104710</Words>
  <Characters>581663</Characters>
  <CharactersWithSpaces>683541</CharactersWithSpaces>
  <Paragraphs>5864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