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0768x1_def14a_100-regcov_pg1"/>
        <w:bookmarkStart w:id="1" w:name="ny20070768x1_def14a.htm"/>
        <w:bookmarkStart w:id="2" w:name="ksny20070768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(Rule 14a-101)</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INFORMATION REQUIRED IN PROXY STATEMENT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SCHEDULE 14A INFORMATION</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 </w:t>
      </w:r>
    </w:p>
    <w:tbl>
      <w:tblPr>
        <w:tblW w:w="6230" w:type="dxa"/>
        <w:jc w:val="left"/>
        <w:tblInd w:w="0" w:type="dxa"/>
        <w:tblLayout w:type="fixed"/>
        <w:tblCellMar>
          <w:top w:w="0" w:type="dxa"/>
          <w:left w:w="0" w:type="dxa"/>
          <w:bottom w:w="0" w:type="dxa"/>
          <w:right w:w="0" w:type="dxa"/>
        </w:tblCellMar>
      </w:tblPr>
      <w:tblGrid>
        <w:gridCol w:w="2195"/>
        <w:gridCol w:w="170"/>
        <w:gridCol w:w="170"/>
        <w:gridCol w:w="3695"/>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0"/>
              <w:jc w:val="left"/>
              <w:rPr>
                <w:color w:val="000000"/>
              </w:rPr>
            </w:pPr>
            <w:r>
              <w:rPr>
                <w:color w:val="000000"/>
              </w:rPr>
              <w:t> ☐</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0"/>
              <w:jc w:val="left"/>
              <w:rPr>
                <w:color w:val="000000"/>
              </w:rPr>
            </w:pPr>
            <w:r>
              <w:rPr>
                <w:color w:val="000000"/>
              </w:rPr>
              <w:t> ☐</w:t>
            </w:r>
          </w:p>
        </w:tc>
        <w:tc>
          <w:tcPr>
            <w:tcW w:w="6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545" w:type="dxa"/>
        <w:jc w:val="left"/>
        <w:tblInd w:w="0" w:type="dxa"/>
        <w:tblLayout w:type="fixed"/>
        <w:tblCellMar>
          <w:top w:w="0" w:type="dxa"/>
          <w:left w:w="0" w:type="dxa"/>
          <w:bottom w:w="0" w:type="dxa"/>
          <w:right w:w="0" w:type="dxa"/>
        </w:tblCellMar>
      </w:tblPr>
      <w:tblGrid>
        <w:gridCol w:w="260"/>
        <w:gridCol w:w="2285"/>
      </w:tblGrid>
      <w:tr>
        <w:trPr/>
        <w:tc>
          <w:tcPr>
            <w:tcW w:w="26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245" w:type="dxa"/>
        <w:jc w:val="left"/>
        <w:tblInd w:w="0" w:type="dxa"/>
        <w:tblLayout w:type="fixed"/>
        <w:tblCellMar>
          <w:top w:w="0" w:type="dxa"/>
          <w:left w:w="0" w:type="dxa"/>
          <w:bottom w:w="0" w:type="dxa"/>
          <w:right w:w="0" w:type="dxa"/>
        </w:tblCellMar>
      </w:tblPr>
      <w:tblGrid>
        <w:gridCol w:w="6245"/>
      </w:tblGrid>
      <w:tr>
        <w:trPr/>
        <w:tc>
          <w:tcPr>
            <w:tcW w:w="6245" w:type="dxa"/>
            <w:tcBorders/>
            <w:vAlign w:val="center"/>
          </w:tcPr>
          <w:p>
            <w:pPr>
              <w:pStyle w:val="TableContents"/>
              <w:bidi w:val="0"/>
              <w:spacing w:before="0" w:after="0"/>
              <w:jc w:val="left"/>
              <w:rPr/>
            </w:pPr>
            <w:r>
              <w:rPr/>
              <w:t> </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Kaltura, Inc. </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24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0768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Times New Roman;Times;serif" w:hAnsi="Times New Roman;Times;serif"/>
          <w:color w:val="000000"/>
          <w:sz w:val="28"/>
        </w:rPr>
      </w:pPr>
      <w:r>
        <w:rPr>
          <w:rFonts w:ascii="Times New Roman;Times;serif" w:hAnsi="Times New Roman;Times;serif"/>
          <w:color w:val="000000"/>
          <w:sz w:val="28"/>
        </w:rPr>
        <w:t xml:space="preserve">Kaltura, Inc. </w:t>
      </w:r>
    </w:p>
    <w:p>
      <w:pPr>
        <w:pStyle w:val="TextBody"/>
        <w:bidi w:val="0"/>
        <w:spacing w:before="370" w:after="283"/>
        <w:ind w:left="0" w:right="0" w:hanging="0"/>
        <w:jc w:val="left"/>
        <w:rPr>
          <w:rFonts w:ascii="Times New Roman;Times;serif" w:hAnsi="Times New Roman;Times;serif"/>
          <w:b/>
          <w:color w:val="000000"/>
          <w:sz w:val="40"/>
        </w:rPr>
      </w:pPr>
      <w:r>
        <w:rPr>
          <w:rFonts w:ascii="Times New Roman;Times;serif" w:hAnsi="Times New Roman;Times;serif"/>
          <w:b/>
          <w:color w:val="000000"/>
          <w:sz w:val="40"/>
        </w:rPr>
        <w:t xml:space="preserve">NOTICE &amp; PROXY STATEMENT </w:t>
      </w:r>
    </w:p>
    <w:p>
      <w:pPr>
        <w:pStyle w:val="TextBody"/>
        <w:bidi w:val="0"/>
        <w:spacing w:before="480" w:after="283"/>
        <w:ind w:left="0" w:right="0" w:hanging="0"/>
        <w:jc w:val="left"/>
        <w:rPr>
          <w:rFonts w:ascii="Times New Roman;Times;serif" w:hAnsi="Times New Roman;Times;serif"/>
          <w:b/>
          <w:color w:val="000000"/>
          <w:sz w:val="40"/>
        </w:rPr>
      </w:pPr>
      <w:r>
        <w:rPr>
          <w:rFonts w:ascii="Times New Roman;Times;serif" w:hAnsi="Times New Roman;Times;serif"/>
          <w:b/>
          <w:color w:val="000000"/>
          <w:sz w:val="40"/>
        </w:rPr>
        <w:t xml:space="preserve">Annual Meeting of Stockholders </w:t>
      </w:r>
    </w:p>
    <w:p>
      <w:pPr>
        <w:pStyle w:val="TextBody"/>
        <w:bidi w:val="0"/>
        <w:spacing w:before="12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24, 2026</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a.m. (Eastern time)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HorizontalLine"/>
        <w:bidi w:val="0"/>
        <w:spacing w:before="200" w:after="200"/>
        <w:jc w:val="left"/>
        <w:rPr/>
      </w:pPr>
      <w:r>
        <w:rPr/>
      </w:r>
    </w:p>
    <w:p>
      <w:pPr>
        <w:pStyle w:val="TextBody"/>
        <w:bidi w:val="0"/>
        <w:jc w:val="left"/>
        <w:rPr/>
      </w:pPr>
      <w:hyperlink w:anchor="TOC">
        <w:bookmarkStart w:id="4" w:name="ny20070768x1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(the “Annual Meeting”) of Kaltura, Inc. at 10:00 a.m. Eastern time, on Wednesday, June 24, 2026. The Annual Meeting will be a completely virtual meeting, which will be conducted via live webcast. </w:t>
      </w:r>
    </w:p>
    <w:p>
      <w:pPr>
        <w:pStyle w:val="TextBody"/>
        <w:bidi w:val="0"/>
        <w:spacing w:before="120" w:after="283"/>
        <w:ind w:left="0" w:right="0" w:hanging="0"/>
        <w:jc w:val="both"/>
        <w:rPr/>
      </w:pPr>
      <w:r>
        <w:rPr>
          <w:rFonts w:ascii="Times New Roman;Times;serif" w:hAnsi="Times New Roman;Times;serif"/>
          <w:color w:val="000000"/>
          <w:sz w:val="20"/>
        </w:rPr>
        <w:t xml:space="preserve">The Notice of Meeting and Proxy Statement on the following pages describe the matters to be presented at the Annual Meeting. Please see the section called “Who can attend the Annual Meeting?” on page </w:t>
      </w:r>
      <w:hyperlink w:anchor="tWCAT">
        <w:r>
          <w:rPr>
            <w:rStyle w:val="InternetLink"/>
          </w:rPr>
          <w:t>4</w:t>
        </w:r>
      </w:hyperlink>
      <w:r>
        <w:rPr>
          <w:rFonts w:ascii="Times New Roman;Times;serif" w:hAnsi="Times New Roman;Times;serif"/>
          <w:color w:val="000000"/>
          <w:sz w:val="20"/>
        </w:rPr>
        <w:t xml:space="preserve"> of the proxy statement for more information about how to attend the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attend the Annual Meeting online, it is important that your shares be represented and voted at the Annual Meeting. Therefore, you are urged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online, you will be able to vote online, even if you have previously submitted your proxy.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305" w:after="283"/>
        <w:ind w:left="0" w:right="0" w:hanging="0"/>
        <w:jc w:val="left"/>
        <w:rPr>
          <w:color w:val="000000"/>
        </w:rPr>
      </w:pPr>
      <w:r>
        <w:rPr>
          <w:color w:val="000000"/>
        </w:rPr>
        <w:drawing>
          <wp:inline distT="0" distB="0" distL="0" distR="0">
            <wp:extent cx="13716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Ron Yekutiel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and President </w:t>
      </w:r>
    </w:p>
    <w:p>
      <w:pPr>
        <w:pStyle w:val="HorizontalLine"/>
        <w:bidi w:val="0"/>
        <w:spacing w:before="200" w:after="200"/>
        <w:jc w:val="left"/>
        <w:rPr/>
      </w:pPr>
      <w:r>
        <w:rPr/>
      </w:r>
    </w:p>
    <w:p>
      <w:pPr>
        <w:pStyle w:val="TextBody"/>
        <w:bidi w:val="0"/>
        <w:jc w:val="left"/>
        <w:rPr/>
      </w:pPr>
      <w:hyperlink w:anchor="TOC">
        <w:bookmarkStart w:id="5" w:name="ny20070768x1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8465" w:type="dxa"/>
        <w:jc w:val="left"/>
        <w:tblInd w:w="0" w:type="dxa"/>
        <w:tblLayout w:type="fixed"/>
        <w:tblCellMar>
          <w:top w:w="0" w:type="dxa"/>
          <w:left w:w="0" w:type="dxa"/>
          <w:bottom w:w="0" w:type="dxa"/>
          <w:right w:w="0" w:type="dxa"/>
        </w:tblCellMar>
      </w:tblPr>
      <w:tblGrid>
        <w:gridCol w:w="7775"/>
        <w:gridCol w:w="170"/>
        <w:gridCol w:w="170"/>
        <w:gridCol w:w="350"/>
      </w:tblGrid>
      <w:tr>
        <w:trPr/>
        <w:tc>
          <w:tcPr>
            <w:tcW w:w="77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7775" w:type="dxa"/>
            <w:tcBorders/>
            <w:shd w:fill="CCEEFF" w:val="clear"/>
            <w:vAlign w:val="center"/>
          </w:tcPr>
          <w:p>
            <w:pPr>
              <w:pStyle w:val="TableContents"/>
              <w:bidi w:val="0"/>
              <w:spacing w:before="0" w:after="283"/>
              <w:ind w:left="0" w:right="0" w:hanging="0"/>
              <w:jc w:val="left"/>
              <w:rPr/>
            </w:pPr>
            <w:hyperlink w:anchor="tNAM">
              <w:r>
                <w:rPr>
                  <w:rStyle w:val="InternetLink"/>
                  <w:rFonts w:ascii="Times New Roman;Times;serif" w:hAnsi="Times New Roman;Times;serif"/>
                  <w:color w:val="000000"/>
                  <w:sz w:val="20"/>
                </w:rPr>
                <w:t>NOTICE OF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NAM">
              <w:r>
                <w:rPr>
                  <w:rStyle w:val="InternetLink"/>
                  <w:rFonts w:ascii="Times New Roman;Times;serif" w:hAnsi="Times New Roman;Times;serif"/>
                  <w:color w:val="000000"/>
                  <w:sz w:val="20"/>
                </w:rPr>
                <w:t>i</w:t>
              </w:r>
            </w:hyperlink>
            <w:hyperlink w:anchor="tNAM">
              <w:r>
                <w:rPr>
                  <w:rStyle w:val="InternetLink"/>
                  <w:rFonts w:ascii="Times New Roman;Times;serif" w:hAnsi="Times New Roman;Times;serif"/>
                  <w:color w:val="000000"/>
                  <w:sz w:val="20"/>
                </w:rPr>
                <w:t xml:space="preserve"> </w:t>
              </w:r>
            </w:hyperlink>
          </w:p>
        </w:tc>
      </w:tr>
      <w:tr>
        <w:trPr/>
        <w:tc>
          <w:tcPr>
            <w:tcW w:w="777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1</w:t>
              </w:r>
            </w:hyperlink>
            <w:hyperlink w:anchor="tPS">
              <w:r>
                <w:rPr>
                  <w:rStyle w:val="InternetLink"/>
                  <w:rFonts w:ascii="Times New Roman;Times;serif" w:hAnsi="Times New Roman;Times;serif"/>
                  <w:color w:val="000000"/>
                  <w:sz w:val="20"/>
                </w:rPr>
                <w:t xml:space="preserve"> </w:t>
              </w:r>
            </w:hyperlink>
          </w:p>
        </w:tc>
      </w:tr>
      <w:tr>
        <w:trPr/>
        <w:tc>
          <w:tcPr>
            <w:tcW w:w="7775"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2</w:t>
              </w:r>
            </w:hyperlink>
            <w:hyperlink w:anchor="tPROP">
              <w:r>
                <w:rPr>
                  <w:rStyle w:val="InternetLink"/>
                  <w:rFonts w:ascii="Times New Roman;Times;serif" w:hAnsi="Times New Roman;Times;serif"/>
                  <w:color w:val="000000"/>
                  <w:sz w:val="20"/>
                </w:rPr>
                <w:t xml:space="preserve"> </w:t>
              </w:r>
            </w:hyperlink>
          </w:p>
        </w:tc>
      </w:tr>
      <w:tr>
        <w:trPr/>
        <w:tc>
          <w:tcPr>
            <w:tcW w:w="7775" w:type="dxa"/>
            <w:tcBorders/>
            <w:vAlign w:val="center"/>
          </w:tcPr>
          <w:p>
            <w:pPr>
              <w:pStyle w:val="TableContents"/>
              <w:bidi w:val="0"/>
              <w:spacing w:before="0" w:after="283"/>
              <w:ind w:left="0" w:right="0" w:hanging="0"/>
              <w:jc w:val="left"/>
              <w:rPr/>
            </w:pPr>
            <w:hyperlink w:anchor="tROB">
              <w:r>
                <w:rPr>
                  <w:rStyle w:val="InternetLink"/>
                  <w:rFonts w:ascii="Times New Roman;Times;serif" w:hAnsi="Times New Roman;Times;serif"/>
                  <w:color w:val="000000"/>
                  <w:sz w:val="20"/>
                </w:rPr>
                <w:t>Recommendations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OB">
              <w:r>
                <w:rPr>
                  <w:rStyle w:val="InternetLink"/>
                  <w:rFonts w:ascii="Times New Roman;Times;serif" w:hAnsi="Times New Roman;Times;serif"/>
                  <w:color w:val="000000"/>
                  <w:sz w:val="20"/>
                </w:rPr>
                <w:t>2</w:t>
              </w:r>
            </w:hyperlink>
            <w:hyperlink w:anchor="tROB">
              <w:r>
                <w:rPr>
                  <w:rStyle w:val="InternetLink"/>
                  <w:rFonts w:ascii="Times New Roman;Times;serif" w:hAnsi="Times New Roman;Times;serif"/>
                  <w:color w:val="000000"/>
                  <w:sz w:val="20"/>
                </w:rPr>
                <w:t xml:space="preserve"> </w:t>
              </w:r>
            </w:hyperlink>
          </w:p>
        </w:tc>
      </w:tr>
      <w:tr>
        <w:trPr/>
        <w:tc>
          <w:tcPr>
            <w:tcW w:w="7775" w:type="dxa"/>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This 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2</w:t>
              </w:r>
            </w:hyperlink>
            <w:hyperlink w:anchor="tIAT">
              <w:r>
                <w:rPr>
                  <w:rStyle w:val="InternetLink"/>
                  <w:rFonts w:ascii="Times New Roman;Times;serif" w:hAnsi="Times New Roman;Times;serif"/>
                  <w:color w:val="000000"/>
                  <w:sz w:val="20"/>
                </w:rPr>
                <w:t xml:space="preserve"> </w:t>
              </w:r>
            </w:hyperlink>
          </w:p>
        </w:tc>
      </w:tr>
      <w:tr>
        <w:trPr/>
        <w:tc>
          <w:tcPr>
            <w:tcW w:w="7775"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2026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4</w:t>
              </w:r>
            </w:hyperlink>
            <w:hyperlink w:anchor="tQAA">
              <w:r>
                <w:rPr>
                  <w:rStyle w:val="InternetLink"/>
                  <w:rFonts w:ascii="Times New Roman;Times;serif" w:hAnsi="Times New Roman;Times;serif"/>
                  <w:color w:val="000000"/>
                  <w:sz w:val="20"/>
                </w:rPr>
                <w:t xml:space="preserve"> </w:t>
              </w:r>
            </w:hyperlink>
          </w:p>
        </w:tc>
      </w:tr>
      <w:tr>
        <w:trPr/>
        <w:tc>
          <w:tcPr>
            <w:tcW w:w="7775" w:type="dxa"/>
            <w:tcBorders/>
            <w:shd w:fill="CCEEFF" w:val="clear"/>
            <w:vAlign w:val="center"/>
          </w:tcPr>
          <w:p>
            <w:pPr>
              <w:pStyle w:val="TableContents"/>
              <w:bidi w:val="0"/>
              <w:spacing w:before="0" w:after="283"/>
              <w:ind w:left="0" w:right="0" w:hanging="0"/>
              <w:jc w:val="left"/>
              <w:rPr/>
            </w:pPr>
            <w:hyperlink w:anchor="tPBV">
              <w:r>
                <w:rPr>
                  <w:rStyle w:val="InternetLink"/>
                  <w:rFonts w:ascii="Times New Roman;Times;serif" w:hAnsi="Times New Roman;Times;serif"/>
                  <w:color w:val="000000"/>
                  <w:sz w:val="20"/>
                </w:rPr>
                <w:t>PROPOSALS TO BE VOTED 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BV">
              <w:r>
                <w:rPr>
                  <w:rStyle w:val="InternetLink"/>
                  <w:rFonts w:ascii="Times New Roman;Times;serif" w:hAnsi="Times New Roman;Times;serif"/>
                  <w:color w:val="000000"/>
                  <w:sz w:val="20"/>
                </w:rPr>
                <w:t>8</w:t>
              </w:r>
            </w:hyperlink>
            <w:hyperlink w:anchor="tPBV">
              <w:r>
                <w:rPr>
                  <w:rStyle w:val="InternetLink"/>
                  <w:rFonts w:ascii="Times New Roman;Times;serif" w:hAnsi="Times New Roman;Times;serif"/>
                  <w:color w:val="000000"/>
                  <w:sz w:val="20"/>
                </w:rPr>
                <w:t xml:space="preserve"> </w:t>
              </w:r>
            </w:hyperlink>
          </w:p>
        </w:tc>
      </w:tr>
      <w:tr>
        <w:trPr/>
        <w:tc>
          <w:tcPr>
            <w:tcW w:w="7775"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8</w:t>
              </w:r>
            </w:hyperlink>
            <w:hyperlink w:anchor="tP1">
              <w:r>
                <w:rPr>
                  <w:rStyle w:val="InternetLink"/>
                  <w:rFonts w:ascii="Times New Roman;Times;serif" w:hAnsi="Times New Roman;Times;serif"/>
                  <w:color w:val="000000"/>
                  <w:sz w:val="20"/>
                </w:rPr>
                <w:t xml:space="preserve"> </w:t>
              </w:r>
            </w:hyperlink>
          </w:p>
        </w:tc>
      </w:tr>
      <w:tr>
        <w:trPr/>
        <w:tc>
          <w:tcPr>
            <w:tcW w:w="7775"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Proposal 2: Ratification of Appointment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 xml:space="preserve">12 </w:t>
              </w:r>
            </w:hyperlink>
          </w:p>
        </w:tc>
      </w:tr>
      <w:tr>
        <w:trPr/>
        <w:tc>
          <w:tcPr>
            <w:tcW w:w="7775"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 xml:space="preserve">13 </w:t>
              </w:r>
            </w:hyperlink>
          </w:p>
        </w:tc>
      </w:tr>
      <w:tr>
        <w:trPr/>
        <w:tc>
          <w:tcPr>
            <w:tcW w:w="7775"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INDEPENDENT REGISTERED PUBLIC ACCOUNTING FIRM FEES AND 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 xml:space="preserve">13 </w:t>
              </w:r>
            </w:hyperlink>
          </w:p>
        </w:tc>
      </w:tr>
      <w:tr>
        <w:trPr/>
        <w:tc>
          <w:tcPr>
            <w:tcW w:w="777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 xml:space="preserve">14 </w:t>
              </w:r>
            </w:hyperlink>
          </w:p>
        </w:tc>
      </w:tr>
      <w:tr>
        <w:trPr/>
        <w:tc>
          <w:tcPr>
            <w:tcW w:w="7775"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 xml:space="preserve">15 </w:t>
              </w:r>
            </w:hyperlink>
          </w:p>
        </w:tc>
      </w:tr>
      <w:tr>
        <w:trPr/>
        <w:tc>
          <w:tcPr>
            <w:tcW w:w="7775" w:type="dxa"/>
            <w:tcBorders/>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 xml:space="preserve">15 </w:t>
              </w:r>
            </w:hyperlink>
          </w:p>
        </w:tc>
      </w:tr>
      <w:tr>
        <w:trPr/>
        <w:tc>
          <w:tcPr>
            <w:tcW w:w="7775" w:type="dxa"/>
            <w:tcBorders/>
            <w:shd w:fill="CCEEFF" w:val="clear"/>
            <w:vAlign w:val="center"/>
          </w:tcPr>
          <w:p>
            <w:pPr>
              <w:pStyle w:val="TableContents"/>
              <w:bidi w:val="0"/>
              <w:spacing w:before="0" w:after="283"/>
              <w:ind w:left="0" w:right="0" w:hanging="0"/>
              <w:jc w:val="left"/>
              <w:rPr/>
            </w:pPr>
            <w:hyperlink w:anchor="tBC">
              <w:r>
                <w:rPr>
                  <w:rStyle w:val="InternetLink"/>
                  <w:rFonts w:ascii="Times New Roman;Times;serif" w:hAnsi="Times New Roman;Times;serif"/>
                  <w:color w:val="000000"/>
                  <w:sz w:val="20"/>
                </w:rPr>
                <w:t>Board Composition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BC">
              <w:r>
                <w:rPr>
                  <w:rStyle w:val="InternetLink"/>
                  <w:rFonts w:ascii="Times New Roman;Times;serif" w:hAnsi="Times New Roman;Times;serif"/>
                  <w:color w:val="000000"/>
                  <w:sz w:val="20"/>
                </w:rPr>
                <w:t xml:space="preserve">15 </w:t>
              </w:r>
            </w:hyperlink>
          </w:p>
        </w:tc>
      </w:tr>
      <w:tr>
        <w:trPr/>
        <w:tc>
          <w:tcPr>
            <w:tcW w:w="7775" w:type="dxa"/>
            <w:tcBorders/>
            <w:vAlign w:val="center"/>
          </w:tcPr>
          <w:p>
            <w:pPr>
              <w:pStyle w:val="TableContents"/>
              <w:bidi w:val="0"/>
              <w:spacing w:before="0" w:after="283"/>
              <w:ind w:left="0" w:right="0" w:hanging="0"/>
              <w:jc w:val="left"/>
              <w:rPr/>
            </w:pPr>
            <w:hyperlink w:anchor="tDI">
              <w:r>
                <w:rPr>
                  <w:rStyle w:val="InternetLink"/>
                  <w:rFonts w:ascii="Times New Roman;Times;serif" w:hAnsi="Times New Roman;Time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I">
              <w:r>
                <w:rPr>
                  <w:rStyle w:val="InternetLink"/>
                  <w:rFonts w:ascii="Times New Roman;Times;serif" w:hAnsi="Times New Roman;Times;serif"/>
                  <w:color w:val="000000"/>
                  <w:sz w:val="20"/>
                </w:rPr>
                <w:t xml:space="preserve">15 </w:t>
              </w:r>
            </w:hyperlink>
          </w:p>
        </w:tc>
      </w:tr>
      <w:tr>
        <w:trPr/>
        <w:tc>
          <w:tcPr>
            <w:tcW w:w="7775" w:type="dxa"/>
            <w:tcBorders/>
            <w:shd w:fill="CCEEFF" w:val="clear"/>
            <w:vAlign w:val="center"/>
          </w:tcPr>
          <w:p>
            <w:pPr>
              <w:pStyle w:val="TableContents"/>
              <w:bidi w:val="0"/>
              <w:spacing w:before="0" w:after="283"/>
              <w:ind w:left="0" w:right="0" w:hanging="0"/>
              <w:jc w:val="left"/>
              <w:rPr/>
            </w:pPr>
            <w:hyperlink w:anchor="tDIC">
              <w:r>
                <w:rPr>
                  <w:rStyle w:val="InternetLink"/>
                  <w:rFonts w:ascii="Times New Roman;Times;serif" w:hAnsi="Times New Roman;Times;serif"/>
                  <w:color w:val="000000"/>
                  <w:sz w:val="20"/>
                </w:rPr>
                <w:t>Director Candidates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DIC">
              <w:r>
                <w:rPr>
                  <w:rStyle w:val="InternetLink"/>
                  <w:rFonts w:ascii="Times New Roman;Times;serif" w:hAnsi="Times New Roman;Times;serif"/>
                  <w:color w:val="000000"/>
                  <w:sz w:val="20"/>
                </w:rPr>
                <w:t xml:space="preserve">15 </w:t>
              </w:r>
            </w:hyperlink>
          </w:p>
        </w:tc>
      </w:tr>
      <w:tr>
        <w:trPr/>
        <w:tc>
          <w:tcPr>
            <w:tcW w:w="7775" w:type="dxa"/>
            <w:tcBorders/>
            <w:vAlign w:val="center"/>
          </w:tcPr>
          <w:p>
            <w:pPr>
              <w:pStyle w:val="TableContents"/>
              <w:bidi w:val="0"/>
              <w:spacing w:before="0" w:after="283"/>
              <w:ind w:left="0" w:right="0" w:hanging="0"/>
              <w:jc w:val="left"/>
              <w:rPr/>
            </w:pPr>
            <w:hyperlink w:anchor="tCS">
              <w:r>
                <w:rPr>
                  <w:rStyle w:val="InternetLink"/>
                  <w:rFonts w:ascii="Times New Roman;Times;serif" w:hAnsi="Times New Roman;Times;serif"/>
                  <w:color w:val="000000"/>
                  <w:sz w:val="20"/>
                </w:rPr>
                <w:t>Communications from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S">
              <w:r>
                <w:rPr>
                  <w:rStyle w:val="InternetLink"/>
                  <w:rFonts w:ascii="Times New Roman;Times;serif" w:hAnsi="Times New Roman;Times;serif"/>
                  <w:color w:val="000000"/>
                  <w:sz w:val="20"/>
                </w:rPr>
                <w:t xml:space="preserve">16 </w:t>
              </w:r>
            </w:hyperlink>
          </w:p>
        </w:tc>
      </w:tr>
      <w:tr>
        <w:trPr/>
        <w:tc>
          <w:tcPr>
            <w:tcW w:w="7775" w:type="dxa"/>
            <w:tcBorders/>
            <w:shd w:fill="CCEEFF" w:val="clear"/>
            <w:vAlign w:val="center"/>
          </w:tcPr>
          <w:p>
            <w:pPr>
              <w:pStyle w:val="TableContents"/>
              <w:bidi w:val="0"/>
              <w:spacing w:before="0" w:after="283"/>
              <w:ind w:left="0" w:right="0" w:hanging="0"/>
              <w:jc w:val="left"/>
              <w:rPr/>
            </w:pPr>
            <w:hyperlink w:anchor="tBLS">
              <w:r>
                <w:rPr>
                  <w:rStyle w:val="InternetLink"/>
                  <w:rFonts w:ascii="Times New Roman;Times;serif" w:hAnsi="Times New Roman;Times;serif"/>
                  <w:color w:val="000000"/>
                  <w:sz w:val="20"/>
                </w:rPr>
                <w:t>Board Leadership Structure and Role in Risk Oversight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BLS">
              <w:r>
                <w:rPr>
                  <w:rStyle w:val="InternetLink"/>
                  <w:rFonts w:ascii="Times New Roman;Times;serif" w:hAnsi="Times New Roman;Times;serif"/>
                  <w:color w:val="000000"/>
                  <w:sz w:val="20"/>
                </w:rPr>
                <w:t xml:space="preserve">16 </w:t>
              </w:r>
            </w:hyperlink>
          </w:p>
        </w:tc>
      </w:tr>
      <w:tr>
        <w:trPr/>
        <w:tc>
          <w:tcPr>
            <w:tcW w:w="7775" w:type="dxa"/>
            <w:tcBorders/>
            <w:vAlign w:val="center"/>
          </w:tcPr>
          <w:p>
            <w:pPr>
              <w:pStyle w:val="TableContents"/>
              <w:bidi w:val="0"/>
              <w:spacing w:before="0" w:after="283"/>
              <w:ind w:left="0" w:right="0" w:hanging="0"/>
              <w:jc w:val="left"/>
              <w:rPr/>
            </w:pPr>
            <w:hyperlink w:anchor="tCE">
              <w:r>
                <w:rPr>
                  <w:rStyle w:val="InternetLink"/>
                  <w:rFonts w:ascii="Times New Roman;Times;serif" w:hAnsi="Times New Roman;Times;serif"/>
                  <w:color w:val="000000"/>
                  <w:sz w:val="20"/>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E">
              <w:r>
                <w:rPr>
                  <w:rStyle w:val="InternetLink"/>
                  <w:rFonts w:ascii="Times New Roman;Times;serif" w:hAnsi="Times New Roman;Times;serif"/>
                  <w:color w:val="000000"/>
                  <w:sz w:val="20"/>
                </w:rPr>
                <w:t xml:space="preserve">17 </w:t>
              </w:r>
            </w:hyperlink>
          </w:p>
        </w:tc>
      </w:tr>
      <w:tr>
        <w:trPr/>
        <w:tc>
          <w:tcPr>
            <w:tcW w:w="7775" w:type="dxa"/>
            <w:tcBorders/>
            <w:shd w:fill="CCEEFF" w:val="clear"/>
            <w:vAlign w:val="center"/>
          </w:tcPr>
          <w:p>
            <w:pPr>
              <w:pStyle w:val="TableContents"/>
              <w:bidi w:val="0"/>
              <w:spacing w:before="0" w:after="283"/>
              <w:ind w:left="0" w:right="0" w:hanging="0"/>
              <w:jc w:val="left"/>
              <w:rPr/>
            </w:pPr>
            <w:hyperlink w:anchor="tITP">
              <w:r>
                <w:rPr>
                  <w:rStyle w:val="InternetLink"/>
                  <w:rFonts w:ascii="Times New Roman;Times;serif" w:hAnsi="Times New Roman;Times;serif"/>
                  <w:color w:val="000000"/>
                  <w:sz w:val="20"/>
                </w:rPr>
                <w:t>Insider Trading Compliance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TP">
              <w:r>
                <w:rPr>
                  <w:rStyle w:val="InternetLink"/>
                  <w:rFonts w:ascii="Times New Roman;Times;serif" w:hAnsi="Times New Roman;Times;serif"/>
                  <w:color w:val="000000"/>
                  <w:sz w:val="20"/>
                </w:rPr>
                <w:t xml:space="preserve">17 </w:t>
              </w:r>
            </w:hyperlink>
          </w:p>
        </w:tc>
      </w:tr>
      <w:tr>
        <w:trPr/>
        <w:tc>
          <w:tcPr>
            <w:tcW w:w="7775" w:type="dxa"/>
            <w:tcBorders/>
            <w:vAlign w:val="center"/>
          </w:tcPr>
          <w:p>
            <w:pPr>
              <w:pStyle w:val="TableContents"/>
              <w:bidi w:val="0"/>
              <w:spacing w:before="0" w:after="283"/>
              <w:ind w:left="0" w:right="0" w:hanging="0"/>
              <w:jc w:val="left"/>
              <w:rPr/>
            </w:pPr>
            <w:hyperlink w:anchor="tAHP">
              <w:r>
                <w:rPr>
                  <w:rStyle w:val="InternetLink"/>
                  <w:rFonts w:ascii="Times New Roman;Times;serif" w:hAnsi="Times New Roman;Times;serif"/>
                  <w:color w:val="000000"/>
                  <w:sz w:val="20"/>
                </w:rPr>
                <w:t>Anti-Hedging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HP">
              <w:r>
                <w:rPr>
                  <w:rStyle w:val="InternetLink"/>
                  <w:rFonts w:ascii="Times New Roman;Times;serif" w:hAnsi="Times New Roman;Times;serif"/>
                  <w:color w:val="000000"/>
                  <w:sz w:val="20"/>
                </w:rPr>
                <w:t xml:space="preserve">17 </w:t>
              </w:r>
            </w:hyperlink>
          </w:p>
        </w:tc>
      </w:tr>
      <w:tr>
        <w:trPr/>
        <w:tc>
          <w:tcPr>
            <w:tcW w:w="7775" w:type="dxa"/>
            <w:tcBorders/>
            <w:shd w:fill="CCEEFF" w:val="clear"/>
            <w:vAlign w:val="center"/>
          </w:tcPr>
          <w:p>
            <w:pPr>
              <w:pStyle w:val="TableContents"/>
              <w:bidi w:val="0"/>
              <w:spacing w:before="0" w:after="283"/>
              <w:ind w:left="0" w:right="0" w:hanging="0"/>
              <w:jc w:val="left"/>
              <w:rPr/>
            </w:pPr>
            <w:hyperlink w:anchor="tAMB">
              <w:r>
                <w:rPr>
                  <w:rStyle w:val="InternetLink"/>
                  <w:rFonts w:ascii="Times New Roman;Times;serif" w:hAnsi="Times New Roman;Times;serif"/>
                  <w:color w:val="000000"/>
                  <w:sz w:val="20"/>
                </w:rPr>
                <w:t>Attendance by Members of the Board of Directors at Meetings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MB">
              <w:r>
                <w:rPr>
                  <w:rStyle w:val="InternetLink"/>
                  <w:rFonts w:ascii="Times New Roman;Times;serif" w:hAnsi="Times New Roman;Times;serif"/>
                  <w:color w:val="000000"/>
                  <w:sz w:val="20"/>
                </w:rPr>
                <w:t xml:space="preserve">18 </w:t>
              </w:r>
            </w:hyperlink>
          </w:p>
        </w:tc>
      </w:tr>
      <w:tr>
        <w:trPr/>
        <w:tc>
          <w:tcPr>
            <w:tcW w:w="7775" w:type="dxa"/>
            <w:tcBorders/>
            <w:vAlign w:val="center"/>
          </w:tcPr>
          <w:p>
            <w:pPr>
              <w:pStyle w:val="TableContents"/>
              <w:bidi w:val="0"/>
              <w:spacing w:before="0" w:after="283"/>
              <w:ind w:left="0" w:right="0" w:hanging="0"/>
              <w:jc w:val="left"/>
              <w:rPr/>
            </w:pPr>
            <w:hyperlink w:anchor="tCOB">
              <w:r>
                <w:rPr>
                  <w:rStyle w:val="InternetLink"/>
                  <w:rFonts w:ascii="Times New Roman;Times;serif" w:hAnsi="Times New Roman;Times;serif"/>
                  <w:color w:val="000000"/>
                  <w:sz w:val="20"/>
                </w:rPr>
                <w:t>COMMITTEES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OB">
              <w:r>
                <w:rPr>
                  <w:rStyle w:val="InternetLink"/>
                  <w:rFonts w:ascii="Times New Roman;Times;serif" w:hAnsi="Times New Roman;Times;serif"/>
                  <w:color w:val="000000"/>
                  <w:sz w:val="20"/>
                </w:rPr>
                <w:t xml:space="preserve">19 </w:t>
              </w:r>
            </w:hyperlink>
          </w:p>
        </w:tc>
      </w:tr>
      <w:tr>
        <w:trPr/>
        <w:tc>
          <w:tcPr>
            <w:tcW w:w="7775" w:type="dxa"/>
            <w:tcBorders/>
            <w:shd w:fill="CCEEFF" w:val="clear"/>
            <w:vAlign w:val="center"/>
          </w:tcPr>
          <w:p>
            <w:pPr>
              <w:pStyle w:val="TableContents"/>
              <w:bidi w:val="0"/>
              <w:spacing w:before="0" w:after="283"/>
              <w:ind w:left="0" w:right="0" w:hanging="0"/>
              <w:jc w:val="left"/>
              <w:rPr/>
            </w:pPr>
            <w:hyperlink w:anchor="tAC">
              <w:r>
                <w:rPr>
                  <w:rStyle w:val="InternetLink"/>
                  <w:rFonts w:ascii="Times New Roman;Times;serif" w:hAnsi="Times New Roman;Times;serif"/>
                  <w:color w:val="000000"/>
                  <w:sz w:val="20"/>
                </w:rPr>
                <w:t>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C">
              <w:r>
                <w:rPr>
                  <w:rStyle w:val="InternetLink"/>
                  <w:rFonts w:ascii="Times New Roman;Times;serif" w:hAnsi="Times New Roman;Times;serif"/>
                  <w:color w:val="000000"/>
                  <w:sz w:val="20"/>
                </w:rPr>
                <w:t xml:space="preserve">19 </w:t>
              </w:r>
            </w:hyperlink>
          </w:p>
        </w:tc>
      </w:tr>
      <w:tr>
        <w:trPr/>
        <w:tc>
          <w:tcPr>
            <w:tcW w:w="7775" w:type="dxa"/>
            <w:tcBorders/>
            <w:vAlign w:val="center"/>
          </w:tcPr>
          <w:p>
            <w:pPr>
              <w:pStyle w:val="TableContents"/>
              <w:bidi w:val="0"/>
              <w:spacing w:before="0" w:after="283"/>
              <w:ind w:left="0" w:right="0" w:hanging="0"/>
              <w:jc w:val="left"/>
              <w:rPr/>
            </w:pPr>
            <w:hyperlink w:anchor="tCC">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C">
              <w:r>
                <w:rPr>
                  <w:rStyle w:val="InternetLink"/>
                  <w:rFonts w:ascii="Times New Roman;Times;serif" w:hAnsi="Times New Roman;Times;serif"/>
                  <w:color w:val="000000"/>
                  <w:sz w:val="20"/>
                </w:rPr>
                <w:t xml:space="preserve">19 </w:t>
              </w:r>
            </w:hyperlink>
          </w:p>
        </w:tc>
      </w:tr>
      <w:tr>
        <w:trPr/>
        <w:tc>
          <w:tcPr>
            <w:tcW w:w="7775" w:type="dxa"/>
            <w:tcBorders/>
            <w:shd w:fill="CCEEFF" w:val="clear"/>
            <w:vAlign w:val="center"/>
          </w:tcPr>
          <w:p>
            <w:pPr>
              <w:pStyle w:val="TableContents"/>
              <w:bidi w:val="0"/>
              <w:spacing w:before="0" w:after="283"/>
              <w:ind w:left="0" w:right="0" w:hanging="0"/>
              <w:jc w:val="left"/>
              <w:rPr/>
            </w:pPr>
            <w:hyperlink w:anchor="tNCG">
              <w:r>
                <w:rPr>
                  <w:rStyle w:val="InternetLink"/>
                  <w:rFonts w:ascii="Times New Roman;Times;serif" w:hAnsi="Times New Roman;Times;serif"/>
                  <w:color w:val="000000"/>
                  <w:sz w:val="20"/>
                </w:rPr>
                <w:t>Nominating and Corporate Governance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NCG">
              <w:r>
                <w:rPr>
                  <w:rStyle w:val="InternetLink"/>
                  <w:rFonts w:ascii="Times New Roman;Times;serif" w:hAnsi="Times New Roman;Times;serif"/>
                  <w:color w:val="000000"/>
                  <w:sz w:val="20"/>
                </w:rPr>
                <w:t xml:space="preserve">20 </w:t>
              </w:r>
            </w:hyperlink>
          </w:p>
        </w:tc>
      </w:tr>
      <w:tr>
        <w:trPr/>
        <w:tc>
          <w:tcPr>
            <w:tcW w:w="7775"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 xml:space="preserve">21 </w:t>
              </w:r>
            </w:hyperlink>
          </w:p>
        </w:tc>
      </w:tr>
      <w:tr>
        <w:trPr/>
        <w:tc>
          <w:tcPr>
            <w:tcW w:w="7775" w:type="dxa"/>
            <w:tcBorders/>
            <w:shd w:fill="CCEEFF" w:val="clear"/>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 xml:space="preserve">21 </w:t>
              </w:r>
            </w:hyperlink>
          </w:p>
        </w:tc>
      </w:tr>
      <w:tr>
        <w:trPr/>
        <w:tc>
          <w:tcPr>
            <w:tcW w:w="7775" w:type="dxa"/>
            <w:tcBorders/>
            <w:vAlign w:val="center"/>
          </w:tcPr>
          <w:p>
            <w:pPr>
              <w:pStyle w:val="TableContents"/>
              <w:bidi w:val="0"/>
              <w:spacing w:before="0" w:after="283"/>
              <w:ind w:left="0" w:right="0" w:hanging="0"/>
              <w:jc w:val="left"/>
              <w:rPr/>
            </w:pPr>
            <w:hyperlink w:anchor="tNSC">
              <w:r>
                <w:rPr>
                  <w:rStyle w:val="InternetLink"/>
                  <w:rFonts w:ascii="Times New Roman;Times;serif" w:hAnsi="Times New Roman;Times;serif"/>
                  <w:color w:val="000000"/>
                  <w:sz w:val="20"/>
                </w:rPr>
                <w:t>Narrative to 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SC">
              <w:r>
                <w:rPr>
                  <w:rStyle w:val="InternetLink"/>
                  <w:rFonts w:ascii="Times New Roman;Times;serif" w:hAnsi="Times New Roman;Times;serif"/>
                  <w:color w:val="000000"/>
                  <w:sz w:val="20"/>
                </w:rPr>
                <w:t xml:space="preserve">22 </w:t>
              </w:r>
            </w:hyperlink>
          </w:p>
        </w:tc>
      </w:tr>
      <w:tr>
        <w:trPr/>
        <w:tc>
          <w:tcPr>
            <w:tcW w:w="7775"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Outstanding Equity Awards at Fiscal Year-End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 xml:space="preserve">26 </w:t>
              </w:r>
            </w:hyperlink>
          </w:p>
        </w:tc>
      </w:tr>
      <w:tr>
        <w:trPr/>
        <w:tc>
          <w:tcPr>
            <w:tcW w:w="7775" w:type="dxa"/>
            <w:tcBorders/>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Executive Compensation Arrangements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 xml:space="preserve">26 </w:t>
              </w:r>
            </w:hyperlink>
          </w:p>
        </w:tc>
      </w:tr>
      <w:tr>
        <w:trPr/>
        <w:tc>
          <w:tcPr>
            <w:tcW w:w="7775"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 xml:space="preserve">29 </w:t>
              </w:r>
            </w:hyperlink>
          </w:p>
        </w:tc>
      </w:tr>
      <w:tr>
        <w:trPr/>
        <w:tc>
          <w:tcPr>
            <w:tcW w:w="7775" w:type="dxa"/>
            <w:tcBorders/>
            <w:vAlign w:val="center"/>
          </w:tcPr>
          <w:p>
            <w:pPr>
              <w:pStyle w:val="TableContents"/>
              <w:bidi w:val="0"/>
              <w:spacing w:before="0" w:after="283"/>
              <w:ind w:left="0" w:right="0" w:hanging="0"/>
              <w:jc w:val="left"/>
              <w:rPr/>
            </w:pPr>
            <w:hyperlink w:anchor="tEIP">
              <w:r>
                <w:rPr>
                  <w:rStyle w:val="InternetLink"/>
                  <w:rFonts w:ascii="Times New Roman;Times;serif" w:hAnsi="Times New Roman;Times;serif"/>
                  <w:color w:val="000000"/>
                  <w:sz w:val="20"/>
                </w:rPr>
                <w:t>Equity Incentive Plans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IP">
              <w:r>
                <w:rPr>
                  <w:rStyle w:val="InternetLink"/>
                  <w:rFonts w:ascii="Times New Roman;Times;serif" w:hAnsi="Times New Roman;Times;serif"/>
                  <w:color w:val="000000"/>
                  <w:sz w:val="20"/>
                </w:rPr>
                <w:t xml:space="preserve">31 </w:t>
              </w:r>
            </w:hyperlink>
          </w:p>
        </w:tc>
      </w:tr>
      <w:tr>
        <w:trPr/>
        <w:tc>
          <w:tcPr>
            <w:tcW w:w="7775"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SECURITIES AUTHORIZED FOR ISSUANCE UNDER EQUITY COMPENSATION PLANS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 xml:space="preserve">32 </w:t>
              </w:r>
            </w:hyperlink>
          </w:p>
        </w:tc>
      </w:tr>
      <w:tr>
        <w:trPr/>
        <w:tc>
          <w:tcPr>
            <w:tcW w:w="7775"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 xml:space="preserve">32 </w:t>
              </w:r>
            </w:hyperlink>
          </w:p>
        </w:tc>
      </w:tr>
      <w:tr>
        <w:trPr/>
        <w:tc>
          <w:tcPr>
            <w:tcW w:w="7775" w:type="dxa"/>
            <w:tcBorders/>
            <w:shd w:fill="CCEEFF" w:val="clear"/>
            <w:vAlign w:val="center"/>
          </w:tcPr>
          <w:p>
            <w:pPr>
              <w:pStyle w:val="TableContents"/>
              <w:bidi w:val="0"/>
              <w:spacing w:before="0" w:after="283"/>
              <w:ind w:left="0" w:right="0" w:hanging="0"/>
              <w:jc w:val="left"/>
              <w:rPr/>
            </w:pPr>
            <w:hyperlink w:anchor="tDEL">
              <w:r>
                <w:rPr>
                  <w:rStyle w:val="InternetLink"/>
                  <w:rFonts w:ascii="Times New Roman;Times;serif" w:hAnsi="Times New Roman;Times;serif"/>
                  <w:color w:val="000000"/>
                  <w:sz w:val="20"/>
                </w:rPr>
                <w:t>DELINQUENT SECTION 16(a)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DEL">
              <w:r>
                <w:rPr>
                  <w:rStyle w:val="InternetLink"/>
                  <w:rFonts w:ascii="Times New Roman;Times;serif" w:hAnsi="Times New Roman;Times;serif"/>
                  <w:color w:val="000000"/>
                  <w:sz w:val="20"/>
                </w:rPr>
                <w:t xml:space="preserve">33 </w:t>
              </w:r>
            </w:hyperlink>
          </w:p>
        </w:tc>
      </w:tr>
      <w:tr>
        <w:trPr/>
        <w:tc>
          <w:tcPr>
            <w:tcW w:w="7775"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 xml:space="preserve">35 </w:t>
              </w:r>
            </w:hyperlink>
          </w:p>
        </w:tc>
      </w:tr>
      <w:tr>
        <w:trPr/>
        <w:tc>
          <w:tcPr>
            <w:tcW w:w="7775" w:type="dxa"/>
            <w:tcBorders/>
            <w:shd w:fill="CCEEFF" w:val="clear"/>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STOCKHOLDERS’ 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 xml:space="preserve">37 </w:t>
              </w:r>
            </w:hyperlink>
          </w:p>
        </w:tc>
      </w:tr>
      <w:tr>
        <w:trPr/>
        <w:tc>
          <w:tcPr>
            <w:tcW w:w="777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 xml:space="preserve">37 </w:t>
              </w:r>
            </w:hyperlink>
          </w:p>
        </w:tc>
      </w:tr>
      <w:tr>
        <w:trPr/>
        <w:tc>
          <w:tcPr>
            <w:tcW w:w="7775" w:type="dxa"/>
            <w:tcBorders/>
            <w:shd w:fill="CCEEFF" w:val="clear"/>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SOLICITATION OF PROXIES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 xml:space="preserve">37 </w:t>
              </w:r>
            </w:hyperlink>
          </w:p>
        </w:tc>
      </w:tr>
      <w:tr>
        <w:trPr/>
        <w:tc>
          <w:tcPr>
            <w:tcW w:w="7775" w:type="dxa"/>
            <w:tcBorders/>
            <w:vAlign w:val="center"/>
          </w:tcPr>
          <w:p>
            <w:pPr>
              <w:pStyle w:val="TableContents"/>
              <w:bidi w:val="0"/>
              <w:spacing w:before="0" w:after="283"/>
              <w:ind w:left="0" w:right="0" w:hanging="0"/>
              <w:jc w:val="left"/>
              <w:rPr/>
            </w:pPr>
            <w:hyperlink w:anchor="tKAR">
              <w:r>
                <w:rPr>
                  <w:rStyle w:val="InternetLink"/>
                  <w:rFonts w:ascii="Times New Roman;Times;serif" w:hAnsi="Times New Roman;Times;serif"/>
                  <w:color w:val="000000"/>
                  <w:sz w:val="20"/>
                </w:rPr>
                <w:t>KALTURA’S ANNUAL REPORT ON FORM 10-K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KAR">
              <w:r>
                <w:rPr>
                  <w:rStyle w:val="InternetLink"/>
                  <w:rFonts w:ascii="Times New Roman;Times;serif" w:hAnsi="Times New Roman;Times;serif"/>
                  <w:color w:val="000000"/>
                  <w:sz w:val="20"/>
                </w:rPr>
                <w:t>38</w:t>
              </w:r>
            </w:hyperlink>
          </w:p>
        </w:tc>
      </w:tr>
      <w:tr>
        <w:trPr/>
        <w:tc>
          <w:tcPr>
            <w:tcW w:w="7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70768x1_def14a_103-notic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43000" cy="1143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1143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TextBody"/>
        <w:bidi w:val="0"/>
        <w:spacing w:before="240" w:after="283"/>
        <w:jc w:val="center"/>
        <w:rPr>
          <w:rFonts w:ascii="Times New Roman;Times;serif" w:hAnsi="Times New Roman;Times;serif"/>
          <w:b/>
          <w:color w:val="000000"/>
          <w:sz w:val="20"/>
        </w:rPr>
      </w:pPr>
      <w:bookmarkStart w:id="9" w:name="tNAM"/>
      <w:bookmarkEnd w:id="9"/>
      <w:r>
        <w:rPr>
          <w:rFonts w:ascii="Times New Roman;Times;serif" w:hAnsi="Times New Roman;Times;serif"/>
          <w:b/>
          <w:color w:val="000000"/>
          <w:sz w:val="20"/>
        </w:rPr>
        <w:t xml:space="preserve">NOTICE OF ANNUAL MEETING OF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BE HELD WEDNESDAY, JUNE 24,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(the “Annual Meeting”) of Kaltura, Inc., a Delaware corporation (the “Company”), will be held at 10:00 a.m. Eastern time on Wednesday, June 24, 2026. The Annual Meeting will be a completely virtual meeting, which will be conducted via live webcast. You will be able to attend the Annual Meeting online and submit your questions during the meeting by visiting www.virtualshareholdermeeting.com/KLTR2026 and entering your 16-digit control number included in your Notice of Internet Availability of Proxy Materials, on your proxy card or on the instructions that accompanied your proxy materials. The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Ronen Faier and Richard Levandov as Class II Directors to serve until the 2029 Annual Meeting of Stockholders, and until their respective successors shall have been duly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Kost Forer Gabbay &amp; Kasierer, a member of Ernst &amp; Young Global, as our independent registered public accounting firm for the fiscal year ending December 31,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continuation, postponement, or adjournment of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our common stock, $0.0001 par value per share, as of the close of business on April 27, 2026 (the “Record Date”)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sending an email to Zvi Maayan, General Counsel and Secretary, at ziki.maayan@kaltura.com with a copy to james.barrett@kaltura.com, stating the purpose of the request and providing proof of ownership of Company common stock as of the Record Date. The list of these stockholders will also be available on the bottom of your screen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It is important that your shares of common stock be represented regardless of the number of shares of common stock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of common stock will ensure the presence of a quorum at the Annual Meeting and will save us the expense of further solicitation. Submitting your proxy now will not prevent you from voting your shares of common stock at the Annual Meeting if you desire to do so, as your proxy is revocable at your option.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295" w:after="283"/>
        <w:ind w:left="0" w:right="0" w:hanging="0"/>
        <w:jc w:val="left"/>
        <w:rPr>
          <w:color w:val="000000"/>
        </w:rPr>
      </w:pPr>
      <w:r>
        <w:rPr>
          <w:color w:val="000000"/>
        </w:rPr>
        <w:drawing>
          <wp:inline distT="0" distB="0" distL="0" distR="0">
            <wp:extent cx="120967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96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Zvi Maayan</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and Secretary</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70768x1_def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43000" cy="1143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1143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TextBody"/>
        <w:bidi w:val="0"/>
        <w:spacing w:before="390" w:after="283"/>
        <w:jc w:val="center"/>
        <w:rPr>
          <w:rFonts w:ascii="Times New Roman;Times;serif" w:hAnsi="Times New Roman;Times;serif"/>
          <w:b/>
          <w:color w:val="000000"/>
          <w:sz w:val="20"/>
        </w:rPr>
      </w:pPr>
      <w:bookmarkStart w:id="11" w:name="tPS"/>
      <w:bookmarkEnd w:id="11"/>
      <w:r>
        <w:rPr>
          <w:rFonts w:ascii="Times New Roman;Times;serif" w:hAnsi="Times New Roman;Times;serif"/>
          <w:b/>
          <w:color w:val="000000"/>
          <w:sz w:val="20"/>
        </w:rPr>
        <w:t xml:space="preserve">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by the Board of Directors of Kaltura, Inc. of proxies to be voted at our Annual Meeting of Stockholders to be held on Wednesday, June 24, 2026 (the “Annual Meeting”), at 10:00 a.m. Eastern time, and at any continuation, postponement, or adjournment of the Annual Meeting. The Annual Meeting will be a completely virtual meeting, which will be conducted via live webcast. A virtual meeting enables increased stockholder attendance and participation because stockholders can participate from any location around the world. You will be able to attend the Annual Meeting online and submit your questions during the meeting by visiting www.virtualshareholdermeeting.com/KLTR2026 and entering your 16-digit control number included in your Notice of Internet Availability of Proxy Materials, on your proxy card or on the instructions that accompanied your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shares of our common stock, $0.0001 par value per share, as of the close of business on April 27, 2026 (the “Record Date”), will be entitled to notice of and to vote at the Annual Meeting and any continuation, postponement, or adjournment of the Annual Meeting. As of the Record Date, there were 150,374,742 shares of common stock outstanding and entitled to vote at the Annual Meeting. Each share of common stock is entitled to one vote on any matter presented to stockholders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Company’s Annual Report to Stockholders for the year ended December 31, 2025 (the “2025 Annual Report”) will be released on or about April 30, 2026 to our stockholders as of the Record Date.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this proxy statement, “Kaltura”, “Company”, “we”, “us”, and “our” refer to Kaltura, Inc.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70768x1_def14a_104-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STOCKHOLDER MEETING TO BE HELD ON WEDNESDAY, JUNE 24, 2026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t xml:space="preserve">This Proxy Statement and our 2025 Annual Report to Stockholders are available at http://www.proxyvote.com/ </w:t>
      </w:r>
    </w:p>
    <w:p>
      <w:pPr>
        <w:pStyle w:val="TextBody"/>
        <w:bidi w:val="0"/>
        <w:spacing w:before="300" w:after="283"/>
        <w:ind w:left="0" w:right="0" w:hanging="0"/>
        <w:jc w:val="left"/>
        <w:rPr>
          <w:rFonts w:ascii="Times New Roman;Times;serif" w:hAnsi="Times New Roman;Times;serif"/>
          <w:b/>
          <w:color w:val="000000"/>
          <w:sz w:val="20"/>
        </w:rPr>
      </w:pPr>
      <w:bookmarkStart w:id="13" w:name="tPROP"/>
      <w:bookmarkEnd w:id="13"/>
      <w:r>
        <w:rPr>
          <w:rFonts w:ascii="Times New Roman;Times;serif" w:hAnsi="Times New Roman;Times;serif"/>
          <w:b/>
          <w:color w:val="000000"/>
          <w:sz w:val="20"/>
        </w:rPr>
        <w:t xml:space="preserve">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our stockholders will be asked: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Ronen Faier and Richard Levandov as Class II Directors to serve until the 2029 Annual Meeting of Stockholders, and until their respective successors shall have been duly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Kost Forer Gabbay &amp; Kasierer, a member of Ernst &amp; Young Global, as our independent registered public accounting firm for the fiscal year ending December 31,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continuation, postponement, or adjournment of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However, if any other matter properly comes before the stockholders for a vote at the Annual Meeting, the proxy holders named on the Company’s proxy card will vote your shares in accordance with their best judgment. </w:t>
      </w:r>
    </w:p>
    <w:p>
      <w:pPr>
        <w:pStyle w:val="TextBody"/>
        <w:bidi w:val="0"/>
        <w:spacing w:before="310" w:after="283"/>
        <w:ind w:left="0" w:right="0" w:hanging="0"/>
        <w:jc w:val="left"/>
        <w:rPr>
          <w:rFonts w:ascii="Times New Roman;Times;serif" w:hAnsi="Times New Roman;Times;serif"/>
          <w:b/>
          <w:color w:val="000000"/>
          <w:sz w:val="20"/>
        </w:rPr>
      </w:pPr>
      <w:bookmarkStart w:id="14" w:name="tROB"/>
      <w:bookmarkEnd w:id="14"/>
      <w:r>
        <w:rPr>
          <w:rFonts w:ascii="Times New Roman;Times;serif" w:hAnsi="Times New Roman;Times;serif"/>
          <w:b/>
          <w:color w:val="000000"/>
          <w:sz w:val="20"/>
        </w:rPr>
        <w:t xml:space="preserve">Recommendations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 </w:t>
      </w:r>
    </w:p>
    <w:tbl>
      <w:tblPr>
        <w:tblW w:w="6835" w:type="dxa"/>
        <w:jc w:val="left"/>
        <w:tblInd w:w="0" w:type="dxa"/>
        <w:tblLayout w:type="fixed"/>
        <w:tblCellMar>
          <w:top w:w="0" w:type="dxa"/>
          <w:left w:w="0" w:type="dxa"/>
          <w:bottom w:w="0" w:type="dxa"/>
          <w:right w:w="0" w:type="dxa"/>
        </w:tblCellMar>
      </w:tblPr>
      <w:tblGrid>
        <w:gridCol w:w="140"/>
        <w:gridCol w:w="6695"/>
      </w:tblGrid>
      <w:tr>
        <w:trPr/>
        <w:tc>
          <w:tcPr>
            <w:tcW w:w="14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Ronen Faier and Richard Levandov as Class II Directors;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Kost Forer Gabbay &amp; Kasierer, a member of Ernst &amp; Young Global, as our independent registered public accounting firm for the fiscal year ending December 31,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 properly comes before the stockholders for a vote at the Annual Meeting, however, the proxy holders named on the Company’s proxy card will vote your shares in accordance with their best judgment. </w:t>
      </w:r>
    </w:p>
    <w:p>
      <w:pPr>
        <w:pStyle w:val="TextBody"/>
        <w:bidi w:val="0"/>
        <w:spacing w:before="310" w:after="283"/>
        <w:ind w:left="0" w:right="0" w:hanging="0"/>
        <w:jc w:val="left"/>
        <w:rPr>
          <w:rFonts w:ascii="Times New Roman;Times;serif" w:hAnsi="Times New Roman;Times;serif"/>
          <w:b/>
          <w:color w:val="000000"/>
          <w:sz w:val="20"/>
        </w:rPr>
      </w:pPr>
      <w:bookmarkStart w:id="15" w:name="tIAT"/>
      <w:bookmarkEnd w:id="15"/>
      <w:r>
        <w:rPr>
          <w:rFonts w:ascii="Times New Roman;Times;serif" w:hAnsi="Times New Roman;Times;serif"/>
          <w:b/>
          <w:color w:val="000000"/>
          <w:sz w:val="20"/>
        </w:rPr>
        <w:t xml:space="preserve">Information About This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Why you received this proxy statement. </w:t>
      </w:r>
      <w:r>
        <w:rPr>
          <w:rFonts w:ascii="Times New Roman;Times;serif" w:hAnsi="Times New Roman;Times;serif"/>
          <w:b w:val="false"/>
          <w:color w:val="000000"/>
          <w:sz w:val="20"/>
        </w:rPr>
        <w:t xml:space="preserve">You are viewing or have received these proxy materials because Kaltura’s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Notice of Internet Availability of Proxy Materials. </w:t>
      </w:r>
      <w:r>
        <w:rPr>
          <w:rFonts w:ascii="Times New Roman;Times;serif" w:hAnsi="Times New Roman;Times;serif"/>
          <w:b w:val="false"/>
          <w:color w:val="000000"/>
          <w:sz w:val="20"/>
        </w:rPr>
        <w:t xml:space="preserve">As permitted by SEC rules, Kaltura is making this proxy statement and its 2025 Annual Report available to its stockholders electronically via the Internet. We believe following this process will expedite the receipt of such materials and will help lower our costs and reduce the environmental impact of printing our Annual Meeting materials. On or about April 30,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Printed Copies of Our Proxy Materials. </w:t>
      </w:r>
      <w:r>
        <w:rPr>
          <w:rFonts w:ascii="Times New Roman;Times;serif" w:hAnsi="Times New Roman;Times;serif"/>
          <w:b w:val="false"/>
          <w:color w:val="000000"/>
          <w:sz w:val="20"/>
        </w:rPr>
        <w:t xml:space="preserve">If you received printed copies of our proxy materials, then instructions regarding how you can vote are contained on the proxy card included in the materials.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Householding. </w:t>
      </w:r>
      <w:r>
        <w:rPr>
          <w:rFonts w:ascii="Times New Roman;Times;serif" w:hAnsi="Times New Roman;Times;serif"/>
          <w:b w:val="false"/>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6" w:name="ny20070768x1_def14a_104-prox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wish to receive only one copy of future proxy materials for your household, please contact Broadridge at the above phone number or address, although as indicated above, absent any other notice, only one set of proxy materials will be 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7" w:name="ny20070768x1_def14a_105-qa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QAA"/>
      <w:bookmarkEnd w:id="18"/>
      <w:r>
        <w:rPr>
          <w:rFonts w:ascii="Times New Roman;Times;serif" w:hAnsi="Times New Roman;Times;serif"/>
          <w:b/>
          <w:color w:val="000000"/>
          <w:sz w:val="20"/>
        </w:rPr>
        <w:t xml:space="preserve">QUESTIONS AND ANSWERS ABOUT THE 2026 ANNUAL MEETING OF STOCKHOLDERS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Annual Meeting is April 27, 2026. You are entitled to vote at the Annual Meeting only if you were a stockholder of record at the close of business on that date, or if you hold a valid proxy for the Annual Meeting on behalf of such stockholder. Each outstanding share of common stock is entitled to one vote for all matters before the Annual Meeting. At the close of business on the Record Date, there were 150,374,742 shares of common stock outstanding and entitled to vote at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being a “record holder” and holding shares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record holder holds shares in his or her name. Shares held in “street name” means shares that are held in the name of a bank or broker on a person’s behalf.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vote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Annual Meeting for any business to be conducted. The presence at the Annual Meeting online or by proxy, of the holders of a majority in voting power of the Company's capital stock issued and outstanding and entitled to vote thereat on the Record Date will constitute a quorum. </w:t>
      </w:r>
    </w:p>
    <w:p>
      <w:pPr>
        <w:pStyle w:val="TextBody"/>
        <w:bidi w:val="0"/>
        <w:spacing w:before="400" w:after="283"/>
        <w:ind w:left="0" w:right="0" w:hanging="0"/>
        <w:jc w:val="left"/>
        <w:rPr>
          <w:rFonts w:ascii="Times New Roman;Times;serif" w:hAnsi="Times New Roman;Times;serif"/>
          <w:b/>
          <w:color w:val="000000"/>
          <w:sz w:val="20"/>
        </w:rPr>
      </w:pPr>
      <w:bookmarkStart w:id="19" w:name="tWCAT"/>
      <w:bookmarkEnd w:id="19"/>
      <w:r>
        <w:rPr>
          <w:rFonts w:ascii="Times New Roman;Times;serif" w:hAnsi="Times New Roman;Times;serif"/>
          <w:b/>
          <w:color w:val="000000"/>
          <w:sz w:val="20"/>
        </w:rPr>
        <w:t xml:space="preserve">Who can attend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online only if you are a Kaltura stockholder who is entitled to vote at the Annual Meeting, or if you hold a valid proxy for the Annual Meeting. You may attend and participate in the Annual Meeting by visiting the following website: www.virtualshareholdermeeting.com/KLTR2026.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Annual Meeting, the Chairperson of the Annual Meeting is authorized by our Amended and Restated Bylaws to adjourn the meeting, without the vote of stockholders. In such case, the Annual Meeting will stand adjourned to such date, time and place as determined by the Chairperson.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Internet Notice or more than one set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20" w:name="ny20070768x1_def14a_105-qa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Stockholders of Record. </w:t>
      </w:r>
      <w:r>
        <w:rPr>
          <w:rFonts w:ascii="Times New Roman;Times;serif" w:hAnsi="Times New Roman;Times;serif"/>
          <w:i w:val="false"/>
          <w:caps w:val="false"/>
          <w:smallCaps w:val="false"/>
          <w:color w:val="000000"/>
          <w:sz w:val="20"/>
        </w:rPr>
        <w:t xml:space="preserve">If you are a stockholder of record, you may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Internet—You can vote over the Internet at www.proxyvote.com by following the instructions on the Internet Notice or proxy card;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Telephone—You can vote by telephone by calling 1-800-690-6903 and following the instructions on the proxy card;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Mail—You can vote by mail by signing, dating and mailing the proxy card, which you may have received by mail;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Electronically at the Meeting—If you attend the meeting online, you will need the 16-digit control number included in your Internet Notice, on your proxy card or on the instructions that accompanied your proxy materials to vote electronically during the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facilities for stockholders of record will be available 24 hours a day and will close at 11:59 p.m., Eastern time, on June 23, 2026. To participate in the Annual Meeting, including to vote via the Internet or telephone, you will need the 16-digit control number included on your Internet Notice, on your proxy card or on the instructions that accompanied your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Beneficial Owners of Shares Held in “Street Name.” </w:t>
      </w:r>
      <w:r>
        <w:rPr>
          <w:rFonts w:ascii="Times New Roman;Times;serif" w:hAnsi="Times New Roman;Times;serif"/>
          <w:i w:val="false"/>
          <w:caps w:val="false"/>
          <w:smallCaps w:val="false"/>
          <w:color w:val="000000"/>
          <w:sz w:val="20"/>
        </w:rPr>
        <w:t xml:space="preserve">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and change your vote: </w:t>
      </w:r>
    </w:p>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620" w:type="dxa"/>
        <w:jc w:val="left"/>
        <w:tblInd w:w="0" w:type="dxa"/>
        <w:tblLayout w:type="fixed"/>
        <w:tblCellMar>
          <w:top w:w="0" w:type="dxa"/>
          <w:left w:w="0" w:type="dxa"/>
          <w:bottom w:w="0" w:type="dxa"/>
          <w:right w:w="0" w:type="dxa"/>
        </w:tblCellMar>
      </w:tblPr>
      <w:tblGrid>
        <w:gridCol w:w="140"/>
        <w:gridCol w:w="5480"/>
      </w:tblGrid>
      <w:tr>
        <w:trPr/>
        <w:tc>
          <w:tcPr>
            <w:tcW w:w="14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8110" w:type="dxa"/>
        <w:jc w:val="left"/>
        <w:tblInd w:w="0" w:type="dxa"/>
        <w:tblLayout w:type="fixed"/>
        <w:tblCellMar>
          <w:top w:w="0" w:type="dxa"/>
          <w:left w:w="0" w:type="dxa"/>
          <w:bottom w:w="0" w:type="dxa"/>
          <w:right w:w="0" w:type="dxa"/>
        </w:tblCellMar>
      </w:tblPr>
      <w:tblGrid>
        <w:gridCol w:w="140"/>
        <w:gridCol w:w="7970"/>
      </w:tblGrid>
      <w:tr>
        <w:trPr/>
        <w:tc>
          <w:tcPr>
            <w:tcW w:w="14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to the Secretary of Kaltura prior to the Annual Meeting; or </w:t>
            </w:r>
          </w:p>
        </w:tc>
      </w:tr>
    </w:tbl>
    <w:tbl>
      <w:tblPr>
        <w:tblW w:w="3550" w:type="dxa"/>
        <w:jc w:val="left"/>
        <w:tblInd w:w="0" w:type="dxa"/>
        <w:tblLayout w:type="fixed"/>
        <w:tblCellMar>
          <w:top w:w="0" w:type="dxa"/>
          <w:left w:w="0" w:type="dxa"/>
          <w:bottom w:w="0" w:type="dxa"/>
          <w:right w:w="0" w:type="dxa"/>
        </w:tblCellMar>
      </w:tblPr>
      <w:tblGrid>
        <w:gridCol w:w="140"/>
        <w:gridCol w:w="3410"/>
      </w:tblGrid>
      <w:tr>
        <w:trPr/>
        <w:tc>
          <w:tcPr>
            <w:tcW w:w="14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online at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Annual Meeting by itself will not revoke your proxy unless you give written notice of revocation to the Secretary before your proxy is voted or you vote online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our inspector of election, will tabulate and certify the votes.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w:t>
      </w:r>
    </w:p>
    <w:p>
      <w:pPr>
        <w:pStyle w:val="TextBody"/>
        <w:bidi w:val="0"/>
        <w:spacing w:before="120" w:after="283"/>
        <w:ind w:left="0" w:right="0" w:hanging="0"/>
        <w:jc w:val="both"/>
        <w:rPr/>
      </w:pPr>
      <w:r>
        <w:rPr>
          <w:rFonts w:ascii="Times New Roman;Times;serif" w:hAnsi="Times New Roman;Times;serif"/>
          <w:color w:val="000000"/>
          <w:sz w:val="20"/>
        </w:rPr>
        <w:t>If you submit a proxy but do not indicate any voting instructions, the persons named as proxies will vote in accordance with the recommendations of the Board of Directors. The Board of Directors’ recommendations are indicated on page </w:t>
      </w:r>
      <w:hyperlink w:anchor="tROB">
        <w:r>
          <w:rPr>
            <w:rStyle w:val="InternetLink"/>
          </w:rPr>
          <w:t>2</w:t>
        </w:r>
      </w:hyperlink>
      <w:r>
        <w:rPr>
          <w:rFonts w:ascii="Times New Roman;Times;serif" w:hAnsi="Times New Roman;Times;serif"/>
          <w:color w:val="000000"/>
          <w:sz w:val="20"/>
        </w:rPr>
        <w:t xml:space="preserve"> of this proxy statement, as well as with the description of each proposal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21" w:name="ny20070768x1_def14a_105-qa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However, if any other matter properly comes before the stockholders for a vote at the Annual Meeting, the proxy holders named on the Company’s proxy card will vote your shares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hold a virtual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hosting a virtual meeting is in the best interest of the Company and its stockholders because a virtual meeting enables increased stockholder attendance and participation as stockholders can participate from any location around the world. You will be able to attend the Annual Meeting online and submit your questions by visiting www.virtualshareholdermeeting.com/KLTR2026. You also will be able to vote your shares electronically at the Annual Meeting by following the instructions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during the check-in time or during the Annual Meeting I have technical difficulties or trouble accessing the virtual meeting website?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meeting website, and the information for assistance will be located on www.virtualshareholdermeeting.com/KLTR2026.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 question and answer session during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 </w:t>
      </w:r>
    </w:p>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irrelevant to the business of the Company or to the business of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related to material non-public information of the Company, including the status or results of our business since our last Quarterly Report on Form 10-Q;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any pending, threatened or ongoing litigation;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personal grievances; </w:t>
            </w:r>
          </w:p>
        </w:tc>
      </w:tr>
    </w:tbl>
    <w:tbl>
      <w:tblPr>
        <w:tblW w:w="5905" w:type="dxa"/>
        <w:jc w:val="left"/>
        <w:tblInd w:w="0" w:type="dxa"/>
        <w:tblLayout w:type="fixed"/>
        <w:tblCellMar>
          <w:top w:w="0" w:type="dxa"/>
          <w:left w:w="0" w:type="dxa"/>
          <w:bottom w:w="0" w:type="dxa"/>
          <w:right w:w="0" w:type="dxa"/>
        </w:tblCellMar>
      </w:tblPr>
      <w:tblGrid>
        <w:gridCol w:w="140"/>
        <w:gridCol w:w="5765"/>
      </w:tblGrid>
      <w:tr>
        <w:trPr/>
        <w:tc>
          <w:tcPr>
            <w:tcW w:w="14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derogatory references to individuals or that are otherwise in bad taste;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substantially repetitious of questions already made by another stockholder; </w:t>
            </w:r>
          </w:p>
        </w:tc>
      </w:tr>
    </w:tbl>
    <w:tbl>
      <w:tblPr>
        <w:tblW w:w="3100" w:type="dxa"/>
        <w:jc w:val="left"/>
        <w:tblInd w:w="0" w:type="dxa"/>
        <w:tblLayout w:type="fixed"/>
        <w:tblCellMar>
          <w:top w:w="0" w:type="dxa"/>
          <w:left w:w="0" w:type="dxa"/>
          <w:bottom w:w="0" w:type="dxa"/>
          <w:right w:w="0" w:type="dxa"/>
        </w:tblCellMar>
      </w:tblPr>
      <w:tblGrid>
        <w:gridCol w:w="140"/>
        <w:gridCol w:w="2960"/>
      </w:tblGrid>
      <w:tr>
        <w:trPr/>
        <w:tc>
          <w:tcPr>
            <w:tcW w:w="14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excess of the two question limit;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 of order or not otherwise suitable for the conduct of the Annual Meeting as determined by the Chair or Secretary in their reasonable judgment.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2" w:name="ny20070768x1_def14a_105-qa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for the approval of the proposals to be voted upon at the Annual Meeting and how will votes withheld, abstentions and broker non-votes be treated? </w:t>
      </w:r>
    </w:p>
    <w:tbl>
      <w:tblPr>
        <w:tblW w:w="10205" w:type="dxa"/>
        <w:jc w:val="left"/>
        <w:tblInd w:w="0" w:type="dxa"/>
        <w:tblLayout w:type="fixed"/>
        <w:tblCellMar>
          <w:top w:w="0" w:type="dxa"/>
          <w:left w:w="0" w:type="dxa"/>
          <w:bottom w:w="0" w:type="dxa"/>
          <w:right w:w="0" w:type="dxa"/>
        </w:tblCellMar>
      </w:tblPr>
      <w:tblGrid>
        <w:gridCol w:w="2683"/>
        <w:gridCol w:w="170"/>
        <w:gridCol w:w="170"/>
        <w:gridCol w:w="3842"/>
        <w:gridCol w:w="170"/>
        <w:gridCol w:w="170"/>
        <w:gridCol w:w="3000"/>
      </w:tblGrid>
      <w:tr>
        <w:trPr/>
        <w:tc>
          <w:tcPr>
            <w:tcW w:w="26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vAlign w:val="center"/>
          </w:tcPr>
          <w:p>
            <w:pPr>
              <w:pStyle w:val="TableContents"/>
              <w:bidi w:val="0"/>
              <w:spacing w:before="0" w:after="0"/>
              <w:jc w:val="left"/>
              <w:rPr/>
            </w:pPr>
            <w:r>
              <w:rPr/>
              <w:t> </w:t>
            </w:r>
          </w:p>
        </w:tc>
      </w:tr>
      <w:tr>
        <w:trPr/>
        <w:tc>
          <w:tcPr>
            <w:tcW w:w="268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Votes Withheld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Abstentions and Broker Non-Votes </w:t>
            </w:r>
          </w:p>
        </w:tc>
      </w:tr>
      <w:tr>
        <w:trPr/>
        <w:tc>
          <w:tcPr>
            <w:tcW w:w="2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1</w:t>
            </w:r>
            <w:r>
              <w:rPr>
                <w:rFonts w:ascii="Times New Roman;Times;serif" w:hAnsi="Times New Roman;Times;serif"/>
                <w:color w:val="000000"/>
                <w:sz w:val="20"/>
              </w:rPr>
              <w:t>: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cast. This means that the two nominees receiving the highest number of affirmative “FOR” votes will be elected as Class II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withheld and broker non-votes will have no effect. </w:t>
            </w:r>
          </w:p>
        </w:tc>
      </w:tr>
      <w:tr>
        <w:trPr/>
        <w:tc>
          <w:tcPr>
            <w:tcW w:w="26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vAlign w:val="center"/>
          </w:tcPr>
          <w:p>
            <w:pPr>
              <w:pStyle w:val="TableContents"/>
              <w:bidi w:val="0"/>
              <w:spacing w:before="0" w:after="0"/>
              <w:jc w:val="left"/>
              <w:rPr>
                <w:color w:val="000000"/>
              </w:rPr>
            </w:pPr>
            <w:r>
              <w:rPr>
                <w:color w:val="000000"/>
              </w:rPr>
              <w:t> </w:t>
            </w:r>
          </w:p>
        </w:tc>
      </w:tr>
      <w:tr>
        <w:trPr/>
        <w:tc>
          <w:tcPr>
            <w:tcW w:w="26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2</w:t>
            </w:r>
            <w:r>
              <w:rPr>
                <w:rFonts w:ascii="Times New Roman;Times;serif" w:hAnsi="Times New Roman;Times;serif"/>
                <w:color w:val="000000"/>
                <w:sz w:val="20"/>
              </w:rPr>
              <w:t>: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and broker non-votes will have no effect. We do not expect any broker non-votes on this proposal.</w:t>
            </w:r>
          </w:p>
        </w:tc>
      </w:tr>
      <w:tr>
        <w:trPr/>
        <w:tc>
          <w:tcPr>
            <w:tcW w:w="26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“vote withheld” and an “abstention”?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“vote withheld,” in the case of the proposal regarding the election of directors, or an “abstention,” in the case of the proposal regarding the ratification of the appointment of Kost Forer Gabbay &amp; Kasierer, a member of Ernst &amp; Young Global, as our independent registered public accounting firm, represents a stockholder’s affirmative choice to decline to vote on a proposal. Votes withheld and abstentions are counted as present and entitled to vote for purposes of determining a quorum.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Kost Forer Gabbay &amp; Kasierer, a member of Ernst &amp; Young Global,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and we will report the final results in a Current Report on Form 8-K, which we intend to file with the SEC after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3" w:name="ny20070768x1_def14a_106-proposals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PBV"/>
      <w:bookmarkEnd w:id="24"/>
      <w:r>
        <w:rPr>
          <w:rFonts w:ascii="Times New Roman;Times;serif" w:hAnsi="Times New Roman;Times;serif"/>
          <w:b/>
          <w:color w:val="000000"/>
          <w:sz w:val="20"/>
        </w:rPr>
        <w:t xml:space="preserve">PROPOSALS TO BE VOTED ON </w:t>
      </w:r>
    </w:p>
    <w:p>
      <w:pPr>
        <w:pStyle w:val="TextBody"/>
        <w:bidi w:val="0"/>
        <w:spacing w:before="390" w:after="283"/>
        <w:ind w:left="0" w:right="0" w:hanging="0"/>
        <w:jc w:val="left"/>
        <w:rPr>
          <w:rFonts w:ascii="Times New Roman;Times;serif" w:hAnsi="Times New Roman;Times;serif"/>
          <w:b/>
          <w:color w:val="000000"/>
          <w:sz w:val="20"/>
        </w:rPr>
      </w:pPr>
      <w:bookmarkStart w:id="25" w:name="tP1"/>
      <w:bookmarkEnd w:id="25"/>
      <w:r>
        <w:rPr>
          <w:rFonts w:ascii="Times New Roman;Times;serif" w:hAnsi="Times New Roman;Times;serif"/>
          <w:b/>
          <w:color w:val="000000"/>
          <w:sz w:val="20"/>
        </w:rPr>
        <w:t xml:space="preserve">Proposal 1: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Annual Meeting, two (2) Class II Directors are to be elected to hold office until the Annual Meeting of Stockholders to be held in 2029 and until each such director’s successor is elected and qualified or until each such director’s earlier death, resignation or removal.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have seven (7) directors on our Board. Our current Class II Directors are Ronen Faier and Richard Levandov, who have served on our Board since 2021 and 2007, respectively. The Board has nominated Ronen Faier and Richard Levandov for election as Class II Directors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2028 Annual Meeting of Stockholders; Class II, whose term will expire at the 2026 Annual Meeting of Stockholders, and, if elected at the Annual Meeting, whose subsequent term will expire at the 2029 Annual Meeting of Stockholders; and Class III, whose term will expire at the 2027 Annual Meeting of Stockholders. The current Class I Directors are Ron Yekutiel, Eyal Manor and Greg Dracon; the current Class II Directors are Ronen Faier and Richard Levandov; and the current Class III Directors are Shay David and Naama Halevi Davidov.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Amended and Restated Bylaws provide that, subject to the rights of holders of any series of preferred stock to elect directors,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Subject to the rights of holders of any series of preferred stock and except for such additional directors, if any, as are elected by the holders of any series of preferred stock as provided for or fixed pursuant to our Amended and Restated Certificate of Incorporation, our directors may be removed only for cause by the affirmative vote of the holders of at least two-thirds in voting power of our outstanding shares of capital stock entitled to vote in the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the shares of common stock represented thereby for the election as Class II Directors of the persons whose names and biographies appear below. In the event that either of Ronen Faier or Richard Levandov should become unable to serve, or for good cause will not serve, as a director, it is intended that votes will be cast for a substitute nominee designated by the Board of Directors or the Board may elect to reduce its size. The Board of Directors has no reason to believe that either of Ronen Faier or Richard Levandov will be unable to serve if elected. Each of Ronen Faier and Richard Levandov has consented to being named in this proxy statement and to serve if elected.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election of each of the below Class II Director nominees.</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6" w:name="ny20070768x1_def14a_106-proposals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Class II Directors (terms to expire at the 2029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of Directors who are also nominees for election to the Board of Directors as Class II Directors are as follows: </w:t>
      </w:r>
    </w:p>
    <w:tbl>
      <w:tblPr>
        <w:tblW w:w="7205" w:type="dxa"/>
        <w:jc w:val="left"/>
        <w:tblInd w:w="0" w:type="dxa"/>
        <w:tblLayout w:type="fixed"/>
        <w:tblCellMar>
          <w:top w:w="0" w:type="dxa"/>
          <w:left w:w="0" w:type="dxa"/>
          <w:bottom w:w="0" w:type="dxa"/>
          <w:right w:w="0" w:type="dxa"/>
        </w:tblCellMar>
      </w:tblPr>
      <w:tblGrid>
        <w:gridCol w:w="1580"/>
        <w:gridCol w:w="170"/>
        <w:gridCol w:w="170"/>
        <w:gridCol w:w="335"/>
        <w:gridCol w:w="170"/>
        <w:gridCol w:w="170"/>
        <w:gridCol w:w="1955"/>
        <w:gridCol w:w="170"/>
        <w:gridCol w:w="170"/>
        <w:gridCol w:w="231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Lead Independent Director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 Director nominee for election at the 2026 Annual Meeting are as follows: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Ronen Faier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Ronen Faier has served on our board of directors since July 2021. Mr. Faier has also served as a director of Monday.com (NASDAQ: MNDY) since 2021 and a director of Cato Networks since February 2023. Mr. Faier served as the Interim CEO of SolarEdge Technologies, Inc., a global leader in smart energy and renewable energy technology from August 2024 through December 2024 and as their director in all subsidiaries (not including the Israeli company) and Chief Financial Officer from January 2011 to December 2024. Prior to his role at SolarEdge, Mr. Faier served in various executive positions at publicly traded technology companies such as SanDisk Corporation, a semiconductor manufacturing company, Msystems Ltd., a semiconductor memory devices manufacturing company and VocalTec Communications, Inc., a telecom equipment provider. Mr. Faier is a Certified Public Accountant in Israel. He received a Master’s of Business Administration with honors from Tel Aviv University in 2000 and a Bachelor of Arts in Accounting and Economics from the Hebrew University of Jerusalem in 1996. Mr. Faier holds a CPA (Israel) license. Mr. Faier was selected to serve on our board of directors because of his extensive financial and public company experience.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Levandov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Richard Levandov has served as a member of our board of directors since 2007. Mr. Levandov has over 30 years of experience as a technology venture capitalist, operator and entrepreneur, most recently as a partner at Avalon Ventures from 2007 to date. Mr. Levandov is active in the Boston, New York City, San Francisco and Seattle venture and entrepreneurial communities. As a past judge on the MIT 100k business plan competition he remains very active in various organizations on both U.S. coasts, promoting the creation of new disruptive enterprises. He received a Bachelor of Science from Binghamton University in 1976. Mr. Levandov was selected to serve on our board of directors because of his extensive experience in the venture capital industry. </w:t>
      </w:r>
    </w:p>
    <w:p>
      <w:pPr>
        <w:pStyle w:val="TextBody"/>
        <w:bidi w:val="0"/>
        <w:spacing w:before="290" w:after="283"/>
        <w:ind w:left="0" w:right="0" w:hanging="0"/>
        <w:jc w:val="left"/>
        <w:rPr>
          <w:rFonts w:ascii="Times New Roman;Times;serif" w:hAnsi="Times New Roman;Times;serif"/>
          <w:b/>
          <w:color w:val="000000"/>
          <w:sz w:val="20"/>
        </w:rPr>
      </w:pPr>
      <w:bookmarkStart w:id="27" w:name="tBIOG"/>
      <w:bookmarkEnd w:id="27"/>
      <w:r>
        <w:rPr>
          <w:rFonts w:ascii="Times New Roman;Times;serif" w:hAnsi="Times New Roman;Times;serif"/>
          <w:b/>
          <w:color w:val="000000"/>
          <w:sz w:val="20"/>
        </w:rPr>
        <w:t xml:space="preserve">Continuing members of the Board of Directors: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(terms to expire at the 2028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of Directors who are Class I Directors are as follows: </w:t>
      </w:r>
    </w:p>
    <w:tbl>
      <w:tblPr>
        <w:tblW w:w="7460" w:type="dxa"/>
        <w:jc w:val="left"/>
        <w:tblInd w:w="0" w:type="dxa"/>
        <w:tblLayout w:type="fixed"/>
        <w:tblCellMar>
          <w:top w:w="0" w:type="dxa"/>
          <w:left w:w="0" w:type="dxa"/>
          <w:bottom w:w="0" w:type="dxa"/>
          <w:right w:w="0" w:type="dxa"/>
        </w:tblCellMar>
      </w:tblPr>
      <w:tblGrid>
        <w:gridCol w:w="1160"/>
        <w:gridCol w:w="170"/>
        <w:gridCol w:w="170"/>
        <w:gridCol w:w="335"/>
        <w:gridCol w:w="170"/>
        <w:gridCol w:w="170"/>
        <w:gridCol w:w="1955"/>
        <w:gridCol w:w="170"/>
        <w:gridCol w:w="170"/>
        <w:gridCol w:w="2990"/>
      </w:tblGrid>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r>
        <w:trPr/>
        <w:tc>
          <w:tcPr>
            <w:tcW w:w="11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and Director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 Dracon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9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 Director are as follows: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 Yekutiel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Ron Yekutiel is one of our co-founders and has served as our Chief Executive Officer and as Chairman of our board of directors since October 2006 and as President from January 15, 2024.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He received a Master of Business Administration with honors from the Wharton School of the University of Pennsylvania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8" w:name="ny20070768x1_def14a_106-proposals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2005. Mr. Yekutiel has been named one of “100 most intriguing entrepreneurs” by Goldman Sachs, and one of the “top 25 visionaries, innovators, and producers” by the Producers Guild of America. He was also featured as one of eight “top web innovators” in Esquire magazine. Mr. Yekutiel has served as an advisor to numerous startup companies, including as a mentor in the Microsoft and Oracle accelerator programs. Mr. Yekutiel was selected to serve on our board of directors because of the perspective and experience he provides as our co-founder and Chief Executive Officer, as well as his extensive experience with technology companies.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Eyal Manor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Eyal Manor has served on our board of directors since January 2023. Mr. Manor has served as Chief Product &amp; Engineering Officer at Twilio, Inc. (NYSE: TWLO) from 2021 to 2023, overseeing CPaaS and Segment's CDP. Prior to that, from 2016 to November 2021 Mr. Manor served as Vice President &amp; General Manager at Google Cloud, where he led a portfolio of technologies, including Kubernetes, Serverless Developer Platforms, Marketplace, and other products. In his previous roles with Google (Nasdaq: GOOG), Mr. Manor was VP of Engineering at YouTube and spearheaded the development of advertising products. Mr. Manor graduated from Tel Aviv University in 1994. Mr. Manor was selected to serve on our board of directors because of his vast experience in building successful Ai Data products and innovative platform technologies.</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Greg Dracon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Dracon has served as a member of our board of directors since 2026. Mr. Dracon has previously served as a member of the Company’s board of directors from January 2015 through February 2021. Since 2007, Mr. Dracon has served as a general partner at Point 406 Ventures, a venture capital firm, where he focuses on data and artificial intelligence investing and leads the firm’s cybersecurity practice. Previously, Mr. Dracon was a vice president at Core Capital Partners, where he concentrated on early-stage investments in infrastructure and cybersecurity companies, and spent almost 12 years in various operational and management roles within the high-tech industry. Mr. Dracon currently serves on a number of private company boards, as well as on the Massachusetts Governor’s Cybersecurity Strategy Council and The Dean’s Advisory Board for Penn State’s College of Information Sciences and Technology. Mr. Dracon received a Master of Business Administration from the Wharton School of the University of Pennsylvania in 2005 and a Bachelor of Science in Electrical Engineering from the Pennsylvania State University in 1994.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Directors (terms to expire at the 2027 Annual Meeting) </w:t>
      </w:r>
    </w:p>
    <w:tbl>
      <w:tblPr>
        <w:tblW w:w="6980" w:type="dxa"/>
        <w:jc w:val="left"/>
        <w:tblInd w:w="0" w:type="dxa"/>
        <w:tblLayout w:type="fixed"/>
        <w:tblCellMar>
          <w:top w:w="0" w:type="dxa"/>
          <w:left w:w="0" w:type="dxa"/>
          <w:bottom w:w="0" w:type="dxa"/>
          <w:right w:w="0" w:type="dxa"/>
        </w:tblCellMar>
      </w:tblPr>
      <w:tblGrid>
        <w:gridCol w:w="1955"/>
        <w:gridCol w:w="170"/>
        <w:gridCol w:w="170"/>
        <w:gridCol w:w="335"/>
        <w:gridCol w:w="170"/>
        <w:gridCol w:w="170"/>
        <w:gridCol w:w="1955"/>
        <w:gridCol w:w="170"/>
        <w:gridCol w:w="170"/>
        <w:gridCol w:w="1715"/>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ind w:left="4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69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405"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III Director are as follows: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 Shay David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Shay David is one of our co-founders and has served as a member of our board of directors since October 2006. Dr. David previously 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Dr. David is the Chief of Data Solutions at SolarEdge, a smart energy technology company, as of January 2026.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 Naama Halevi Davidov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Naama Halevi Davidov has served on our board of directors since July 2021. Dr. Halevi Davidov also serves as a member of the board of directors of Kornit Digital Ltd. (NASDAQ: KRNT) since August 2023. Dr. Halevi Davidov is currently the Chief Financial Officer of a cybersecurity company. Additionally, Dr. Halevi Davidov served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9" w:name="ny20070768x1_def14a_106-proposals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2022 through August 2024 as the Chief Financial Officer of XM Cyber Ltd., a global cybersecurity company. Prior to this role, Dr. Halevi Davidov served as a consultant to several technology companies including Simply Ltd. (formerly named JoyTunes), Gloat Ltd. and Healthy.IO. Dr. Halevi Davidov served as our Chief Financial Officer from November 2012 to August 2017. Additionally, Dr. Halevi Davidov also serves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30" w:name="ny20070768x1_def14a_106-proposals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1" w:name="tP2"/>
      <w:bookmarkEnd w:id="31"/>
      <w:r>
        <w:rPr>
          <w:rFonts w:ascii="Times New Roman;Times;serif" w:hAnsi="Times New Roman;Times;serif"/>
          <w:b/>
          <w:color w:val="000000"/>
          <w:sz w:val="20"/>
        </w:rPr>
        <w:t xml:space="preserve">Proposal 2: Ratification of Appointment of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appointed Kost Forer Gabbay &amp; Kasierer, a member of Ernst &amp; Young Global, as our independent registered public accounting firm for the fiscal year ending December 31, 2026. Our Board has directed that this appointment be submitted to our stockholders for ratification at the Annual Meeting. Although ratification of our appointment of Kost Forer Gabbay &amp; Kasierer, a member of Ernst &amp; Young Global, is not required, we value the opinions of our stockholders and believe that stockholder ratification of our appointment is a good corporate governance practice.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Kost Forer Gabbay &amp; Kasierer, a member of Ernst &amp; Young Global, also served as our independent registered public accounting firm for the fiscal year ended December 31, 2025. Neither the accounting firm nor any of its members has any direct or indirect financial interest in or any connection with us in any capacity other than as our auditors, providing audit and non-audit services. A representative of Kost Forer Gabbay &amp; Kasierer, a member of Ernst &amp; Young Global, is expected to attend the 2026 Annual Meeting and to have an opportunity to make a statement and be available to respond to appropriate questions from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appointment of Kost Forer Gabbay &amp; Kasierer, a member of Ernst &amp; Young Global, is not ratified by the stockholders, the Audit Committee will consider this fact when it appoints the independent auditors for the fiscal year ending December 31, 2027. Even if the appointment of Kost Forer Gabbay &amp; Kasierer, a member of Ernst &amp; Young Global, is ratified, the Audit Committee retains the discretion to appoint a different independent auditor at any time if it determines that such a change is in the interest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Ratification of the Appointment of Kost Forer Gabbay &amp; Kasierer, a member of Ernst &amp; Young Global, as our Independent Registered Public Accounting Firm for the fiscal year ending December 31, 2026.</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Kost Forer Gabbay &amp; Kasierer, a member of Ernst &amp; Young Global,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Kost Forer Gabbay &amp; Kasierer, a member of Ernst &amp; Young Global, has received general pre-approval under the Pre-Approval Policy, it requires specific pre-approval by the Audit Committee or by the Chair of the Audit Committee, who has been delegated the authority to grant pre-approval of services other than the annual audit of the Company’s consolidated financial statements.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may review and pre-approve the services (and related fee levels or budgeted amounts) that may be provided by Kost Forer Gabbay &amp; Kasierer, a member of Ernst &amp; Young Global, without first obtaining specific pre-approval from the Audit Committee. The Audit Committee may revise the list of general pre-approved services from time to time, based on subsequent determinations. The Audit Committee pre-approved all services performed since the pre-approval policy was adopted.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2" w:name="ny20070768x1_def14a_107-report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RAC"/>
      <w:bookmarkEnd w:id="33"/>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the audited consolidated financial statements of Kaltura, Inc.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independent registered public accounting firm also provided the Audit Committee with a formal written statement required by the rules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Ronen Faier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Naama Halevi Davidov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Levandov </w:t>
      </w:r>
    </w:p>
    <w:p>
      <w:pPr>
        <w:pStyle w:val="TextBody"/>
        <w:bidi w:val="0"/>
        <w:spacing w:before="410" w:after="283"/>
        <w:jc w:val="center"/>
        <w:rPr>
          <w:rFonts w:ascii="Times New Roman;Times;serif" w:hAnsi="Times New Roman;Times;serif"/>
          <w:b/>
          <w:color w:val="000000"/>
          <w:sz w:val="20"/>
        </w:rPr>
      </w:pPr>
      <w:bookmarkStart w:id="34" w:name="tIRP"/>
      <w:bookmarkEnd w:id="34"/>
      <w:r>
        <w:rPr>
          <w:rFonts w:ascii="Times New Roman;Times;serif" w:hAnsi="Times New Roman;Times;serif"/>
          <w:b/>
          <w:color w:val="000000"/>
          <w:sz w:val="20"/>
        </w:rPr>
        <w:t xml:space="preserve">INDEPENDENT REGISTERED PUBLIC ACCOUNTING FIRM FEES AND 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fees of Kost Forer Gabbay &amp; Kasierer, a member of Ernst &amp; Young Global, our independent registered public accounting firm, billed to us for each of the last two fiscal years for audit services and billed to us in each of the last two fiscal years for other services: </w:t>
      </w:r>
    </w:p>
    <w:tbl>
      <w:tblPr>
        <w:tblW w:w="4040" w:type="dxa"/>
        <w:jc w:val="left"/>
        <w:tblInd w:w="0" w:type="dxa"/>
        <w:tblLayout w:type="fixed"/>
        <w:tblCellMar>
          <w:top w:w="0" w:type="dxa"/>
          <w:left w:w="0" w:type="dxa"/>
          <w:bottom w:w="0" w:type="dxa"/>
          <w:right w:w="0" w:type="dxa"/>
        </w:tblCellMar>
      </w:tblPr>
      <w:tblGrid>
        <w:gridCol w:w="1610"/>
        <w:gridCol w:w="170"/>
        <w:gridCol w:w="170"/>
        <w:gridCol w:w="830"/>
        <w:gridCol w:w="170"/>
        <w:gridCol w:w="170"/>
        <w:gridCol w:w="92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Fee Category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$621,600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$749,429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84,969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34,220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$718,356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$868,618</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 fees consist of professional services rendered in connection with the audit of our consolidated financial statements and review of our quarterly consolidated financial statements and services that are normally provided by the independent registered public accounting firm in connection with statutory and regulatory filings or engagements for those fiscal years.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fees consist of fees for professional services related to tax compliance, planning, advisory, and transfer pricing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All Other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other fees consist of fees for System and Organization Controls (SOC2) examination.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5" w:name="ny20070768x1_def14a_108-executive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EO"/>
      <w:bookmarkEnd w:id="36"/>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executive officers: </w:t>
      </w:r>
    </w:p>
    <w:tbl>
      <w:tblPr>
        <w:tblW w:w="8810" w:type="dxa"/>
        <w:jc w:val="left"/>
        <w:tblInd w:w="0" w:type="dxa"/>
        <w:tblLayout w:type="fixed"/>
        <w:tblCellMar>
          <w:top w:w="0" w:type="dxa"/>
          <w:left w:w="0" w:type="dxa"/>
          <w:bottom w:w="0" w:type="dxa"/>
          <w:right w:w="0" w:type="dxa"/>
        </w:tblCellMar>
      </w:tblPr>
      <w:tblGrid>
        <w:gridCol w:w="1550"/>
        <w:gridCol w:w="170"/>
        <w:gridCol w:w="170"/>
        <w:gridCol w:w="335"/>
        <w:gridCol w:w="170"/>
        <w:gridCol w:w="170"/>
        <w:gridCol w:w="6245"/>
      </w:tblGrid>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0"/>
              <w:jc w:val="left"/>
              <w:rPr/>
            </w:pPr>
            <w:r>
              <w:rPr/>
              <w:t> </w:t>
            </w:r>
          </w:p>
        </w:tc>
      </w:tr>
      <w:tr>
        <w:trPr/>
        <w:tc>
          <w:tcPr>
            <w:tcW w:w="15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Product, Engineering and Marketing Officer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Customer and Commercial Officer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Liron Sharon</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EVP Financial, Planning &amp; Analysis and Interim Principal Financial Officer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Claire Rotshten</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EVP Finance and Interim Principal Accounting Officer</w:t>
            </w:r>
          </w:p>
        </w:tc>
      </w:tr>
      <w:tr>
        <w:trPr/>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45" w:type="dxa"/>
            <w:tcBorders/>
            <w:shd w:fill="CCEEFF" w:val="clear"/>
            <w:vAlign w:val="center"/>
          </w:tcPr>
          <w:p>
            <w:pPr>
              <w:pStyle w:val="TableContents"/>
              <w:bidi w:val="0"/>
              <w:spacing w:before="0" w:after="0"/>
              <w:jc w:val="left"/>
              <w:rPr/>
            </w:pPr>
            <w:r>
              <w:rPr/>
              <w:t> </w:t>
            </w:r>
          </w:p>
        </w:tc>
      </w:tr>
    </w:tbl>
    <w:tbl>
      <w:tblPr>
        <w:tblW w:w="3805" w:type="dxa"/>
        <w:jc w:val="left"/>
        <w:tblInd w:w="0" w:type="dxa"/>
        <w:tblLayout w:type="fixed"/>
        <w:tblCellMar>
          <w:top w:w="0" w:type="dxa"/>
          <w:left w:w="0" w:type="dxa"/>
          <w:bottom w:w="0" w:type="dxa"/>
          <w:right w:w="0" w:type="dxa"/>
        </w:tblCellMar>
      </w:tblPr>
      <w:tblGrid>
        <w:gridCol w:w="260"/>
        <w:gridCol w:w="35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545" w:type="dxa"/>
            <w:tcBorders/>
            <w:vAlign w:val="center"/>
          </w:tcPr>
          <w:p>
            <w:pPr>
              <w:pStyle w:val="TableContents"/>
              <w:bidi w:val="0"/>
              <w:spacing w:before="0" w:after="0"/>
              <w:jc w:val="left"/>
              <w:rPr/>
            </w:pPr>
            <w:r>
              <w:rPr>
                <w:rFonts w:ascii="Times New Roman;Times;serif" w:hAnsi="Times New Roman;Times;serif"/>
                <w:color w:val="000000"/>
                <w:sz w:val="16"/>
              </w:rPr>
              <w:t xml:space="preserve">See biography on page </w:t>
            </w:r>
            <w:hyperlink w:anchor="tBIOG">
              <w:r>
                <w:rPr>
                  <w:rStyle w:val="InternetLink"/>
                  <w:rFonts w:ascii="Times New Roman;Times;serif" w:hAnsi="Times New Roman;Times;serif"/>
                  <w:color w:val="000080"/>
                  <w:sz w:val="16"/>
                </w:rPr>
                <w:t>9</w:t>
              </w:r>
            </w:hyperlink>
            <w:r>
              <w:rPr>
                <w:rFonts w:ascii="Times New Roman;Times;serif" w:hAnsi="Times New Roman;Times;serif"/>
                <w:color w:val="000000"/>
                <w:sz w:val="16"/>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Eynav Azaria has served as our Chief Product, Engineering and Marketing Officer since July 2024. He has also been an executive officer since January 2024. He is known as a thought leader in the areas of digital transformation, AI, and analytics, and has advised companies on using data and insights to drive success. Prior to joining Kaltura, Mr. Azaria served as Chief Executive Officer of Panorama Software Inc., a business intelligence software company, from 2004 to 2020.Before joining Panorama, Mr. Azaria was Chief Operating Officer for BrowseUp Ltd., and before that he served as campaign manager for the Israeli Labor Party and former prime minister, Mr. Ehud Barak. Mr. Azaria also served as the CEO of the International Center for Peace in the Middle East. Mr. Azaria is a member of the board of trustees of the Afeka Engineering College in Israel and serves as an advisory board member of the Israeli Export Institute.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Natan Israeli has served as our Chief Customer and Commercial Officer since September 2025 and Chief Customer Officer since November 2020. He has also been an executive officer since January 2024. Prior to joining Kaltura, throughout 2020 Mr. Israeli was the CEO for Ambar A.M. Enterprise Ltd., that was active in the Israeli energy and infrastructure industries. His responsibilities included identifying potential clients and projects, managing negotiations, finding and recruiting partners and leading and consulting on business development, and strategy for the implementation of advanced technologies. Prior to that Mr. Israeli served for three decades in the Israeli Air Force (IAF) as an officer and helicopter pilot. His last position was head of all IAF Human Resources from 2016 to 2020, in which capacity he was responsible for tens of thousands of people. Prior to that, Mr. Israeli held various other senior positions with the IAF, including the IAF's CIO and head of its information systems from 2012 to 2014.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Liron Sharon has served as our Interim Principal Financial Officer since December 2025, and as our Executive Vice President of Financial Planning and Analysis (“FP&amp;A”) since 2024. Ms. Sharon joined the Company in 2022 as Vice President of FP&amp;A. Ms. Sharon brings more than 20 years of experience in establishing, shaping, and leading financial departments, with a focus in FP&amp;A, Investor Relations, Finance Operation, Strategy, M&amp;A, and Procurement. Prior to joining the Company, Ms. Sharon established and led FP&amp;A at CyberArk Software Ltd. (Nasdaq: CYBR) for almost 7 years and took part in the Company’s business model transition to recurring SaaS revenue, with outstanding recognition. Prior to CyberArk, Ms. Sharon worked at additional leading publicly traded companies, such as Alvarion Technologies Ltd. (Nasdaq: ALVR) (“Alvarion”), ECI Telecom Ltd, and ICL Group Ltd. (NYSE/TASE:ICL). Ms. Sharon received a Bachelor of Arts degree in Economics with honors from Ben Gurion University, and a Master of Business Administration from Tel Aviv University. Ms. Sharon is also a Microsoft Certified System Engineer (MCSE), serves as a mentor in the industry, and gives lectures on financial aspects.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Claire Rotshten has served as our Interim Principal Accounting Officer since December 2025 and as our Executive Vice President of Finance since 2014. Ms. Rotshten brings more than 20 years of experience in shaping and leading financial operations for technology companies as well leading IPO process. Before joining the Company, she held finance positions at global, private, and publicly traded technology companies, such as Alvarion, Kenshoo Ltd., and Risco Group. In these positions Ms. Rotshten made significant contributions in leading Finance, Procurement, FP&amp;A, Information systems, sales operations, Commercial, and Business Development processes, based on strong relationships with both vendors and customers and excellent managerial skills. Ms. Rotshten is a Certified Public Accountant and has a degree in Accounting CPA license studies from Ramat Gan College as well Certification in Directors and Officers Management.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7" w:name="ny20070768x1_def14a_109-corporate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CG"/>
      <w:bookmarkEnd w:id="38"/>
      <w:r>
        <w:rPr>
          <w:rFonts w:ascii="Times New Roman;Times;serif" w:hAnsi="Times New Roman;Times;serif"/>
          <w:b/>
          <w:color w:val="000000"/>
          <w:sz w:val="20"/>
        </w:rPr>
        <w:t xml:space="preserve">CORPORATE GOVERNANCE </w:t>
      </w:r>
    </w:p>
    <w:p>
      <w:pPr>
        <w:pStyle w:val="TextBody"/>
        <w:bidi w:val="0"/>
        <w:spacing w:before="300" w:after="283"/>
        <w:ind w:left="0" w:right="0" w:hanging="0"/>
        <w:jc w:val="left"/>
        <w:rPr>
          <w:rFonts w:ascii="Times New Roman;Times;serif" w:hAnsi="Times New Roman;Times;serif"/>
          <w:b/>
          <w:color w:val="000000"/>
          <w:sz w:val="20"/>
        </w:rPr>
      </w:pPr>
      <w:bookmarkStart w:id="39" w:name="tGEN"/>
      <w:bookmarkEnd w:id="39"/>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 Relations” page of our website located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or by writing to our Secretary at our offices at 860 Broadway, 3rd Floor, New York, New York 10003. </w:t>
      </w:r>
    </w:p>
    <w:p>
      <w:pPr>
        <w:pStyle w:val="TextBody"/>
        <w:bidi w:val="0"/>
        <w:spacing w:before="320" w:after="283"/>
        <w:ind w:left="0" w:right="0" w:hanging="0"/>
        <w:jc w:val="left"/>
        <w:rPr>
          <w:rFonts w:ascii="Times New Roman;Times;serif" w:hAnsi="Times New Roman;Times;serif"/>
          <w:b/>
          <w:color w:val="000000"/>
          <w:sz w:val="20"/>
        </w:rPr>
      </w:pPr>
      <w:bookmarkStart w:id="40" w:name="tBC"/>
      <w:bookmarkEnd w:id="40"/>
      <w:r>
        <w:rPr>
          <w:rFonts w:ascii="Times New Roman;Times;serif" w:hAnsi="Times New Roman;Times;serif"/>
          <w:b/>
          <w:color w:val="000000"/>
          <w:sz w:val="20"/>
        </w:rPr>
        <w:t xml:space="preserve">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seven members: Shay David, Naama Halevi Davidov, Greg Dracon, Ronen Faier, Richard Levandov, Eyal Manor, and Ron Yekutiel.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 </w:t>
      </w:r>
    </w:p>
    <w:p>
      <w:pPr>
        <w:pStyle w:val="TextBody"/>
        <w:bidi w:val="0"/>
        <w:spacing w:before="320" w:after="283"/>
        <w:ind w:left="0" w:right="0" w:hanging="0"/>
        <w:jc w:val="left"/>
        <w:rPr>
          <w:rFonts w:ascii="Times New Roman;Times;serif" w:hAnsi="Times New Roman;Times;serif"/>
          <w:b/>
          <w:color w:val="000000"/>
          <w:sz w:val="20"/>
        </w:rPr>
      </w:pPr>
      <w:bookmarkStart w:id="41" w:name="tDI"/>
      <w:bookmarkEnd w:id="41"/>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determined that Shay David, Naama Halevi Davidov, Greg Dracon, Ronen Faier, Richard Levandov, and Eyal Manor each qualify as “independent” in accordance with the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considered the relationships that each non-employee director has with us and all other known facts and circumstances our Board of Directors deemed relevant in determining their independence, including the beneficial ownership of our capital stock by certain non-employee directors and the relationships of certain non-employee directors with certain of our significant stockholders. There are no family relationships among any of our directors or executive officers.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independent directors meet in executive session without non-independent directors or members of management present on a regularly scheduled basis, but no less than twice per year. Each executive session of the independent directors is presided over by our Lead Independent Director. </w:t>
      </w:r>
    </w:p>
    <w:p>
      <w:pPr>
        <w:pStyle w:val="TextBody"/>
        <w:bidi w:val="0"/>
        <w:spacing w:before="330" w:after="283"/>
        <w:ind w:left="0" w:right="0" w:hanging="0"/>
        <w:jc w:val="left"/>
        <w:rPr>
          <w:rFonts w:ascii="Times New Roman;Times;serif" w:hAnsi="Times New Roman;Times;serif"/>
          <w:b/>
          <w:color w:val="000000"/>
          <w:sz w:val="20"/>
        </w:rPr>
      </w:pPr>
      <w:bookmarkStart w:id="42" w:name="tDIC"/>
      <w:bookmarkEnd w:id="42"/>
      <w:r>
        <w:rPr>
          <w:rFonts w:ascii="Times New Roman;Times;serif" w:hAnsi="Times New Roman;Times;serif"/>
          <w:b/>
          <w:color w:val="000000"/>
          <w:sz w:val="20"/>
        </w:rPr>
        <w:t xml:space="preserve">Director Candidates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43" w:name="ny20070768x1_def14a_109-corporate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Kaltura, Inc., 860 Broadway, 3rd Floor, New York, New York 10003. The Nominating and Corporate Governance Committee reviews and evaluates information available regarding candidates proposed by stockholders and applies the same criteria, and follows substantially the same process in considering them, as it does in considering other candidates. </w:t>
      </w:r>
    </w:p>
    <w:p>
      <w:pPr>
        <w:pStyle w:val="TextBody"/>
        <w:bidi w:val="0"/>
        <w:spacing w:before="410" w:after="283"/>
        <w:ind w:left="0" w:right="0" w:hanging="0"/>
        <w:jc w:val="left"/>
        <w:rPr>
          <w:rFonts w:ascii="Times New Roman;Times;serif" w:hAnsi="Times New Roman;Times;serif"/>
          <w:b/>
          <w:color w:val="000000"/>
          <w:sz w:val="20"/>
        </w:rPr>
      </w:pPr>
      <w:bookmarkStart w:id="44" w:name="tCS"/>
      <w:bookmarkEnd w:id="44"/>
      <w:r>
        <w:rPr>
          <w:rFonts w:ascii="Times New Roman;Times;serif" w:hAnsi="Times New Roman;Times;serif"/>
          <w:b/>
          <w:color w:val="000000"/>
          <w:sz w:val="20"/>
        </w:rPr>
        <w:t xml:space="preserve">Communications from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Chairman of the Board, lead independent director, the independent or non-management directors, or the Board as a whole should address such communications to the applicable party or parties in writing: c/o Secretary, Kaltura, Inc., 860 Broadway, 3rd Floor, New York, New York 10003. </w:t>
      </w:r>
    </w:p>
    <w:p>
      <w:pPr>
        <w:pStyle w:val="TextBody"/>
        <w:bidi w:val="0"/>
        <w:spacing w:before="400" w:after="283"/>
        <w:ind w:left="0" w:right="0" w:hanging="0"/>
        <w:jc w:val="left"/>
        <w:rPr>
          <w:rFonts w:ascii="Times New Roman;Times;serif" w:hAnsi="Times New Roman;Times;serif"/>
          <w:b/>
          <w:color w:val="000000"/>
          <w:sz w:val="20"/>
        </w:rPr>
      </w:pPr>
      <w:bookmarkStart w:id="45" w:name="tBLS"/>
      <w:bookmarkEnd w:id="45"/>
      <w:r>
        <w:rPr>
          <w:rFonts w:ascii="Times New Roman;Times;serif" w:hAnsi="Times New Roman;Times;serif"/>
          <w:b/>
          <w:color w:val="000000"/>
          <w:sz w:val="20"/>
        </w:rPr>
        <w:t xml:space="preserve">Board Leadership Structure and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Currently, the roles are combined, with Mr. Yekutiel serving as Chairman of the Board and Chief Executive Officer. Our Board has determined that combining the roles of Chairman of the Board and Chief Executive Officer is best for our Company and its stockholders at this time because it promotes unified leadership by Mr. Yekutiel and allows for a single, clear focus for management to execute the Company’s strategy and business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provide that, if the Chairperson of our Board of Directors is a member of management or does not otherwise qualify as independent, the independent members of our Board of Directors may elect among themselves a lead independent director. Ronen Faier currently serves as our lead independent director. The lead independent director’s responsibilities include, but are not limited to: presiding over all meetings of the Board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46" w:name="ny20070768x1_def14a_109-corporate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at which the Chairman is not present, including any executive sessions of the independent directors; calling meetings or separate sessions of the independent directors, approving Board meeting schedules and agendas; and acting as the liaison between the independent directors on the one hand and the Chief Executive Officer and Chairman of our Board of Directors on the other.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independent leadership provided by our lead independent director, combined with the strong leadership of Mr. Yekutiel as Chairman of the Board and Chief Executive Officer,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equity incentive plans and other compensatory arrangements. The Audit Committee is responsible for discussing the Company’s policies with respect to risk assessment and risk management, including guidelines and policies to govern the process by which the Company’s exposure to risk is handled, as well as overseeing the management of the Company’s financial and cybersecurity risks and potential conflicts of interest. Regular briefings are provided to the Audit Committee by management regarding the cybersecurity risk landscape and any significant cybersecurity incidents or occurrences suspected as such. The Nominating and Corporate Governance Committee is responsible for overseeing the management of risks associated with our corporate governance structure and the independence of our Board of Directors. Although each committee is responsible for evaluating certain risks and overseeing the management of such risks, the entire Board of Directors is regularly informed through discussions with committee members and regular reports from management about such risks, as well as the actions taken by management to adequately address those risks. The Board does not believe that its role in the oversight of our risks affects the Board’s leadership structure. </w:t>
      </w:r>
    </w:p>
    <w:p>
      <w:pPr>
        <w:pStyle w:val="TextBody"/>
        <w:bidi w:val="0"/>
        <w:spacing w:before="290" w:after="283"/>
        <w:ind w:left="0" w:right="0" w:hanging="0"/>
        <w:jc w:val="left"/>
        <w:rPr>
          <w:rFonts w:ascii="Times New Roman;Times;serif" w:hAnsi="Times New Roman;Times;serif"/>
          <w:b/>
          <w:color w:val="000000"/>
          <w:sz w:val="20"/>
        </w:rPr>
      </w:pPr>
      <w:bookmarkStart w:id="47" w:name="tCE"/>
      <w:bookmarkEnd w:id="47"/>
      <w:r>
        <w:rPr>
          <w:rFonts w:ascii="Times New Roman;Times;serif" w:hAnsi="Times New Roman;Times;serif"/>
          <w:b/>
          <w:color w:val="000000"/>
          <w:sz w:val="20"/>
        </w:rPr>
        <w:t xml:space="preserve">Code of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in the “Governance Overview” section under “Corporate Governance.” In addition, we intend to post on our website all disclosures that are required by law or the rules of Nasdaq concerning any amendments to, or waivers from, any provision of the Code of Business Conduct and Ethics. </w:t>
      </w:r>
    </w:p>
    <w:p>
      <w:pPr>
        <w:pStyle w:val="TextBody"/>
        <w:bidi w:val="0"/>
        <w:spacing w:before="290" w:after="283"/>
        <w:ind w:left="0" w:right="0" w:hanging="0"/>
        <w:jc w:val="left"/>
        <w:rPr>
          <w:rFonts w:ascii="Times New Roman;Times;serif" w:hAnsi="Times New Roman;Times;serif"/>
          <w:b/>
          <w:color w:val="000000"/>
          <w:sz w:val="20"/>
        </w:rPr>
      </w:pPr>
      <w:bookmarkStart w:id="48" w:name="tITP"/>
      <w:bookmarkEnd w:id="48"/>
      <w:r>
        <w:rPr>
          <w:rFonts w:ascii="Times New Roman;Times;serif" w:hAnsi="Times New Roman;Times;serif"/>
          <w:b/>
          <w:color w:val="000000"/>
          <w:sz w:val="20"/>
        </w:rPr>
        <w:t xml:space="preserve">Insider Trading Compliance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an Insider Trading Compliance Policy (the “Insider Trading Policy”), which governs the purchase, sale and other dispositions of the Company’s securities by officers, directors and employees of the Company and its subsidiaries. We believe the Insider Trading Policy is reasonably designed to promote compliance with insider trading laws, rules, and regulations. The Company also follows internal procedures for the repurchase of its securities. A copy of the Insider Trading Policy is attached as Exhibit 19.1 to our Annual Report on Form 10-K for the fiscal year ended December 31, 2024. </w:t>
      </w:r>
    </w:p>
    <w:p>
      <w:pPr>
        <w:pStyle w:val="TextBody"/>
        <w:bidi w:val="0"/>
        <w:spacing w:before="300" w:after="283"/>
        <w:ind w:left="0" w:right="0" w:hanging="0"/>
        <w:jc w:val="left"/>
        <w:rPr>
          <w:rFonts w:ascii="Times New Roman;Times;serif" w:hAnsi="Times New Roman;Times;serif"/>
          <w:b/>
          <w:color w:val="000000"/>
          <w:sz w:val="20"/>
        </w:rPr>
      </w:pPr>
      <w:bookmarkStart w:id="49" w:name="tAHP"/>
      <w:bookmarkEnd w:id="49"/>
      <w:r>
        <w:rPr>
          <w:rFonts w:ascii="Times New Roman;Times;serif" w:hAnsi="Times New Roman;Times;serif"/>
          <w:b/>
          <w:color w:val="000000"/>
          <w:sz w:val="20"/>
        </w:rPr>
        <w:t xml:space="preserve">Anti-Hedging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50" w:name="ny20070768x1_def14a_109-corporate_pg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1" w:name="tAMB"/>
      <w:bookmarkEnd w:id="51"/>
      <w:r>
        <w:rPr>
          <w:rFonts w:ascii="Times New Roman;Times;serif" w:hAnsi="Times New Roman;Times;serif"/>
          <w:b/>
          <w:color w:val="000000"/>
          <w:sz w:val="20"/>
        </w:rPr>
        <w:t xml:space="preserve">Attendance by Members of the Board of Directors at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12 meetings of the Board of Directors during the fiscal year ended December 31, 2025. During the fiscal year ended December 31, 2025, each director attended more than 75% of the aggregate of (i) all meetings of the Board of Directors and (ii) all meetings of the committees on which the director served during the period in which he or she served as a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which are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We do not maintain a formal policy regarding director attendance at our annual meeting of stockholders; however, it is expected that absent compelling circumstances directors will attend. The following members of the Board attended the annual meeting of stockholders held in 2025: Ron Yekutiel, Ronen Faier, Shay David, Richard Levandov, Naama Halevi Davidov and Eyal Manor.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52" w:name="ny20070768x1_def14a_110-board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COB"/>
      <w:bookmarkEnd w:id="53"/>
      <w:r>
        <w:rPr>
          <w:rFonts w:ascii="Times New Roman;Times;serif" w:hAnsi="Times New Roman;Times;serif"/>
          <w:b/>
          <w:color w:val="000000"/>
          <w:sz w:val="20"/>
        </w:rPr>
        <w:t xml:space="preserve">COMMITTEES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established three standing committees - Audit, Compensation and Nominating and Corporate Governance - each of which operates under a written charter that has been approved by our Board.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members of each of the Board committees and committee Chairpersons are set forth in the following chart. </w:t>
      </w:r>
    </w:p>
    <w:tbl>
      <w:tblPr>
        <w:tblW w:w="6935" w:type="dxa"/>
        <w:jc w:val="left"/>
        <w:tblInd w:w="0" w:type="dxa"/>
        <w:tblLayout w:type="fixed"/>
        <w:tblCellMar>
          <w:top w:w="0" w:type="dxa"/>
          <w:left w:w="0" w:type="dxa"/>
          <w:bottom w:w="0" w:type="dxa"/>
          <w:right w:w="0" w:type="dxa"/>
        </w:tblCellMar>
      </w:tblPr>
      <w:tblGrid>
        <w:gridCol w:w="1955"/>
        <w:gridCol w:w="170"/>
        <w:gridCol w:w="170"/>
        <w:gridCol w:w="1040"/>
        <w:gridCol w:w="170"/>
        <w:gridCol w:w="170"/>
        <w:gridCol w:w="1085"/>
        <w:gridCol w:w="170"/>
        <w:gridCol w:w="170"/>
        <w:gridCol w:w="1835"/>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Governance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Chairperson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center"/>
              <w:rPr>
                <w:color w:val="000000"/>
              </w:rPr>
            </w:pPr>
            <w:r>
              <w:rPr>
                <w:color w:val="000000"/>
              </w:rPr>
              <w:t>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Times New Roman;Times;serif" w:hAnsi="Times New Roman;Times;serif"/>
          <w:b/>
          <w:color w:val="000000"/>
          <w:sz w:val="20"/>
        </w:rPr>
      </w:pPr>
      <w:bookmarkStart w:id="54" w:name="tAC"/>
      <w:bookmarkEnd w:id="54"/>
      <w:r>
        <w:rPr>
          <w:rFonts w:ascii="Times New Roman;Times;serif" w:hAnsi="Times New Roman;Times;serif"/>
          <w:b/>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assists the Board’s oversight of the Company’s accounting and financial reporting processes and the audits of the Company’s financial statements. Our Audit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evaluating, compensating, retaining and overseeing the work of our independent auditor and any other registered public accounting firm engaged for the purpose of preparing or issuing an audit report or related work or performing other audit, review or attest services for us; </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with our independent auditor any audit problems or difficulties and management’s response; </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pre-approving all audit and non-audit services provided to us by our independent auditor; </w:t>
            </w:r>
          </w:p>
        </w:tc>
      </w:tr>
    </w:tbl>
    <w:tbl>
      <w:tblPr>
        <w:tblW w:w="9925" w:type="dxa"/>
        <w:jc w:val="left"/>
        <w:tblInd w:w="0" w:type="dxa"/>
        <w:tblLayout w:type="fixed"/>
        <w:tblCellMar>
          <w:top w:w="0" w:type="dxa"/>
          <w:left w:w="0" w:type="dxa"/>
          <w:bottom w:w="0" w:type="dxa"/>
          <w:right w:w="0" w:type="dxa"/>
        </w:tblCellMar>
      </w:tblPr>
      <w:tblGrid>
        <w:gridCol w:w="140"/>
        <w:gridCol w:w="9785"/>
      </w:tblGrid>
      <w:tr>
        <w:trPr/>
        <w:tc>
          <w:tcPr>
            <w:tcW w:w="14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our annual and quarterly financial statements with management and our independent auditor; </w:t>
            </w:r>
          </w:p>
        </w:tc>
      </w:tr>
    </w:tbl>
    <w:tbl>
      <w:tblPr>
        <w:tblW w:w="7735" w:type="dxa"/>
        <w:jc w:val="left"/>
        <w:tblInd w:w="0" w:type="dxa"/>
        <w:tblLayout w:type="fixed"/>
        <w:tblCellMar>
          <w:top w:w="0" w:type="dxa"/>
          <w:left w:w="0" w:type="dxa"/>
          <w:bottom w:w="0" w:type="dxa"/>
          <w:right w:w="0" w:type="dxa"/>
        </w:tblCellMar>
      </w:tblPr>
      <w:tblGrid>
        <w:gridCol w:w="140"/>
        <w:gridCol w:w="7595"/>
      </w:tblGrid>
      <w:tr>
        <w:trPr/>
        <w:tc>
          <w:tcPr>
            <w:tcW w:w="14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and overseeing our policies with respect to risk assessment and risk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ratifying any related person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charter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members of the Audit Committee are Mr. Faier, Dr. Halevi Davidov and Mr. Levandov. Mr. Faier serves as the Chairperson of the committee. Our Board has affirmatively determined that each of Mr. Faier, Dr. Halevi Davidov and Mr. Levandov is independent for purposes of serving on an audit committee under Rule 10A-3 promulgated under the Exchange Act and the Nasdaq Rules, including those related to Audit Committee membership.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Audit Committee meet the requirements for financial literacy under the applicable Nasdaq rules. In addition, our Board of Directors has determined that Dr. Halevi Davidov and Ronen Faier each qualifies as an “audit committee financial expert,” as such term is defined in Item 407(d)(5) of Regulation S-K, and under the similar Nasdaq Rules requirement that the Audit Committee have a financially sophisticated member.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met 7 times in 2025. </w:t>
      </w:r>
    </w:p>
    <w:p>
      <w:pPr>
        <w:pStyle w:val="TextBody"/>
        <w:bidi w:val="0"/>
        <w:spacing w:before="370" w:after="283"/>
        <w:ind w:left="0" w:right="0" w:hanging="0"/>
        <w:jc w:val="left"/>
        <w:rPr>
          <w:rFonts w:ascii="Times New Roman;Times;serif" w:hAnsi="Times New Roman;Times;serif"/>
          <w:b/>
          <w:color w:val="000000"/>
          <w:sz w:val="20"/>
        </w:rPr>
      </w:pPr>
      <w:bookmarkStart w:id="55" w:name="tCC"/>
      <w:bookmarkEnd w:id="55"/>
      <w:r>
        <w:rPr>
          <w:rFonts w:ascii="Times New Roman;Times;serif" w:hAnsi="Times New Roman;Times;serif"/>
          <w:b/>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assisting the Board in the discharge of its responsibilities relating to the compensation of our executive officers. In fulfilling its purpose, our Compensation Committee has the following principal duties: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for approval by our Board of Directors, the compensation of our Chief Executive Officer and our other executive officers; </w:t>
            </w:r>
          </w:p>
        </w:tc>
      </w:tr>
    </w:tbl>
    <w:tbl>
      <w:tblPr>
        <w:tblW w:w="8365" w:type="dxa"/>
        <w:jc w:val="left"/>
        <w:tblInd w:w="0" w:type="dxa"/>
        <w:tblLayout w:type="fixed"/>
        <w:tblCellMar>
          <w:top w:w="0" w:type="dxa"/>
          <w:left w:w="0" w:type="dxa"/>
          <w:bottom w:w="0" w:type="dxa"/>
          <w:right w:w="0" w:type="dxa"/>
        </w:tblCellMar>
      </w:tblPr>
      <w:tblGrid>
        <w:gridCol w:w="140"/>
        <w:gridCol w:w="8225"/>
      </w:tblGrid>
      <w:tr>
        <w:trPr/>
        <w:tc>
          <w:tcPr>
            <w:tcW w:w="14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of Directors regarding director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of Directors regarding our incentive compensation and equity-based plans and arrangements;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56" w:name="ny20070768x1_def14a_110-board_pg2"/>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annually with management our “Compensation Discussion and Analysis,” to the extent required;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working with our Chief Executive Officer to evaluate our succession plans for the Chief Executive Officer and other executive officers; and </w:t>
            </w:r>
          </w:p>
        </w:tc>
      </w:tr>
    </w:tbl>
    <w:tbl>
      <w:tblPr>
        <w:tblW w:w="7525" w:type="dxa"/>
        <w:jc w:val="left"/>
        <w:tblInd w:w="0" w:type="dxa"/>
        <w:tblLayout w:type="fixed"/>
        <w:tblCellMar>
          <w:top w:w="0" w:type="dxa"/>
          <w:left w:w="0" w:type="dxa"/>
          <w:bottom w:w="0" w:type="dxa"/>
          <w:right w:w="0" w:type="dxa"/>
        </w:tblCellMar>
      </w:tblPr>
      <w:tblGrid>
        <w:gridCol w:w="140"/>
        <w:gridCol w:w="7385"/>
      </w:tblGrid>
      <w:tr>
        <w:trPr/>
        <w:tc>
          <w:tcPr>
            <w:tcW w:w="14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annual compensation committee report, to the extent required by SEC rules.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Compensation Committee’s charter, which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Compensation Committee has the authority to retain or obtain the advice of compensation consultants, legal counsel and other advisors to assist in carrying out its responsibilities. In 2025, the Compensation Committee engaged FW Cook, a compensation consulting firm, to assist in making decisions regarding the amount and types of compensation to provide our executive officers and non-employee directors. FW Cook reports directly to the Compensation Committee. The Compensation Committee has considered the adviser independence factors required under SEC and Nasdaq rules as they relate to FW Cook and has determined that FW Cook’s work does not raise a conflict of interest. FW Cook does not perform any other services for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are Mr. Faier, Dr. Halevi Davidov and Mr. Manor. Dr. Halevi Davidov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met 4 times in 2025. </w:t>
      </w:r>
    </w:p>
    <w:p>
      <w:pPr>
        <w:pStyle w:val="TextBody"/>
        <w:bidi w:val="0"/>
        <w:spacing w:before="410" w:after="283"/>
        <w:ind w:left="0" w:right="0" w:hanging="0"/>
        <w:jc w:val="left"/>
        <w:rPr>
          <w:rFonts w:ascii="Times New Roman;Times;serif" w:hAnsi="Times New Roman;Times;serif"/>
          <w:b/>
          <w:color w:val="000000"/>
          <w:sz w:val="20"/>
        </w:rPr>
      </w:pPr>
      <w:bookmarkStart w:id="57" w:name="tNCG"/>
      <w:bookmarkEnd w:id="57"/>
      <w:r>
        <w:rPr>
          <w:rFonts w:ascii="Times New Roman;Times;serif" w:hAnsi="Times New Roman;Times;serif"/>
          <w:b/>
          <w:color w:val="000000"/>
          <w:sz w:val="20"/>
        </w:rPr>
        <w:t xml:space="preserve">Nominating and Corporate Governance Committee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Committee’s responsibilities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our Board of Directors, consistent with criteria approved by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of Directors the nominees for election to our Board of Directors at annual meetings of our stockholders and the persons to be elected by the Board to fill any vacancies on the Board; </w:t>
            </w:r>
          </w:p>
        </w:tc>
      </w:tr>
    </w:tbl>
    <w:tbl>
      <w:tblPr>
        <w:tblW w:w="9280" w:type="dxa"/>
        <w:jc w:val="left"/>
        <w:tblInd w:w="0" w:type="dxa"/>
        <w:tblLayout w:type="fixed"/>
        <w:tblCellMar>
          <w:top w:w="0" w:type="dxa"/>
          <w:left w:w="0" w:type="dxa"/>
          <w:bottom w:w="0" w:type="dxa"/>
          <w:right w:w="0" w:type="dxa"/>
        </w:tblCellMar>
      </w:tblPr>
      <w:tblGrid>
        <w:gridCol w:w="140"/>
        <w:gridCol w:w="9140"/>
      </w:tblGrid>
      <w:tr>
        <w:trPr/>
        <w:tc>
          <w:tcPr>
            <w:tcW w:w="14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the Board of Directors the directors to be appointed to each standing committee of the Board; </w:t>
            </w:r>
          </w:p>
        </w:tc>
      </w:tr>
    </w:tbl>
    <w:tbl>
      <w:tblPr>
        <w:tblW w:w="4780" w:type="dxa"/>
        <w:jc w:val="left"/>
        <w:tblInd w:w="0" w:type="dxa"/>
        <w:tblLayout w:type="fixed"/>
        <w:tblCellMar>
          <w:top w:w="0" w:type="dxa"/>
          <w:left w:w="0" w:type="dxa"/>
          <w:bottom w:w="0" w:type="dxa"/>
          <w:right w:w="0" w:type="dxa"/>
        </w:tblCellMar>
      </w:tblPr>
      <w:tblGrid>
        <w:gridCol w:w="140"/>
        <w:gridCol w:w="4640"/>
      </w:tblGrid>
      <w:tr>
        <w:trPr/>
        <w:tc>
          <w:tcPr>
            <w:tcW w:w="14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reviewing the Board’s leadership structure; </w:t>
            </w:r>
          </w:p>
        </w:tc>
      </w:tr>
    </w:tbl>
    <w:tbl>
      <w:tblPr>
        <w:tblW w:w="5890" w:type="dxa"/>
        <w:jc w:val="left"/>
        <w:tblInd w:w="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periodic self-evaluation of our Board of Directors; and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of Directors a set of corporate governance guidelines.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charter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members of our Nominating and Corporate Governance Committee are Mr. Levandov, Mr. Faier and Mr. Manor. Mr. Faier serves as the Chairperson of the Nominating and Corporate Governance Committee. The Nominating and Corporate Governance Committee has the authority to consult with outside advisors or retain search firms to assist in the search for qualified candidates, or consider director candidates recommended by our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3 times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58" w:name="ny20070768x1_def14a_111-compensation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EC"/>
      <w:bookmarkEnd w:id="59"/>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discusses the material components of the executive compensation program for our executive officers who are named in the “2025 Summary Compensation Table” below. In 2025, our “named executive officers” and their positions were as follows: </w:t>
      </w:r>
    </w:p>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Ron Yekutiel, Chairman, Chief Executive Officer, President and Director; </w:t>
            </w:r>
          </w:p>
        </w:tc>
      </w:tr>
    </w:tbl>
    <w:tbl>
      <w:tblPr>
        <w:tblW w:w="5920" w:type="dxa"/>
        <w:jc w:val="left"/>
        <w:tblInd w:w="0" w:type="dxa"/>
        <w:tblLayout w:type="fixed"/>
        <w:tblCellMar>
          <w:top w:w="0" w:type="dxa"/>
          <w:left w:w="0" w:type="dxa"/>
          <w:bottom w:w="0" w:type="dxa"/>
          <w:right w:w="0" w:type="dxa"/>
        </w:tblCellMar>
      </w:tblPr>
      <w:tblGrid>
        <w:gridCol w:w="140"/>
        <w:gridCol w:w="5780"/>
      </w:tblGrid>
      <w:tr>
        <w:trPr/>
        <w:tc>
          <w:tcPr>
            <w:tcW w:w="14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Eynav Azaria, Chief Product, Engineering and Marketing Officer; and </w:t>
            </w:r>
          </w:p>
        </w:tc>
      </w:tr>
    </w:tbl>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Natan Israeli, Chief Customer and Commercial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 </w:t>
      </w:r>
    </w:p>
    <w:p>
      <w:pPr>
        <w:pStyle w:val="TextBody"/>
        <w:bidi w:val="0"/>
        <w:spacing w:before="280" w:after="283"/>
        <w:ind w:left="0" w:right="0" w:hanging="0"/>
        <w:jc w:val="left"/>
        <w:rPr>
          <w:rFonts w:ascii="Times New Roman;Times;serif" w:hAnsi="Times New Roman;Times;serif"/>
          <w:b/>
          <w:color w:val="000000"/>
          <w:sz w:val="20"/>
        </w:rPr>
      </w:pPr>
      <w:bookmarkStart w:id="60" w:name="tSCT"/>
      <w:bookmarkEnd w:id="60"/>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all of the compensation awarded to, earned by or paid to our named executive officers for the years ended December 31, 2024 and December 31, 2025. </w:t>
      </w:r>
    </w:p>
    <w:tbl>
      <w:tblPr>
        <w:tblW w:w="10205" w:type="dxa"/>
        <w:jc w:val="left"/>
        <w:tblInd w:w="0" w:type="dxa"/>
        <w:tblLayout w:type="fixed"/>
        <w:tblCellMar>
          <w:top w:w="0" w:type="dxa"/>
          <w:left w:w="0" w:type="dxa"/>
          <w:bottom w:w="0" w:type="dxa"/>
          <w:right w:w="0" w:type="dxa"/>
        </w:tblCellMar>
      </w:tblPr>
      <w:tblGrid>
        <w:gridCol w:w="2960"/>
        <w:gridCol w:w="170"/>
        <w:gridCol w:w="170"/>
        <w:gridCol w:w="470"/>
        <w:gridCol w:w="170"/>
        <w:gridCol w:w="170"/>
        <w:gridCol w:w="725"/>
        <w:gridCol w:w="170"/>
        <w:gridCol w:w="170"/>
        <w:gridCol w:w="875"/>
        <w:gridCol w:w="170"/>
        <w:gridCol w:w="170"/>
        <w:gridCol w:w="1107"/>
        <w:gridCol w:w="170"/>
        <w:gridCol w:w="170"/>
        <w:gridCol w:w="1085"/>
        <w:gridCol w:w="170"/>
        <w:gridCol w:w="170"/>
        <w:gridCol w:w="943"/>
      </w:tblGrid>
      <w:tr>
        <w:trPr/>
        <w:tc>
          <w:tcPr>
            <w:tcW w:w="29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0"/>
              <w:jc w:val="left"/>
              <w:rPr/>
            </w:pPr>
            <w:r>
              <w:rPr/>
              <w:t> </w:t>
            </w:r>
          </w:p>
        </w:tc>
      </w:tr>
      <w:tr>
        <w:trPr/>
        <w:tc>
          <w:tcPr>
            <w:tcW w:w="296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9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Ron Yekutiel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Chairman, President, Chief Executive Officer and Director</w:t>
            </w:r>
            <w:r>
              <w:rPr>
                <w:rFonts w:ascii="Times New Roman;Times;serif" w:hAnsi="Times New Roman;Times;serif"/>
                <w:color w:val="000000"/>
                <w:sz w:val="20"/>
              </w:rPr>
              <w:t xml:space="preserve">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552,985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5,431,579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353,471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74,720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6,412,754 </w:t>
            </w:r>
          </w:p>
        </w:tc>
      </w:tr>
      <w:tr>
        <w:trPr/>
        <w:tc>
          <w:tcPr>
            <w:tcW w:w="29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4,638,720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82,684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5,232,055 </w:t>
            </w:r>
          </w:p>
        </w:tc>
      </w:tr>
      <w:tr>
        <w:trPr/>
        <w:tc>
          <w:tcPr>
            <w:tcW w:w="296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Chief Product, Engineering, and Marketing Officer</w:t>
            </w:r>
            <w:r>
              <w:rPr>
                <w:rFonts w:ascii="Times New Roman;Times;serif" w:hAnsi="Times New Roman;Times;serif"/>
                <w:color w:val="000000"/>
                <w:sz w:val="20"/>
              </w:rPr>
              <w:t xml:space="preserv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320,804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1,561,579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168" w:right="0" w:hanging="0"/>
              <w:jc w:val="left"/>
              <w:rPr>
                <w:color w:val="000000"/>
              </w:rPr>
            </w:pPr>
            <w:r>
              <w:rPr>
                <w:color w:val="000000"/>
              </w:rPr>
              <w:t>​</w:t>
            </w:r>
            <w:r>
              <w:rPr>
                <w:rFonts w:ascii="Times New Roman;Times;serif" w:hAnsi="Times New Roman;Times;serif"/>
                <w:color w:val="000000"/>
                <w:sz w:val="20"/>
              </w:rPr>
              <w:t>163,768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91,021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2,137,172 </w:t>
            </w:r>
          </w:p>
        </w:tc>
      </w:tr>
      <w:tr>
        <w:trPr/>
        <w:tc>
          <w:tcPr>
            <w:tcW w:w="29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1,419,400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24,700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84,130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1,827,083 </w:t>
            </w:r>
          </w:p>
        </w:tc>
      </w:tr>
      <w:tr>
        <w:trPr/>
        <w:tc>
          <w:tcPr>
            <w:tcW w:w="29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Chief Customer and Commercial Officer</w:t>
            </w:r>
            <w:r>
              <w:rPr>
                <w:rFonts w:ascii="Times New Roman;Times;serif" w:hAnsi="Times New Roman;Times;serif"/>
                <w:color w:val="000000"/>
                <w:sz w:val="20"/>
              </w:rPr>
              <w:t xml:space="preserve">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320,368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1,561,579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163,037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90,589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2,135,573 </w:t>
            </w:r>
          </w:p>
        </w:tc>
      </w:tr>
      <w:tr>
        <w:trPr/>
        <w:tc>
          <w:tcPr>
            <w:tcW w:w="29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298,447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1,419,400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24,700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83,156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1,825,703</w:t>
            </w:r>
          </w:p>
        </w:tc>
      </w:tr>
      <w:tr>
        <w:trPr/>
        <w:tc>
          <w:tcPr>
            <w:tcW w:w="29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3"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2025, compensation amounts received in non-U.S. currency have been converted into U.S. dollars using an exchange rate of 0.29 U.S. dollar per NIS (which was the average exchange rate for 2025). For 2024, compensation amounts received in non-U.S. currency have been converted into U.S. dollars using an exchange rate of 0.27 U.S. dollar per NIS (which was the average exchange rate for 2024).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also reflect the base fees paid and bonuses earned pursuant to Mr. Yekutiel’s U.S. Consulting Agreement and U.K. Consulting Agreement (each as defined below).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2025 and 2024 computed (including the portion of the annual performance bonus for 2024 granted in the form of restricted stock units) in accordance with ASC Topic 718, rather than the amounts paid to or realized by the named individual. We provide information regarding the assumptions used to calculate the value of all stock made to executive officers in 2025 in Note 16 included in the Company’s Annual Report on Form 10-K for the year ended December 31, 2025, filed with the SEC on March 16, 2026.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cash amounts earned by the executives under their respective employment agreements (and consulting agreements for Mr. Yekutiel) pursuant to the Company’s annual performance bonus program for the 2025 fiscal year. For additional information on these payments, see “2025 Bonuses” below.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2025, amounts reflect: for Mr. Yekutiel, (i) a $18,135 contribution by the Company for an Israeli education fund, (ii) a contribution of $2,902 for an Israeli disability fund, (iii) a meal allowance of $3,138, (iv) a contribution of $35,860 to Israeli pension and Severance funds, (v) a contribution of $972 by the Company as recuperation pay, and (vi) a contribution of $12,624 by the Company to the Israeli National Insurance; for Mr. Israeli, (i) a contribution by the Company for an Israeli education fund of $24,028, (ii) a contribution of $3,844 for an Israeli disability fund, (iii) a meal allowance of $3,138 , (iv) a contribution of $43,666 to an Israeli pension and Severance funds, (v) a contribution of $729 by the Company as recuperation pay, and (vi) a contribution of $12,624 by the Company to the Israeli National Insurance; and for Mr. Azaria, (i) a contribution of $24,060 by the Company for an Israeli education fund, (ii) a contribution of $5,321 to an Israeli disability fund, (iii) a meal allowance of 3,138, (iv) a contribution of $44,134 to an Israeli pension and Severance funds, (v) a contribution of $850 by the Company as recuperation pay, and (vi) a contribution of $12,624 by the Company to the Israeli National Insurance.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61" w:name="ny20070768x1_def14a_111-compensation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2" w:name="tNSC"/>
      <w:bookmarkEnd w:id="62"/>
      <w:r>
        <w:rPr>
          <w:rFonts w:ascii="Times New Roman;Times;serif" w:hAnsi="Times New Roman;Times;serif"/>
          <w:b/>
          <w:color w:val="000000"/>
          <w:sz w:val="20"/>
        </w:rPr>
        <w:t xml:space="preserve">Narrative to Summary Compensation Table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employment agreement. The actual salaries paid to each named executive officer for 2025 are set forth above in the Summary Compensation Table in the column entitled “Salary.” In 2025, Mr. Yekutiel, Mr. Azaria and Mr. Israeli received monthly base salaries of NIS 76,825, NIS 92,000 and NIS 91,875, respectively, and Mr. Yekutiel received monthly base fees under his U.S. Consulting Agreement and his U.K. Consulting Agreement (each as defined below) of $9,503 and $14,255, respectively.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Bonuses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2025, we maintained an incentive compensation program, the 2025 Executive Compensation Plan in which certain of our employees, including our named executive officers, are eligible to receive bonuses based on predetermined Company and individual performance goals (the “2025 MBO”). Such awards are designed to incentivize our named executive officers with a variable level of compensation that is based on performance measures established by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an increase in annual compensation for Mr. Yekutiel effective January 1, 2025, and pursuant to and under the 2025 MBO, Mr. Yekutiel, Mr. Azaria and Mr. Israeli were eligible to receive annual bonuses of NIS 864,875, NIS 828,800 and NIS 825,100, respectively, as well as additional bonuses based on “stretch” performance targets of up to NIS 235,875, NIS 310,800 and NIS 310,800, respectively. As a result, Mr. Yekutiel, Mr. Azaria and Mr. Israeli had aggregate bonus opportunities under their respective employment agreements of NIS 1,100,750, NIS 1,139,600 and NIS 1,135,900, respectively. In addition, pursuant to an increase in annual compensation effective January 1, 2025, Mr. Yekutiel was eligible to earn an annual bonus of $42,500 and an additional bonus based on “stretch” performance targets of up to $63,750 pursuant to his U.S. Consulting Agreement, as well as an annual bonus of $233,750 and an additional bonus based on “stretch” performance targets of up to $63,750 pursuant to his U.K. Consulting Agreement (as defined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2025, the 2025 MBO performance targets were tied to predetermined levels of (i) company recurring revenue and total revenue, (ii) adjusted EBITDA, (iii) net new annual recurring revenue addition, and (iv) certain personal objectives and key results defined for each named executive officer, with each goal weighted equally (each, 25%). For purposes of the 2025 MBO performance targets, “adjusted EBITDA” is defined as net profit (loss) before interest expense, provision for income taxes, and depreciation and amortization expenses, adjusted for the impact of certain non-cash and other items that we believe are not indicative of our core operating performance, such as non-cash stock-based compensation expenses, restructuring charges, facility exit and transition costs, war related costs, Strategic initiatives expenses and Acquisition related expenses; and “net new annual recurring revenue addition” is defined as new recurring revenue booking minus recurring revenue churn.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achievement of approximately 68% of such Company and individual financial and operational metrics for Mr. Yekutiel, Mr. Azaria and Mr. Israeli, respectively, our Compensation Committee awarded Mr. Yekutiel, Mr. Azaria and Mr. Israeli 2025 MBO bonuses pursuant to their respective employment agreements equal to an aggregate of NIS 579,466, NIS 563,584 and NIS 561,068, respectively. In addition, Mr. Yekutiel earned aggregate bonuses of $28,475 pursuant to his U.S. Consulting Agreement and $156,613 pursuant to his U.K. Consulting Agreement based of the achievement of the applicable performance targets for the 2025 MBO, which amounts are included in the aggregate sum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applicable performance achievement of less than 100% of target, the executives each did not receive an additional stretch cash bonus for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actual bonuses earned by each named executive officer for 2025 are set forth above in the Summary Compensation Table in the column entitled “Non-Equity Incentive Plan Compensation.”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2021 Incentive Award Plan, referred to as the 2021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63" w:name="ny20070768x1_def14a_111-compensation_pg3"/>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maintain the 2007 Stock Option Plan and the 2007 Israeli Share Option Plan, collectively referred to as the 2007 Plans and the 2017 Equity Incentive Plan, referred to as the 2017 Plan. We have granted stock options to our eligible service providers under the 2007 Plans and 2017 Plan. The 2007 Plans and the 2017 Plan were frozen as to new grants upon the effectiveness of the 2021 Plan. Any unvested shares underlying stock options granted pursuant to the 2007 Plans and the 2017 Plan remain outstanding and continue to vest in accordance with their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the Yekutiel Employment Agreement (as defined below), Mr. Yekutiel’s U.S. Consulting Agreement, Mr. Yekutiel’s U.K. Consulting Agreement, the Azaria Employment Agreement (as defined below) and the Israeli Employment Agreement (as defined below), on January 6, 2025, we granted 2,105,263, 605,263 and 605,263 restricted stock units under the 2021 Plan to Messrs. Yekutiel, Azaria and Israeli, respectively, pursuant to our standard form of award agreement for restricted stock unit awards to Israeli grantees. In the event of a termination of service of any executive without Cause or by the executive for Good Reason (each as defined in the applicable award agreement) during the twelve (12) month period immediately following a Change in Control (as defined in the 2021 Plan), the unvested restricted stock units held by such executive will become vested in full on the date of such termination.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Grant Timing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time equity awards in coordination with the release of material non-public information or take into account material non-public information when determining the terms of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Elements of Compensation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Retirement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Israeli employees, including our named executive officers, are eligible to receive retirement benefits under the provident fund in Israel.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Additionally, on June 27, 2025, our Compensation Committee of the Board of Directors has established the Kaltura, Inc. Severance Plan (the “Severance Plan”), effective as of June 27, 2025. The purpose of the Severance Plan was to promote the interests of the Company and its equityholders by retaining certain executive-level employees, including our named executive officers, through the provision of severance protections to such employees in the event their employment is terminated under the circumstances described in such Severance Plan.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Severance Plan, in the event of a participating executive’s termination of employment by the Company without “cause” (as defined in such executive’s individual employment agreement) or resignation by the executive for “good reason” (as defined in such executive’s award agreements under the 2021 Plan (each, a “Qualifying Termination”), the executive will be eligible to receive the following payments and benefits, as applicable: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notice period of two months (four months for Mr. Yekutiel), during which the executive continues to receive regular compensation and benefits and will be available for reasonable transition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Continued payment of the executive’s base salary and applicable allowances for six months (or 12 months for Mr. Yekutiel) following the Qualifying Termination.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An annual cash performance bonus for the year in which such Qualifying Termination occurs, prorated based on the number of days elapsed prior to such Qualifying Termination, determined based on actual performance achievement and payable at the same time annual bonuses are paid by the Company in the ordinary course.</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Healthcare continuation coverage under the Company’s group health insurance plans pursuant to COBRA or an equivalent coverage outside of the United States (to the extent the Company generally provides health benefits in excess of statutory government-provided health insurance) for the executive and his or her covered dependents for six months (or 12 months for Mr. Yekutiel).</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outstanding Company equity award held by the executive as of the date of the Qualifying Termination will be treated in accordance with the terms and conditions of the 2021 Plan or another applicable Company equity plan and award agreement governing such Company equity award, including continued vesting during the applicable notice period.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64" w:name="ny20070768x1_def14a_111-compensation_pg4"/>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event of the executive’s Qualifying Termination during the 12-month period following the consummation of a “change in control” of the Company (as defined in the 2021 Plan) (a “Qualifying CIC Termination”), the executive will be eligible to receive the following payments and benefits (in lieu of the payments and benefits described above):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notice period of four months (six months for Mr. Yekutiel), during which the executive continues to receive regular compensation and benefits, unless the Company elects to make a payment in lieu of such notice.</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An amount equal to eight months (or 18 months for Mr. Yekutiel) of executive’s base salary, payable in a lump sum.</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Mr. Yekutiel only, an amount equal to 150% of Mr. Yekutiel’s target annual cash performance bonus for the Company fiscal year in which such Qualifying CIC Termination occurs, payable in a lump sum.</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An annual cash performance bonus for the year in which such Qualifying CIC Termination occurs, determined based on target performance and prorated based on the number of days elapsed prior to such Qualifying CIC Termination.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Healthcare continuation coverage under the Company’s group health insurance plans pursuant to COBRA (or an equivalent coverage outside of the United States, to the extent the Company generally provides health benefits in excess of statutory government-provided health insurance) for the executive and his or her covered dependents for eight months (or 18 months for Mr. Yekutiel).</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Full accelerated vesting of outstanding and unvested Company equity awards, with any performance goals applicable to such equity awards deemed achieved at target performance.</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executive’s right to receive the applicable severance payments and benefits is subject to his or her execution, delivery and non-revocation of a general release of claims in favor of the Company and its affiliates. Additionally, if any payments under the Severance Plan, together with any other amounts paid to the executive, would subject the Executive to an excise tax under Section 4999 of the Internal Revenue Code, such payments will be reduced to the extent that such reduction would produce a better net after-tax result for the executive.</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and Perquisites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Health/Welfare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benefits available to our Israel-based employees are available to all employees on the same basis, which benefits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the benefits and perquisites described above are necessary and appropriate to provide a competitive compensation package to our named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65" w:name="ny20070768x1_def14a_111-compensation_pg5"/>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instituted a clawback policy in accordance with the SEC and Nasdaq’s final rules implementing the incentive-based compensation recovery provisions of the Dodd-Frank Wall Street Reform and Consumer Protection Act, effective October 2, 2023 to support a culture of focused, diligent and responsible management that discourages conduct detrimental to our growth.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Gross-Ups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Yekutiel, Mr. Israeli and Mr, Azaria received a tax gross-up of $1,088, $1,872 and $893, respectively, associated with holidays gifts granted to all the Company's employees under the Company's relevant policies, of nominal value. We did not make any other gross-up payments to cover our named executive officers’ personal income taxes that may pertain to any of the compensation or perquisites paid or provided by our company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66" w:name="ny20070768x1_def14a_111-compensation_pg6"/>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7" w:name="tOEA"/>
      <w:bookmarkEnd w:id="67"/>
      <w:r>
        <w:rPr>
          <w:rFonts w:ascii="Times New Roman;Times;serif" w:hAnsi="Times New Roman;Times;serif"/>
          <w:b/>
          <w:color w:val="000000"/>
          <w:sz w:val="20"/>
        </w:rPr>
        <w:t xml:space="preserve">Outstanding Equity Awards at Fiscal Year-End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information regarding outstanding equity awards held by our named executive officers as of December 31, 2025. </w:t>
      </w:r>
    </w:p>
    <w:tbl>
      <w:tblPr>
        <w:tblW w:w="11960" w:type="dxa"/>
        <w:jc w:val="left"/>
        <w:tblInd w:w="0" w:type="dxa"/>
        <w:tblLayout w:type="fixed"/>
        <w:tblCellMar>
          <w:top w:w="0" w:type="dxa"/>
          <w:left w:w="0" w:type="dxa"/>
          <w:bottom w:w="0" w:type="dxa"/>
          <w:right w:w="0" w:type="dxa"/>
        </w:tblCellMar>
      </w:tblPr>
      <w:tblGrid>
        <w:gridCol w:w="650"/>
        <w:gridCol w:w="170"/>
        <w:gridCol w:w="170"/>
        <w:gridCol w:w="500"/>
        <w:gridCol w:w="170"/>
        <w:gridCol w:w="170"/>
        <w:gridCol w:w="920"/>
        <w:gridCol w:w="170"/>
        <w:gridCol w:w="170"/>
        <w:gridCol w:w="1055"/>
        <w:gridCol w:w="170"/>
        <w:gridCol w:w="170"/>
        <w:gridCol w:w="920"/>
        <w:gridCol w:w="170"/>
        <w:gridCol w:w="170"/>
        <w:gridCol w:w="650"/>
        <w:gridCol w:w="170"/>
        <w:gridCol w:w="170"/>
        <w:gridCol w:w="830"/>
        <w:gridCol w:w="170"/>
        <w:gridCol w:w="170"/>
        <w:gridCol w:w="770"/>
        <w:gridCol w:w="170"/>
        <w:gridCol w:w="170"/>
        <w:gridCol w:w="770"/>
        <w:gridCol w:w="170"/>
        <w:gridCol w:w="170"/>
        <w:gridCol w:w="725"/>
        <w:gridCol w:w="170"/>
        <w:gridCol w:w="170"/>
        <w:gridCol w:w="770"/>
      </w:tblGrid>
      <w:tr>
        <w:trPr/>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55" w:type="dxa"/>
            <w:gridSpan w:val="10"/>
            <w:tcBorders/>
            <w:vAlign w:val="center"/>
          </w:tcPr>
          <w:p>
            <w:pPr>
              <w:pStyle w:val="TableContents"/>
              <w:bidi w:val="0"/>
              <w:spacing w:before="0" w:after="0"/>
              <w:jc w:val="left"/>
              <w:rPr/>
            </w:pPr>
            <w:r>
              <w:rPr/>
              <w:t> </w:t>
            </w:r>
          </w:p>
        </w:tc>
      </w:tr>
      <w:tr>
        <w:trPr/>
        <w:tc>
          <w:tcPr>
            <w:tcW w:w="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55" w:type="dxa"/>
            <w:gridSpan w:val="10"/>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(7)</w:t>
            </w:r>
            <w:r>
              <w:rPr>
                <w:rFonts w:ascii="Times New Roman;Times;serif" w:hAnsi="Times New Roman;Times;serif"/>
                <w:b/>
                <w:color w:val="000000"/>
                <w:sz w:val="16"/>
              </w:rPr>
              <w:t xml:space="preserve"> </w:t>
            </w:r>
          </w:p>
        </w:tc>
      </w:tr>
      <w:tr>
        <w:trPr/>
        <w:tc>
          <w:tcPr>
            <w:tcW w:w="65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65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Ron Yekutiel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8/14/2018</w:t>
            </w:r>
            <w:r>
              <w:rPr>
                <w:rFonts w:ascii="Times New Roman;Times;serif" w:hAnsi="Times New Roman;Times;serif"/>
                <w:color w:val="000000"/>
                <w:position w:val="5"/>
                <w:sz w:val="13"/>
                <w:sz w:val="16"/>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459,000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8/14/28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8/14/2018</w:t>
            </w:r>
            <w:r>
              <w:rPr>
                <w:rFonts w:ascii="Times New Roman;Times;serif" w:hAnsi="Times New Roman;Times;serif"/>
                <w:color w:val="000000"/>
                <w:position w:val="5"/>
                <w:sz w:val="13"/>
                <w:sz w:val="16"/>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760,500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8/14/28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12/24/2020</w:t>
            </w:r>
            <w:r>
              <w:rPr>
                <w:rFonts w:ascii="Times New Roman;Times;serif" w:hAnsi="Times New Roman;Times;serif"/>
                <w:color w:val="000000"/>
                <w:position w:val="5"/>
                <w:sz w:val="13"/>
                <w:sz w:val="16"/>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3,150,000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12/08/2021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411,168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12/08/31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2/14/2024</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915,336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1,510,151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1/6/2025</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1,578,949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2,589,476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w:t>
            </w:r>
          </w:p>
        </w:tc>
      </w:tr>
      <w:tr>
        <w:trPr/>
        <w:tc>
          <w:tcPr>
            <w:tcW w:w="65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Natan Israeli</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w:t>
            </w:r>
            <w:r>
              <w:rPr>
                <w:rFonts w:ascii="Times New Roman;Times;serif" w:hAnsi="Times New Roman;Times;serif"/>
                <w:color w:val="000000"/>
                <w:position w:val="5"/>
                <w:sz w:val="13"/>
                <w:sz w:val="16"/>
              </w:rPr>
              <w:t>(2)</w:t>
            </w:r>
            <w:r>
              <w:rPr>
                <w:rFonts w:ascii="Times New Roman;Times;serif" w:hAnsi="Times New Roman;Times;serif"/>
                <w:color w:val="000000"/>
                <w:sz w:val="16"/>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57,778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2/5/23</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37,994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419,840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1/6/2025</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453,949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744,476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2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Eynav Azaria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w:t>
            </w:r>
            <w:r>
              <w:rPr>
                <w:rFonts w:ascii="Times New Roman;Times;serif" w:hAnsi="Times New Roman;Times;serif"/>
                <w:color w:val="000000"/>
                <w:position w:val="5"/>
                <w:sz w:val="13"/>
                <w:sz w:val="16"/>
              </w:rPr>
              <w:t>(2)</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12/8/21</w:t>
            </w:r>
            <w:r>
              <w:rPr>
                <w:rFonts w:ascii="Times New Roman;Times;serif" w:hAnsi="Times New Roman;Time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86,292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2/5/23</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74,448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419,840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24"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1/6/2025</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453,949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744,476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24" w:right="0" w:hanging="0"/>
              <w:jc w:val="left"/>
              <w:rPr>
                <w:color w:val="000000"/>
              </w:rPr>
            </w:pPr>
            <w:r>
              <w:rPr>
                <w:color w:val="000000"/>
              </w:rPr>
              <w:t>​</w:t>
            </w:r>
          </w:p>
        </w:tc>
      </w:tr>
      <w:tr>
        <w:trPr/>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One-third of the options vest upon the first anniversary of the grant date, with the remaining two-thirds vesting in ratable monthly installments over the following two-year period such that the award is fully vested three years after the vesting commencement date of July 1, 2018, subject to the executive’s continued service through the applicable vesting dates. These options are fully vested.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options vest in twelve quarterly installments such that the award is fully vested three years after the vesting commencement date of April 1, 2021, subject to the executive’s continued service through the applicable vesting dates. These options are fully vested.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options vest in quarterly installments over a three-year period with the first quarterly vesting date on March 1, 2022, subject to continued employment through each vesting date. These options are fully vested.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restricted stock units vest in quarterly installments over a three-year period with the first quarterly vesting date on March 1, 2024, subject to continued employment through the vesting date. These RSUs are fully vested.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restricted stock units vest in quarterly installments over a three-year period with the first quarterly vesting date on April 1, 2025, subject to continued employment through the vesting date. These RSUs are fully vested.</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restricted stock units vest in quarterly installments over a three-year period with the first quarterly vesting date on April 1, 2023, subject to continued employment through the vesting date.</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4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represent the value of unvested stock awards as of December 31, 2025, based on the closing price of our stock on that date of $1.64. </w:t>
            </w:r>
          </w:p>
        </w:tc>
      </w:tr>
    </w:tbl>
    <w:p>
      <w:pPr>
        <w:pStyle w:val="TextBody"/>
        <w:bidi w:val="0"/>
        <w:spacing w:before="270" w:after="283"/>
        <w:ind w:left="0" w:right="0" w:hanging="0"/>
        <w:jc w:val="left"/>
        <w:rPr>
          <w:rFonts w:ascii="Times New Roman;Times;serif" w:hAnsi="Times New Roman;Times;serif"/>
          <w:b/>
          <w:color w:val="000000"/>
          <w:sz w:val="20"/>
        </w:rPr>
      </w:pPr>
      <w:bookmarkStart w:id="68" w:name="tECA"/>
      <w:bookmarkEnd w:id="68"/>
      <w:r>
        <w:rPr>
          <w:rFonts w:ascii="Times New Roman;Times;serif" w:hAnsi="Times New Roman;Times;serif"/>
          <w:b/>
          <w:color w:val="000000"/>
          <w:sz w:val="20"/>
        </w:rPr>
        <w:t xml:space="preserve">Executive Compensation Arrangements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 Yekutiel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 2012, Kaltura Ltd. entered into an employment agreement with Mr. Yekutiel, which was subsequently amended on November 4, 2018, December 30, 2019, March 4, 2021, March 30, 2022, February 23,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9" w:name="ny20070768x1_def14a_111-compensation_pg7"/>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February 20, 2024 and February 19, 2025 (the “Yekutiel Employment Agreement”), providing for his employment as Chief Executive Officer of the Company. Mr. Yekutiel’s employment with the Company is at-will. Under the Severance Plan, the Company may decide to terminate Mr. Yekutiel’s employment at any time with a Standard Notice Period of 4 months or a CIC Notice Period of 6 months, as applicable, as such terms are defined in the Severance Plan. During those notice periods, the Company must pay Mr. Yekutiel an amount equal to his annual base salary and such other amounts as set forth in the Severance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Yekutiel Employment Agreement provides that Mr. Yekutiel is entitled to a gross monthly salary of NIS 76,825 and is eligible to earn an annual bonus under the 2025 MBO of up to NIS 864,875 and an additional annual stretch performance bonus of up to NIS 235,875, based on the achievement of certain goals and objectives defined by the Company (the “Yekutiel MBO Bonus”).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Yekutiel Employment Agreement further provides that in calendar year 2025, Mr. Yekutiel is entitled to receive 2,105,263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Yekutiel Employment Agreement by the executive.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Consulting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 2006, we entered into the U.S. Consulting Agreement with Mr. Yekutiel, as was subsequently amended effective January 1, 2018, January 1, 2020, January 1, 2021, January 1, 2022, February 23, 2023, February 20, 2024 and February 19, 2025, pursuant to the which Mr. Yekutiel will render services as Chairman of the Board of Directors of the Company. Pursuant to the terms of the U.S. Consulting Agreement, Mr. Yekutiel is entitled to a monthly fee for his services of $9,503 and eligible to receive the Yekutiel MBO Bonus as described below. The U.S. Consulting Agreement provides that Mr. Yekutiel will be subject to a perpetual confidentiality covenant. With respect to the 2025 MBO, under the February 19, 2025 amendment to the U.S. Consulting Agreement Mr. Yekutiel is eligible to earn an annual bonus under the 2025 MBO of up to $42,500 and an additional annual stretch performance bonus of up to $63,750, based on the achievement of certain goals and objectives defined by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May 1, 2014, we entered into the U.K. Consulting Agreement with Mr. Yekutiel, as was subsequently amended effective January 1, 2018, January 1, 2020, January 1, 2021, January 1, 2022, February 23, 2023, February 20, 2024 and February 19, 2025. Pursuant to the U.K. Consulting Agreement, Mr. Yekutiel is entitled to a monthly fee for his services of $14,255 and eligible to receive the Yekutiel MBO Bonus as described below.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70" w:name="ny20070768x1_def14a_111-compensation_pg8"/>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to the 2025 MBO, under the February 19, 2025 amendment to the U.K. Consulting Agreement Mr. Yekutiel is eligible to earn an annual bonus under the 2025 MBO of up to $233,750 and an additional annual stretch performance bonus of up to $63,750, based on the achievement of certain goals and objectives defined by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Eynav Azaria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22, 2020, Kaltura Ltd. entered into an employment agreement with Mr. Azaria, which was subsequently amended on March 4, 2021, March 30, 2022, February 23, 2023, February 20, 2024 and February 19, 2025 (the “Azaria Employment Agreement”), providing for his employment as an Executive Officer of the Company. Mr. Azaria’s employment with the Company is at-will. Under the Severance Plan, the Company or Mr. Azara may decide to terminate Mr. Azaria’s employment at any time with a Standard Notice Period of 2 months or CIC Notice Period of 4 months, as applicable, as such terms are defined in the Severance Plan. During those notice periods, the Company must pay Mr. Azaria an amount equal to his annual base salary and such other amounts as set forth in the Severance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Azaria Employment Agreement provides that Mr. Azaria is entitled to a gross monthly salary of NIS 80,000 and is eligible to earn an annual bonus under the 2025 MBO of up to NIS 828,800 and an additional annual stretch performance bonus of up to NIS 310,800, based on the achievement of certain goals and objectives defined by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Azaria Employment Agreement further provides that in calendar year 2025, Mr. Azaria is entitled to receive 605,263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Azaria Employment Agreement, Mr. Azaria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Azaria Employment Agreement is subject to a Section 14 Arrangement and, accordingly, upon termination of Mr. Azaria’s employment by the Company without Cause, the Company will release his severance fund's amounts without having to pay Mr. Azaria a supplemental payment for severance. In addition, the Company contributes 7.5% of Mr. Azaria’s monthly salary to an education fund, to which Mr. Azaria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Azaria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Azaria Employment Agreement by the executive.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Natan Israeli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26, 2020, Kaltura Ltd. entered into an employment agreement with Mr. Israeli, which was subsequently amended on March 4, 2021, March 30, 2022, February 23, 2023, February 20, 2024 and February 19, 2025 (the “Israeli Employment Agreement”), providing for his employment as an Executive Officer of the Company. Mr. Israeli’s employment with the Company is at-will. Under the Severance Plan, the Company or Mr. Israeli may decide to terminate Mr. Israeli’s employment at any time with a Standard Notice Period of 2 months or CIC Notice Period of 4 months, as applicable, as such terms are defined in the Severance Plan. During those notice periods, the Company must pay Mr. Israeli an amount equal to his annual base salary and such other amounts as set forth in the Severance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Israeli Employment Agreement provides that Mr. Israeli is entitled to a gross monthly salary of NIS 91,875 and is eligible to earn an annual bonus under the 2025 MBO of up to NIS 825,100 and an additional annual stretch performance bonus of up to NIS 310,800, based on the achievement of certain goals and objectives defined by the Company. For additional information on the 2025 bonuses see “2025 Bonuses”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71" w:name="ny20070768x1_def14a_111-compensation_pg9"/>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Israeli Employment Agreement further provides that in calendar year 2025, Mr. Israeli is entitled to receive 605,263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Israeli Employment Agreement, Mr. Israeli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Israeli Employment Agreement is subject to a Section 14 Arrangement and, accordingly, upon termination of Mr. Israeli’s employment by the Company without Cause, the Company will release his severance fund's amounts without having to pay Mr. Israeli a supplemental payment for severance. In addition, the Company contributes 7.5% of Mr. Israeli’s monthly salary to an education fund, to which Mr. Israeli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Israeli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Israeli Employment Agreement by the executive. </w:t>
      </w:r>
    </w:p>
    <w:p>
      <w:pPr>
        <w:pStyle w:val="TextBody"/>
        <w:bidi w:val="0"/>
        <w:spacing w:before="400" w:after="283"/>
        <w:ind w:left="0" w:right="0" w:hanging="0"/>
        <w:jc w:val="left"/>
        <w:rPr>
          <w:rFonts w:ascii="Times New Roman;Times;serif" w:hAnsi="Times New Roman;Times;serif"/>
          <w:b/>
          <w:color w:val="000000"/>
          <w:sz w:val="20"/>
        </w:rPr>
      </w:pPr>
      <w:bookmarkStart w:id="72" w:name="tDC"/>
      <w:bookmarkEnd w:id="72"/>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non-employee director compensation policy, as amended, pursuant to which each non-employee director receives an annual retainer of $35,000. In addition, the non-employee director serving as lead director of the board receives an additional annual retainer of $15,000 and non-employee directors serving on committees of our board of directors receives the following additional annual fees, each earned on a quarterly basis: the chairperson of our audit committee receives an additional annual fee of $20,000, and other members of our audit committee receives an additional annual fee of $10,000; the chairperson of our compensation committee receives an additional annual fee of $14,000, and other members of our compensation committee receives an additional annual fee of $7,000; and the chairperson of our nominating and governance committee receives an additional annual fee of $8,000, and other members of our nominating and governance committee receives an additional annual fee of $4,000. Each director receives an annual restricted stock unit award with a grant date value of $180,000 (with prorated awards made to directors who join on a date other than an annual meeting following the first annual meeting after the closing of our initial public offering), which generally vest in full on the day immediately prior to the date of our annual shareholder meeting immediately following the date of grant, subject to the non-employee director continuing in service through such meeting date. The equity awards granted pursuant to this policy accelerate and vest in full upon a change in control (as defined in the 2021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compensation earned by each of our non-employee directors with respect to the fiscal year ended December 31, 2025. </w:t>
      </w:r>
    </w:p>
    <w:tbl>
      <w:tblPr>
        <w:tblW w:w="6185" w:type="dxa"/>
        <w:jc w:val="left"/>
        <w:tblInd w:w="0" w:type="dxa"/>
        <w:tblLayout w:type="fixed"/>
        <w:tblCellMar>
          <w:top w:w="0" w:type="dxa"/>
          <w:left w:w="0" w:type="dxa"/>
          <w:bottom w:w="0" w:type="dxa"/>
          <w:right w:w="0" w:type="dxa"/>
        </w:tblCellMar>
      </w:tblPr>
      <w:tblGrid>
        <w:gridCol w:w="1955"/>
        <w:gridCol w:w="170"/>
        <w:gridCol w:w="170"/>
        <w:gridCol w:w="1190"/>
        <w:gridCol w:w="170"/>
        <w:gridCol w:w="170"/>
        <w:gridCol w:w="1100"/>
        <w:gridCol w:w="170"/>
        <w:gridCol w:w="170"/>
        <w:gridCol w:w="92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$63,000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2024 computed in accordance with ASC Topic 718, rather than the amounts paid to or realized by the named individual. We provide information regarding the assumptions used to calculate the value of all stock awards and option awards made to our directors in Note 15 to the consolidated financial statements included in this proxy statement.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73" w:name="ny20070768x1_def14a_111-compensation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aggregate numbers of option awards (exercisable and unexercisable) and unvested stock awards held by each non-employee director who was serving as of December 31, 2025. </w:t>
      </w:r>
    </w:p>
    <w:tbl>
      <w:tblPr>
        <w:tblW w:w="5240" w:type="dxa"/>
        <w:jc w:val="left"/>
        <w:tblInd w:w="0" w:type="dxa"/>
        <w:tblLayout w:type="fixed"/>
        <w:tblCellMar>
          <w:top w:w="0" w:type="dxa"/>
          <w:left w:w="0" w:type="dxa"/>
          <w:bottom w:w="0" w:type="dxa"/>
          <w:right w:w="0" w:type="dxa"/>
        </w:tblCellMar>
      </w:tblPr>
      <w:tblGrid>
        <w:gridCol w:w="1955"/>
        <w:gridCol w:w="170"/>
        <w:gridCol w:w="170"/>
        <w:gridCol w:w="1205"/>
        <w:gridCol w:w="170"/>
        <w:gridCol w:w="170"/>
        <w:gridCol w:w="140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267,750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86,852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86,852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20"/>
              </w:rPr>
            </w:pPr>
            <w:r>
              <w:rPr>
                <w:rFonts w:ascii="Times New Roman;Times;serif" w:hAnsi="Times New Roman;Times;serif"/>
                <w:color w:val="000000"/>
                <w:sz w:val="20"/>
              </w:rPr>
              <w:t>157,500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86,852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86,852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86,852</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74" w:name="ny20070768x1_def14a_111-compensation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5" w:name="tEIP"/>
      <w:bookmarkEnd w:id="75"/>
      <w:r>
        <w:rPr>
          <w:rFonts w:ascii="Times New Roman;Times;serif" w:hAnsi="Times New Roman;Times;serif"/>
          <w:b/>
          <w:color w:val="000000"/>
          <w:sz w:val="20"/>
        </w:rPr>
        <w:t xml:space="preserve">Equity Incentive Plans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2007 Plan and 2017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maintain our 2007 Plan and 2017 Plan, as described above. From and after the closing of our initial public offering and the effectiveness of the 2021 Plan, our 2007 Plan and 2017 Plan (together, the “Prior Plans”) are frozen and no further grants will be made thereunder.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2021 Incentive Award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maintain the 2021 Plan, as described above, pursuant to which we may grant equity-based incentive awards to directors, employees (including our named executive officers), consultants and other service providers of our Company and affiliates to obtain and retain services of these individuals, which is essential to our long-term success.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76" w:name="ny20070768x1_def14a_112-securities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SAF"/>
      <w:bookmarkEnd w:id="77"/>
      <w:r>
        <w:rPr>
          <w:rFonts w:ascii="Times New Roman;Times;serif" w:hAnsi="Times New Roman;Times;serif"/>
          <w:b/>
          <w:color w:val="000000"/>
          <w:sz w:val="20"/>
        </w:rPr>
        <w:t xml:space="preserve">SECURITIES AUTHORIZED FOR ISSUANCE UNDER EQUITY COMPENSATION PLANS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with respect to our equity compensation plans in effect as of December 31, 2025. </w:t>
      </w:r>
    </w:p>
    <w:tbl>
      <w:tblPr>
        <w:tblW w:w="9860" w:type="dxa"/>
        <w:jc w:val="left"/>
        <w:tblInd w:w="0" w:type="dxa"/>
        <w:tblLayout w:type="fixed"/>
        <w:tblCellMar>
          <w:top w:w="0" w:type="dxa"/>
          <w:left w:w="0" w:type="dxa"/>
          <w:bottom w:w="0" w:type="dxa"/>
          <w:right w:w="0" w:type="dxa"/>
        </w:tblCellMar>
      </w:tblPr>
      <w:tblGrid>
        <w:gridCol w:w="5000"/>
        <w:gridCol w:w="170"/>
        <w:gridCol w:w="170"/>
        <w:gridCol w:w="1190"/>
        <w:gridCol w:w="170"/>
        <w:gridCol w:w="170"/>
        <w:gridCol w:w="995"/>
        <w:gridCol w:w="170"/>
        <w:gridCol w:w="170"/>
        <w:gridCol w:w="1655"/>
      </w:tblGrid>
      <w:tr>
        <w:trPr/>
        <w:tc>
          <w:tcPr>
            <w:tcW w:w="5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in first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23,251,729</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7,331,910</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0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7"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23,251,729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7,331,910</w:t>
            </w:r>
          </w:p>
        </w:tc>
      </w:tr>
      <w:tr>
        <w:trPr/>
        <w:tc>
          <w:tcPr>
            <w:tcW w:w="5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Prior to our initial public offering, we granted awards under our 2007 Stock Option Plan, 2007 Israeli Share Option and 2017 Equity Incentive Plan. Following our initial public offering, we granted awards under our 2021 Incentive Award Plan.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weighted average exercise price does not reflect the shares that will be issued upon the vesting of restricted stock units, which have no exercise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consists of 13,615,770 shares to be issued upon exercise of options to purchase shares of common stock, and 9,635,959 shares to be issued upon the vesting of restricted stock units.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we had 7,331,910 shares of our common stock reserved for future issuance under our 2021 Incentive Award Plan. The number of shares of common stock available for issuance under the 2021 Incentive Award Plan will also include an annual increase on the first day of each fiscal year beginning on January 1, 2026 and ending on and including January 1, 2031. </w:t>
            </w:r>
          </w:p>
        </w:tc>
      </w:tr>
    </w:tbl>
    <w:p>
      <w:pPr>
        <w:pStyle w:val="TextBody"/>
        <w:bidi w:val="0"/>
        <w:spacing w:before="340" w:after="283"/>
        <w:jc w:val="center"/>
        <w:rPr>
          <w:rFonts w:ascii="Times New Roman;Times;serif" w:hAnsi="Times New Roman;Times;serif"/>
          <w:b/>
          <w:color w:val="000000"/>
          <w:sz w:val="20"/>
        </w:rPr>
      </w:pPr>
      <w:bookmarkStart w:id="78" w:name="tSOC"/>
      <w:bookmarkEnd w:id="78"/>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22,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150,374,742 shares of common stock outstanding as of April 22, 2026. In computing the number of shares beneficially owned by a person and the percentage ownership of that person, shares of common stock subject to options and shares of our common stock that may be acquired upon the vesting of restricted stock units (“RSUs”), or other rights held by such person that are currently exercisable or will become exercisable within 60 days of April 22, 2026 are considered outstanding, although these shares are not considered outstanding for purposes of computing the percentage ownership of any other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below is 860 Broadway, 3rd Floor, New York, New York 10003. We believe, based on information provided to us, that each of the stockholders listed below has sole voting and investment power with respect to the shares beneficially owned by the stockholder unless noted otherwise. </w:t>
      </w:r>
    </w:p>
    <w:tbl>
      <w:tblPr>
        <w:tblW w:w="7490" w:type="dxa"/>
        <w:jc w:val="left"/>
        <w:tblInd w:w="0" w:type="dxa"/>
        <w:tblLayout w:type="fixed"/>
        <w:tblCellMar>
          <w:top w:w="0" w:type="dxa"/>
          <w:left w:w="0" w:type="dxa"/>
          <w:bottom w:w="0" w:type="dxa"/>
          <w:right w:w="0" w:type="dxa"/>
        </w:tblCellMar>
      </w:tblPr>
      <w:tblGrid>
        <w:gridCol w:w="3695"/>
        <w:gridCol w:w="170"/>
        <w:gridCol w:w="170"/>
        <w:gridCol w:w="1445"/>
        <w:gridCol w:w="170"/>
        <w:gridCol w:w="170"/>
        <w:gridCol w:w="1670"/>
      </w:tblGrid>
      <w:tr>
        <w:trPr/>
        <w:tc>
          <w:tcPr>
            <w:tcW w:w="3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center"/>
              <w:rPr>
                <w:color w:val="000000"/>
              </w:rPr>
            </w:pPr>
            <w:r>
              <w:rPr>
                <w:color w:val="000000"/>
              </w:rPr>
              <w:t>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Point 406 Ventures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16,792,248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Nexus India Capital II, L.P.</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16,053,857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Avalon Ventures VII, L.P.</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8,962,707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Sapphire Ventures Fund II, L.P.</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7,980,295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center"/>
              <w:rPr>
                <w:color w:val="000000"/>
              </w:rPr>
            </w:pPr>
            <w:r>
              <w:rPr>
                <w:color w:val="000000"/>
              </w:rPr>
              <w:t>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17,203,830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2,316,523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1,787,996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1,619,491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253,782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367,410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362,854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79" w:name="ny20070768x1_def14a_112-securities_pg2"/>
        <w:bookmarkEnd w:id="79"/>
        <w:r>
          <w:rPr>
            <w:rStyle w:val="InternetLink"/>
            <w:rFonts w:ascii="Times New Roman;Times;Serif" w:hAnsi="Times New Roman;Times;Serif"/>
            <w:b/>
            <w:caps w:val="false"/>
            <w:smallCaps w:val="false"/>
            <w:color w:val="000000"/>
            <w:sz w:val="16"/>
          </w:rPr>
          <w:t>TABLE OF CONTENTS</w:t>
        </w:r>
      </w:hyperlink>
    </w:p>
    <w:tbl>
      <w:tblPr>
        <w:tblW w:w="9515" w:type="dxa"/>
        <w:jc w:val="left"/>
        <w:tblInd w:w="0" w:type="dxa"/>
        <w:tblLayout w:type="fixed"/>
        <w:tblCellMar>
          <w:top w:w="0" w:type="dxa"/>
          <w:left w:w="0" w:type="dxa"/>
          <w:bottom w:w="0" w:type="dxa"/>
          <w:right w:w="0" w:type="dxa"/>
        </w:tblCellMar>
      </w:tblPr>
      <w:tblGrid>
        <w:gridCol w:w="5720"/>
        <w:gridCol w:w="170"/>
        <w:gridCol w:w="170"/>
        <w:gridCol w:w="1445"/>
        <w:gridCol w:w="170"/>
        <w:gridCol w:w="170"/>
        <w:gridCol w:w="1670"/>
      </w:tblGrid>
      <w:tr>
        <w:trPr/>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5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57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362,854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Greg Dracon</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8,064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(11 persons)</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25,667,101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16.3%</w:t>
            </w:r>
          </w:p>
        </w:tc>
      </w:tr>
      <w:tr>
        <w:trPr/>
        <w:tc>
          <w:tcPr>
            <w:tcW w:w="57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left"/>
              <w:rPr/>
            </w:pPr>
            <w:r>
              <w:rPr/>
              <w:t>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16,511,785 shares of common stock held by Point 406 Ventures I, L.P. (“Ventures I L.P.”), (ii) 80,463 shares of common stock held by Point 406 Ventures I-A, L.P. (“Ventures I-A L.P.”), and (iii) 200,000 shares of common stock purchased by Point 406 Ventures Opportunities Fund II, L.P. in connection with our initial public offering (“Opportunities Fund II, L.P.” and, together with Ventures I, L.P. and Ventures I-A, L.P., the “Point 406 Ventures Funds”). 406 Ventures I GP, L.P. (“Ventures GP”) is the general partner of each of Ventures I L.P., Ventures II-A L.P., and Opportunities Fund II, L.P.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22, 2022. Nexus India Management II, L.P. (“Nexus Management”) is the general partner of Nexus India Capital II, L.P. (“Nexus Capital”). The general partner of Nexus Management is Nexus Venture Management Holdings, LLC (“Nexus LLC”). Jishnu Bhattacharjee is the managing member of Nexus LLC and holds voting and investment power over Nexus Management, and thus may be deemed to hold voting and investment power over these shares. According to the Schedule 13G, each of the foregoing holds shared voting power and shared dispositive power over all of the reported shares.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4, 2022. Avalon Ventures VII GP LLC (“Avalon GP”) is the general partner of Avalon Ventures VII, LP (“Avalon LP”). Avalon LP and Avalon GP report shared voting power and shared dispositive power over all of the reported shares. Kevin J. Kinsella and Stephen L. Tomlin are the managing members of Avalon GP and, as a result, may be deemed to share voting and investment power with respect to the shares held by Avalon LP. The mailing address of each of the entities identified in this footnote is 1134 Kline Street, La Jolla, CA 92037.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Sapphire Ventures (GPE) II, L.L.C. (“Sapphire GP”) is the general partner of Sapphire Ventures Fund II, L.P. (“Fund II”). Sapphire Ventures, L.L.C. (“Investment Adviser”) is the investment adviser for Fund II. Nino Nikola Marakovic is a managing member of each of Sapphire GP and Investment Adviser. According to the Schedule 13G/A, Investment Adviser holds sole voting and sole dispositive power, and Fund II, Sapphire GP and Nino Nikola Marakovic hold shared voting and shared dispositive power over all of the reported shares. The mailing address of each of the entities identified in this footnote is 801 W. 5th St., Ste 100, Austin, TX 78703.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12,194,329 shares of common stock, (ii) options to purchase 4,780,668 shares of common stock that are or will be immediately exercisable within 60 days of April 22, 2026, and (iii) 228,833 shares of common stock issuable upon the vesting of RSUs within 60 days of April 22, 2026.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1,626,231 shares of common stock, (ii) options to purchase 626,292 shares of common stock that are or will be immediately exercisable within 60 days of April 22, 2026, and (iii) 64,000 shares of common stock issuable upon the vesting of RSUs within 60 days of April 22, 2026.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1,441,218 shares of common stock, (ii) options to purchase 282,778 shares of common stock that are or will be immediately exercisable within 60 days of April 22, 2026 and (iii) 64,000 shares of common stock issuable upon the vesting of RSUs within 60 days of April 22, 2026.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1,351,741 shares of common stock and (ii) options to purchase 267,750 shares of common stock that are or will be immediately exercisable within 60 days of April 22, 2026. </w:t>
            </w:r>
          </w:p>
        </w:tc>
      </w:tr>
    </w:tbl>
    <w:tbl>
      <w:tblPr>
        <w:tblW w:w="3490" w:type="dxa"/>
        <w:jc w:val="left"/>
        <w:tblInd w:w="0" w:type="dxa"/>
        <w:tblLayout w:type="fixed"/>
        <w:tblCellMar>
          <w:top w:w="0" w:type="dxa"/>
          <w:left w:w="0" w:type="dxa"/>
          <w:bottom w:w="0" w:type="dxa"/>
          <w:right w:w="0" w:type="dxa"/>
        </w:tblCellMar>
      </w:tblPr>
      <w:tblGrid>
        <w:gridCol w:w="260"/>
        <w:gridCol w:w="32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253,782 shares of common stock.</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209,910 shares of common stock and (ii) options to purchase 157,500 shares of common stock that are or will be immediately exercisable within 60 days of April 22, 2026. </w:t>
            </w:r>
          </w:p>
        </w:tc>
      </w:tr>
    </w:tbl>
    <w:tbl>
      <w:tblPr>
        <w:tblW w:w="3580" w:type="dxa"/>
        <w:jc w:val="left"/>
        <w:tblInd w:w="0" w:type="dxa"/>
        <w:tblLayout w:type="fixed"/>
        <w:tblCellMar>
          <w:top w:w="0" w:type="dxa"/>
          <w:left w:w="0" w:type="dxa"/>
          <w:bottom w:w="0" w:type="dxa"/>
          <w:right w:w="0" w:type="dxa"/>
        </w:tblCellMar>
      </w:tblPr>
      <w:tblGrid>
        <w:gridCol w:w="350"/>
        <w:gridCol w:w="32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362,854 shares of common stock.</w:t>
            </w:r>
          </w:p>
        </w:tc>
      </w:tr>
    </w:tbl>
    <w:tbl>
      <w:tblPr>
        <w:tblW w:w="3625" w:type="dxa"/>
        <w:jc w:val="left"/>
        <w:tblInd w:w="0" w:type="dxa"/>
        <w:tblLayout w:type="fixed"/>
        <w:tblCellMar>
          <w:top w:w="0" w:type="dxa"/>
          <w:left w:w="0" w:type="dxa"/>
          <w:bottom w:w="0" w:type="dxa"/>
          <w:right w:w="0" w:type="dxa"/>
        </w:tblCellMar>
      </w:tblPr>
      <w:tblGrid>
        <w:gridCol w:w="350"/>
        <w:gridCol w:w="327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362,854 shares of common stock. </w:t>
            </w:r>
          </w:p>
        </w:tc>
      </w:tr>
    </w:tbl>
    <w:tbl>
      <w:tblPr>
        <w:tblW w:w="3445" w:type="dxa"/>
        <w:jc w:val="left"/>
        <w:tblInd w:w="0" w:type="dxa"/>
        <w:tblLayout w:type="fixed"/>
        <w:tblCellMar>
          <w:top w:w="0" w:type="dxa"/>
          <w:left w:w="0" w:type="dxa"/>
          <w:bottom w:w="0" w:type="dxa"/>
          <w:right w:w="0" w:type="dxa"/>
        </w:tblCellMar>
      </w:tblPr>
      <w:tblGrid>
        <w:gridCol w:w="350"/>
        <w:gridCol w:w="309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3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8,064 shares of common stock.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18,931,994 shares of common stock, (ii) 6,324,025 options to purchase shares of common stock that are or will be immediately exercisable within 60 days of April 22, 2026, and (iii) 411,082 shares of common stock issuable upon the vesting of RSUs within 60 days of April 22, 2026. </w:t>
            </w:r>
          </w:p>
        </w:tc>
      </w:tr>
    </w:tbl>
    <w:p>
      <w:pPr>
        <w:pStyle w:val="TextBody"/>
        <w:bidi w:val="0"/>
        <w:spacing w:before="380" w:after="283"/>
        <w:jc w:val="center"/>
        <w:rPr>
          <w:rFonts w:ascii="Times New Roman;Times;serif" w:hAnsi="Times New Roman;Times;serif"/>
          <w:b/>
          <w:color w:val="000000"/>
          <w:sz w:val="20"/>
        </w:rPr>
      </w:pPr>
      <w:bookmarkStart w:id="80" w:name="tDEL"/>
      <w:bookmarkEnd w:id="80"/>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officers (as defined under Rule 16a-1(f) under the Exchange Act)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2025 filed with the SEC and on written representations by our directors and officers, we believe all required Section 16 reports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81" w:name="ny20070768x1_def14a_112-securities_pg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for our directors, officers and beneficial owners of greater than 10% of our common stock were filed on a timely basis during the year ended December 31, 2025, other than one late Form 3 for each of Liron Sharon and Claire Rotshten, in connection with their appointment as executive officers, and one Form 4 reporting one late transaction for John Doherty.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82" w:name="ny20070768x1_def14a_113-certain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CRR"/>
      <w:bookmarkEnd w:id="83"/>
      <w:r>
        <w:rPr>
          <w:rFonts w:ascii="Times New Roman;Times;serif" w:hAnsi="Times New Roman;Times;serif"/>
          <w:b/>
          <w:color w:val="000000"/>
          <w:sz w:val="20"/>
        </w:rPr>
        <w:t xml:space="preserve">CERTAIN RELATIONSHIPS AND RELATED PERSON TRANSACTIONS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Person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General Counsel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whether the transaction arose in the ordinary course of business, and the extent of the related person’s interest in the transaction, taking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certain transactions, arrangements and relationships with our directors, executive officers and stockholders owning 5% or more of our outstanding common stock, or any member of the immediate family of any of the foregoing persons, since January 1, 2025, other than equity and other compensation, termination, change in control and other arrangements, which are described under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Investors’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July 2016, we entered into a sixth amended and restated investors’ rights agreement (the “Investors’ Rights Agreement”) with certain of our investors, including each holder of more than 5% of our capital stock and certain of our directors and executive officers (or, in some cases, entities affiliated therewith). The Investors’ Rights Agreement provides for certain registration rights relating to the registrable securities held by such investors. These registration rights will terminate upon the earliest of (i) the date that is five years after the closing of our initial public offering, (ii) the completion of certain liquidation events, (iii) the closing of certain corporate reorganizations or dispositions of all or substantially all of the assets of the Company and its subsidiaries taken as a whole and (iv) as to a given holder of registration rights, the date after the completion of our initial public offering when such holder of registration rights and its affiliates can sell all of their shares pursuant to Rule 144 of the Securities Act during a 90-day period without registration.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and consulting agreements with our executive officers. For more information regarding the agreements with our named executive officers, see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directors and executive officers. These agreements, among other things, require us to indemnify each director (and in certain cases their related investment funds) and executive officer to the fullest extent permitted by Delaware law, including indemnification of expenses such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84" w:name="ny20070768x1_def14a_113-certain_pg2"/>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 and “Director Compensation.”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Awards to Executive Officers and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granted stock options and other equity awards to our executive officers and directors as more fully described in the sections entitled “Executive Compensation” and “Director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85" w:name="ny20070768x1_def14a_114-stock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SP"/>
      <w:bookmarkEnd w:id="86"/>
      <w:r>
        <w:rPr>
          <w:rFonts w:ascii="Times New Roman;Times;serif" w:hAnsi="Times New Roman;Times;serif"/>
          <w:b/>
          <w:color w:val="000000"/>
          <w:sz w:val="20"/>
        </w:rPr>
        <w:t xml:space="preserve">STOCKHOLDERS’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 to have a proposal considered for inclusion in our proxy materials for presentation at our 2027 Annual Meeting of Stockholders pursuant to Rule 14a-8 under the Exchange Act must submit the proposal to our Secretary at our offices at 860 Broadway, 3rd Floor, New York, New York 10003 in writing not later than December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February 24, 2027 and no later than March 26, 2027. The notice must contain the information required by the Amended and Restated Bylaws, a copy of which is available upon request to our Secretary. In the event that the date of the 2027 Annual Meeting of Stockholders is more than 30 days before or more than 60 days after June 24, 2027, then such written notice must be delivered not earlier than the close of business on the 120th day prior to the 2027 Annual Meeting and not later than the close of business on the 90th day prior to the 2027 Annual Meeting or the close of business on the 10th day following the day on which public disclosure of the date of such meeting is first made by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under our Amended and Restated Bylaws, to comply with the universal proxy rules, stockholders who intend to solicit proxies in support of director nominees other than the Company’s nominees must provide notice that sets forth the information required by Rule 14a-19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410" w:after="283"/>
        <w:jc w:val="center"/>
        <w:rPr>
          <w:rFonts w:ascii="Times New Roman;Times;serif" w:hAnsi="Times New Roman;Times;serif"/>
          <w:b/>
          <w:color w:val="000000"/>
          <w:sz w:val="20"/>
        </w:rPr>
      </w:pPr>
      <w:bookmarkStart w:id="87" w:name="tOM"/>
      <w:bookmarkEnd w:id="87"/>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410" w:after="283"/>
        <w:jc w:val="center"/>
        <w:rPr>
          <w:rFonts w:ascii="Times New Roman;Times;serif" w:hAnsi="Times New Roman;Times;serif"/>
          <w:b/>
          <w:color w:val="000000"/>
          <w:sz w:val="20"/>
        </w:rPr>
      </w:pPr>
      <w:bookmarkStart w:id="88" w:name="tSOP"/>
      <w:bookmarkEnd w:id="88"/>
      <w:r>
        <w:rPr>
          <w:rFonts w:ascii="Times New Roman;Times;serif" w:hAnsi="Times New Roman;Times;serif"/>
          <w:b/>
          <w:color w:val="000000"/>
          <w:sz w:val="20"/>
        </w:rPr>
        <w:t xml:space="preserve">SOLICITATION OF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our Board of Directors, whose Notice of Annual Meeting is attached to this proxy statement, and the entire cost of our solicitation will be borne by us. The Company has retained Morrow Sodali LLC (“Morrow Sodali”) to assist in the solicitation of proxies from individual stockholders as well as banks, brokers and proxy intermediaries representing beneficial owners of shares for the Annual Meeting. We have agreed to pay Morrow Sodali a fee of approximately $15,000 plus variable amounts for additional proxy solicitation services and out-of-pocket expenses.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our solicitation of proxies for our 2027 Annual Meeting, we intend to file a proxy statement and WHITE proxy card with the SEC. Stockholders may obtain our proxy statement (and any amendments and supplements thereto) and other documents as and when filed with the SEC without charge from the SEC’s website at: www.sec.gov.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89" w:name="ny20070768x1_def14a_114-stock_pg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KAR"/>
      <w:bookmarkEnd w:id="90"/>
      <w:r>
        <w:rPr>
          <w:rFonts w:ascii="Times New Roman;Times;serif" w:hAnsi="Times New Roman;Times;serif"/>
          <w:b/>
          <w:color w:val="000000"/>
          <w:sz w:val="20"/>
        </w:rPr>
        <w:t xml:space="preserve">KALTURA’S ANNUAL REPORT ON FORM 10-K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Kaltura’s Annual Report on Form 10-K for the fiscal year ended December 31, 2025, including financial statements and schedules thereto but not including exhibits, as filed with the SEC, will be sent to any stockholder of record as of April 27, 2026 without charge upon written request addressed to: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Kaltura,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Secretary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 Broadway, 3rd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10003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reasonable fee will be charged for copies of exhibits. You also may access this proxy statement and our Annual Report on Form 10-K at www.proxyvote.com. You also may access our Annual Report on Form 10-K for the fiscal year ended December 31, 2025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305" w:after="283"/>
        <w:ind w:left="0" w:right="0" w:hanging="0"/>
        <w:jc w:val="left"/>
        <w:rPr>
          <w:color w:val="000000"/>
        </w:rPr>
      </w:pPr>
      <w:r>
        <w:rPr>
          <w:color w:val="000000"/>
        </w:rPr>
        <w:drawing>
          <wp:inline distT="0" distB="0" distL="0" distR="0">
            <wp:extent cx="1209675"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096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Zvi Maayan, General Counsel and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91" w:name="ny20070768x1_def14a_300-proxycard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05675" cy="9458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92" w:name="ny20070768x1_def14a_300-proxycard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05675" cy="9458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21819</Words>
  <Characters>116577</Characters>
  <CharactersWithSpaces>139056</CharactersWithSpaces>
  <Paragraphs>2454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