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297815</wp:posOffset>
            </wp:positionV>
            <wp:extent cx="6180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314960</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19"/>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90170</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101600</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6" w:lineRule="exact"/>
        <w:rPr>
          <w:sz w:val="24"/>
          <w:szCs w:val="24"/>
          <w:color w:val="auto"/>
        </w:rPr>
      </w:pPr>
    </w:p>
    <w:p>
      <w:pPr>
        <w:ind w:left="1240" w:right="1180" w:hanging="465"/>
        <w:spacing w:after="0" w:line="180" w:lineRule="auto"/>
        <w:tabs>
          <w:tab w:leader="none" w:pos="124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4" w:lineRule="exact"/>
        <w:rPr>
          <w:sz w:val="24"/>
          <w:szCs w:val="24"/>
          <w:color w:val="auto"/>
        </w:rPr>
      </w:pPr>
    </w:p>
    <w:p>
      <w:pPr>
        <w:ind w:left="1240" w:hanging="465"/>
        <w:spacing w:after="0"/>
        <w:tabs>
          <w:tab w:leader="none" w:pos="12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w:t>
      </w:r>
    </w:p>
    <w:tbl>
      <w:tblPr>
        <w:tblLayout w:type="fixed"/>
        <w:tblInd w:w="760" w:type="dxa"/>
        <w:tblCellMar>
          <w:top w:w="0" w:type="dxa"/>
          <w:left w:w="0" w:type="dxa"/>
          <w:bottom w:w="0" w:type="dxa"/>
          <w:right w:w="0" w:type="dxa"/>
        </w:tblCellMar>
      </w:tblPr>
      <w:tr>
        <w:trPr>
          <w:trHeight w:val="190"/>
        </w:trPr>
        <w:tc>
          <w:tcPr>
            <w:tcW w:w="1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1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TO</w:t>
            </w:r>
          </w:p>
        </w:tc>
        <w:tc>
          <w:tcPr>
            <w:tcW w:w="29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900" w:type="dxa"/>
            <w:vAlign w:val="bottom"/>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Commission File Number: 001-40644</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900" w:type="dxa"/>
            <w:vAlign w:val="bottom"/>
          </w:tcPr>
          <w:p>
            <w:pPr>
              <w:jc w:val="center"/>
              <w:ind w:right="401"/>
              <w:spacing w:after="0" w:line="350" w:lineRule="exact"/>
              <w:rPr>
                <w:sz w:val="20"/>
                <w:szCs w:val="20"/>
                <w:color w:val="auto"/>
              </w:rPr>
            </w:pPr>
            <w:r>
              <w:rPr>
                <w:rFonts w:ascii="Times New Roman" w:cs="Times New Roman" w:eastAsia="Times New Roman" w:hAnsi="Times New Roman"/>
                <w:sz w:val="32"/>
                <w:szCs w:val="32"/>
                <w:b w:val="1"/>
                <w:bCs w:val="1"/>
                <w:color w:val="auto"/>
              </w:rPr>
              <w:t>Kaltura, Inc.</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5040" w:type="dxa"/>
            <w:vAlign w:val="bottom"/>
            <w:gridSpan w:val="2"/>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1520" w:type="dxa"/>
            <w:vAlign w:val="bottom"/>
          </w:tcPr>
          <w:p>
            <w:pPr>
              <w:spacing w:after="0"/>
              <w:rPr>
                <w:sz w:val="24"/>
                <w:szCs w:val="24"/>
                <w:color w:val="auto"/>
              </w:rPr>
            </w:pPr>
          </w:p>
        </w:tc>
        <w:tc>
          <w:tcPr>
            <w:tcW w:w="2140" w:type="dxa"/>
            <w:vAlign w:val="bottom"/>
          </w:tcPr>
          <w:p>
            <w:pPr>
              <w:jc w:val="center"/>
              <w:ind w:right="24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00" w:type="dxa"/>
            <w:vAlign w:val="bottom"/>
          </w:tcPr>
          <w:p>
            <w:pPr>
              <w:spacing w:after="0"/>
              <w:rPr>
                <w:sz w:val="24"/>
                <w:szCs w:val="24"/>
                <w:color w:val="auto"/>
              </w:rPr>
            </w:pPr>
          </w:p>
        </w:tc>
        <w:tc>
          <w:tcPr>
            <w:tcW w:w="3180" w:type="dxa"/>
            <w:vAlign w:val="bottom"/>
          </w:tcPr>
          <w:p>
            <w:pPr>
              <w:jc w:val="right"/>
              <w:ind w:right="1983"/>
              <w:spacing w:after="0"/>
              <w:rPr>
                <w:sz w:val="20"/>
                <w:szCs w:val="20"/>
                <w:color w:val="auto"/>
              </w:rPr>
            </w:pPr>
            <w:r>
              <w:rPr>
                <w:rFonts w:ascii="Times New Roman" w:cs="Times New Roman" w:eastAsia="Times New Roman" w:hAnsi="Times New Roman"/>
                <w:sz w:val="16"/>
                <w:szCs w:val="16"/>
                <w:b w:val="1"/>
                <w:bCs w:val="1"/>
                <w:color w:val="auto"/>
              </w:rPr>
              <w:t>20-8128326</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14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00" w:type="dxa"/>
            <w:vAlign w:val="bottom"/>
          </w:tcPr>
          <w:p>
            <w:pPr>
              <w:spacing w:after="0"/>
              <w:rPr>
                <w:sz w:val="12"/>
                <w:szCs w:val="12"/>
                <w:color w:val="auto"/>
              </w:rPr>
            </w:pPr>
          </w:p>
        </w:tc>
        <w:tc>
          <w:tcPr>
            <w:tcW w:w="3180" w:type="dxa"/>
            <w:vAlign w:val="bottom"/>
          </w:tcPr>
          <w:p>
            <w:pPr>
              <w:jc w:val="center"/>
              <w:ind w:right="162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60" w:type="dxa"/>
            <w:vAlign w:val="bottom"/>
            <w:gridSpan w:val="2"/>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00" w:type="dxa"/>
            <w:vAlign w:val="bottom"/>
          </w:tcPr>
          <w:p>
            <w:pPr>
              <w:spacing w:after="0"/>
              <w:rPr>
                <w:sz w:val="16"/>
                <w:szCs w:val="16"/>
                <w:color w:val="auto"/>
              </w:rPr>
            </w:pPr>
          </w:p>
        </w:tc>
        <w:tc>
          <w:tcPr>
            <w:tcW w:w="3180" w:type="dxa"/>
            <w:vAlign w:val="bottom"/>
          </w:tcPr>
          <w:p>
            <w:pPr>
              <w:jc w:val="center"/>
              <w:ind w:right="162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2140" w:type="dxa"/>
            <w:vAlign w:val="bottom"/>
          </w:tcPr>
          <w:p>
            <w:pPr>
              <w:jc w:val="center"/>
              <w:ind w:right="244"/>
              <w:spacing w:after="0" w:line="172" w:lineRule="exact"/>
              <w:rPr>
                <w:sz w:val="20"/>
                <w:szCs w:val="20"/>
                <w:color w:val="auto"/>
              </w:rPr>
            </w:pPr>
            <w:r>
              <w:rPr>
                <w:rFonts w:ascii="Times New Roman" w:cs="Times New Roman" w:eastAsia="Times New Roman" w:hAnsi="Times New Roman"/>
                <w:sz w:val="16"/>
                <w:szCs w:val="16"/>
                <w:b w:val="1"/>
                <w:bCs w:val="1"/>
                <w:color w:val="auto"/>
                <w:w w:val="99"/>
              </w:rPr>
              <w:t>860 Broadway</w:t>
            </w:r>
          </w:p>
        </w:tc>
        <w:tc>
          <w:tcPr>
            <w:tcW w:w="2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2140" w:type="dxa"/>
            <w:vAlign w:val="bottom"/>
          </w:tcPr>
          <w:p>
            <w:pPr>
              <w:jc w:val="center"/>
              <w:ind w:right="244"/>
              <w:spacing w:after="0" w:line="162" w:lineRule="exact"/>
              <w:rPr>
                <w:sz w:val="20"/>
                <w:szCs w:val="20"/>
                <w:color w:val="auto"/>
              </w:rPr>
            </w:pPr>
            <w:r>
              <w:rPr>
                <w:rFonts w:ascii="Times New Roman" w:cs="Times New Roman" w:eastAsia="Times New Roman" w:hAnsi="Times New Roman"/>
                <w:sz w:val="16"/>
                <w:szCs w:val="16"/>
                <w:b w:val="1"/>
                <w:bCs w:val="1"/>
                <w:color w:val="auto"/>
              </w:rPr>
              <w:t>3rd Floor</w:t>
            </w:r>
          </w:p>
        </w:tc>
        <w:tc>
          <w:tcPr>
            <w:tcW w:w="2900" w:type="dxa"/>
            <w:vAlign w:val="bottom"/>
          </w:tcPr>
          <w:p>
            <w:pPr>
              <w:spacing w:after="0"/>
              <w:rPr>
                <w:sz w:val="14"/>
                <w:szCs w:val="14"/>
                <w:color w:val="auto"/>
              </w:rPr>
            </w:pPr>
          </w:p>
        </w:tc>
        <w:tc>
          <w:tcPr>
            <w:tcW w:w="3180" w:type="dxa"/>
            <w:vAlign w:val="bottom"/>
            <w:vMerge w:val="restart"/>
          </w:tcPr>
          <w:p>
            <w:pPr>
              <w:jc w:val="right"/>
              <w:ind w:right="2163"/>
              <w:spacing w:after="0"/>
              <w:rPr>
                <w:sz w:val="20"/>
                <w:szCs w:val="20"/>
                <w:color w:val="auto"/>
              </w:rPr>
            </w:pPr>
            <w:r>
              <w:rPr>
                <w:rFonts w:ascii="Times New Roman" w:cs="Times New Roman" w:eastAsia="Times New Roman" w:hAnsi="Times New Roman"/>
                <w:sz w:val="16"/>
                <w:szCs w:val="16"/>
                <w:b w:val="1"/>
                <w:bCs w:val="1"/>
                <w:color w:val="auto"/>
              </w:rPr>
              <w:t>10003</w:t>
            </w:r>
          </w:p>
        </w:tc>
        <w:tc>
          <w:tcPr>
            <w:tcW w:w="0" w:type="dxa"/>
            <w:vAlign w:val="bottom"/>
          </w:tcPr>
          <w:p>
            <w:pPr>
              <w:spacing w:after="0"/>
              <w:rPr>
                <w:sz w:val="1"/>
                <w:szCs w:val="1"/>
                <w:color w:val="auto"/>
              </w:rPr>
            </w:pPr>
          </w:p>
        </w:tc>
      </w:tr>
      <w:tr>
        <w:trPr>
          <w:trHeight w:val="205"/>
        </w:trPr>
        <w:tc>
          <w:tcPr>
            <w:tcW w:w="1520" w:type="dxa"/>
            <w:vAlign w:val="bottom"/>
          </w:tcPr>
          <w:p>
            <w:pPr>
              <w:spacing w:after="0"/>
              <w:rPr>
                <w:sz w:val="17"/>
                <w:szCs w:val="17"/>
                <w:color w:val="auto"/>
              </w:rPr>
            </w:pPr>
          </w:p>
        </w:tc>
        <w:tc>
          <w:tcPr>
            <w:tcW w:w="2140" w:type="dxa"/>
            <w:vAlign w:val="bottom"/>
          </w:tcPr>
          <w:p>
            <w:pPr>
              <w:jc w:val="center"/>
              <w:ind w:right="244"/>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2900" w:type="dxa"/>
            <w:vAlign w:val="bottom"/>
          </w:tcPr>
          <w:p>
            <w:pPr>
              <w:spacing w:after="0"/>
              <w:rPr>
                <w:sz w:val="17"/>
                <w:szCs w:val="17"/>
                <w:color w:val="auto"/>
              </w:rPr>
            </w:pPr>
          </w:p>
        </w:tc>
        <w:tc>
          <w:tcPr>
            <w:tcW w:w="3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60" w:type="dxa"/>
            <w:vAlign w:val="bottom"/>
            <w:gridSpan w:val="2"/>
          </w:tcPr>
          <w:p>
            <w:pPr>
              <w:jc w:val="center"/>
              <w:ind w:left="11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00" w:type="dxa"/>
            <w:vAlign w:val="bottom"/>
          </w:tcPr>
          <w:p>
            <w:pPr>
              <w:spacing w:after="0"/>
              <w:rPr>
                <w:sz w:val="16"/>
                <w:szCs w:val="16"/>
                <w:color w:val="auto"/>
              </w:rPr>
            </w:pPr>
          </w:p>
        </w:tc>
        <w:tc>
          <w:tcPr>
            <w:tcW w:w="3180" w:type="dxa"/>
            <w:vAlign w:val="bottom"/>
          </w:tcPr>
          <w:p>
            <w:pPr>
              <w:jc w:val="center"/>
              <w:ind w:right="164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3"/>
        </w:trPr>
        <w:tc>
          <w:tcPr>
            <w:tcW w:w="1520" w:type="dxa"/>
            <w:vAlign w:val="bottom"/>
          </w:tcPr>
          <w:p>
            <w:pPr>
              <w:spacing w:after="0"/>
              <w:rPr>
                <w:sz w:val="24"/>
                <w:szCs w:val="24"/>
                <w:color w:val="auto"/>
              </w:rPr>
            </w:pPr>
          </w:p>
        </w:tc>
        <w:tc>
          <w:tcPr>
            <w:tcW w:w="8220" w:type="dxa"/>
            <w:vAlign w:val="bottom"/>
            <w:gridSpan w:val="3"/>
          </w:tcPr>
          <w:p>
            <w:pPr>
              <w:jc w:val="center"/>
              <w:ind w:right="144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(646) 290-5445</w:t>
            </w:r>
          </w:p>
        </w:tc>
        <w:tc>
          <w:tcPr>
            <w:tcW w:w="0" w:type="dxa"/>
            <w:vAlign w:val="bottom"/>
          </w:tcPr>
          <w:p>
            <w:pPr>
              <w:spacing w:after="0"/>
              <w:rPr>
                <w:sz w:val="1"/>
                <w:szCs w:val="1"/>
                <w:color w:val="auto"/>
              </w:rPr>
            </w:pPr>
          </w:p>
        </w:tc>
      </w:tr>
      <w:tr>
        <w:trPr>
          <w:trHeight w:val="212"/>
        </w:trPr>
        <w:tc>
          <w:tcPr>
            <w:tcW w:w="1520" w:type="dxa"/>
            <w:vAlign w:val="bottom"/>
            <w:tcBorders>
              <w:bottom w:val="single" w:sz="8" w:color="auto"/>
            </w:tcBorders>
          </w:tcPr>
          <w:p>
            <w:pPr>
              <w:spacing w:after="0"/>
              <w:rPr>
                <w:sz w:val="18"/>
                <w:szCs w:val="18"/>
                <w:color w:val="auto"/>
              </w:rPr>
            </w:pPr>
          </w:p>
        </w:tc>
        <w:tc>
          <w:tcPr>
            <w:tcW w:w="822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520" w:type="dxa"/>
            <w:vAlign w:val="bottom"/>
          </w:tcPr>
          <w:p>
            <w:pPr>
              <w:spacing w:after="0"/>
              <w:rPr>
                <w:sz w:val="24"/>
                <w:szCs w:val="24"/>
                <w:color w:val="auto"/>
              </w:rPr>
            </w:pPr>
          </w:p>
        </w:tc>
        <w:tc>
          <w:tcPr>
            <w:tcW w:w="8220" w:type="dxa"/>
            <w:vAlign w:val="bottom"/>
            <w:gridSpan w:val="3"/>
          </w:tcPr>
          <w:p>
            <w:pPr>
              <w:jc w:val="center"/>
              <w:ind w:right="146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44"/>
        </w:trPr>
        <w:tc>
          <w:tcPr>
            <w:tcW w:w="3660" w:type="dxa"/>
            <w:vAlign w:val="bottom"/>
            <w:gridSpan w:val="2"/>
          </w:tcPr>
          <w:p>
            <w:pPr>
              <w:jc w:val="center"/>
              <w:ind w:right="40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00" w:type="dxa"/>
            <w:vAlign w:val="bottom"/>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8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29"/>
        </w:trPr>
        <w:tc>
          <w:tcPr>
            <w:tcW w:w="36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2900" w:type="dxa"/>
            <w:vAlign w:val="bottom"/>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w w:val="96"/>
              </w:rPr>
              <w:t>KLTR</w:t>
            </w:r>
          </w:p>
        </w:tc>
        <w:tc>
          <w:tcPr>
            <w:tcW w:w="318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180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38" w:lineRule="exact"/>
        <w:rPr>
          <w:sz w:val="24"/>
          <w:szCs w:val="24"/>
          <w:color w:val="auto"/>
        </w:rPr>
      </w:pPr>
    </w:p>
    <w:p>
      <w:pPr>
        <w:ind w:right="438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40"/>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44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44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4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Emerging growth company</w:t>
            </w:r>
          </w:p>
        </w:tc>
        <w:tc>
          <w:tcPr>
            <w:tcW w:w="740" w:type="dxa"/>
            <w:vAlign w:val="bottom"/>
          </w:tcPr>
          <w:p>
            <w:pPr>
              <w:ind w:left="6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26" w:lineRule="exact"/>
        <w:rPr>
          <w:sz w:val="24"/>
          <w:szCs w:val="24"/>
          <w:color w:val="auto"/>
        </w:rPr>
      </w:pPr>
    </w:p>
    <w:p>
      <w:pPr>
        <w:ind w:right="220"/>
        <w:spacing w:after="0" w:line="16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1" w:lineRule="exact"/>
        <w:rPr>
          <w:sz w:val="24"/>
          <w:szCs w:val="24"/>
          <w:color w:val="auto"/>
        </w:rPr>
      </w:pPr>
    </w:p>
    <w:p>
      <w:pPr>
        <w:ind w:right="12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8"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7" w:lineRule="exact"/>
        <w:rPr>
          <w:sz w:val="24"/>
          <w:szCs w:val="24"/>
          <w:color w:val="auto"/>
        </w:rPr>
      </w:pPr>
    </w:p>
    <w:p>
      <w:pPr>
        <w:ind w:right="1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7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At June 30, 2024, the last business day of the registrant’s most recently completed second fiscal quarter, the aggregate market value of the voting and non-voting common equity held by non-affiliates of the registrant was approximately $155.4 million. Solely for purposes of this disclosure, shares of common stock held by executive officers, directors and certain stockholders of the registrant as of such date have been excluded because such holders may be deemed to be affiliates.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par value $0.0001, outstanding as of February 13, 2025 was 154,138,268.</w:t>
      </w: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5"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Stockholders, to be filed with the SEC within 120 days after the end of the fiscal year ended December 31, 2024,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6180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6180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40" w:type="dxa"/>
            <w:vAlign w:val="bottom"/>
            <w:gridSpan w:val="9"/>
          </w:tcPr>
          <w:p>
            <w:pPr>
              <w:ind w:left="300"/>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PART I</w:t>
            </w:r>
          </w:p>
        </w:tc>
        <w:tc>
          <w:tcPr>
            <w:tcW w:w="48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200" w:type="dxa"/>
            <w:vAlign w:val="bottom"/>
            <w:gridSpan w:val="18"/>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940" w:type="dxa"/>
            <w:vAlign w:val="bottom"/>
            <w:gridSpan w:val="16"/>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800" w:type="dxa"/>
            <w:vAlign w:val="bottom"/>
            <w:gridSpan w:val="10"/>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71</w:t>
            </w: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0" w:type="dxa"/>
            <w:vAlign w:val="bottom"/>
            <w:gridSpan w:val="10"/>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71</w:t>
            </w: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840" w:type="dxa"/>
            <w:vAlign w:val="bottom"/>
            <w:gridSpan w:val="15"/>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72</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63"/>
        </w:trPr>
        <w:tc>
          <w:tcPr>
            <w:tcW w:w="60" w:type="dxa"/>
            <w:vAlign w:val="bottom"/>
          </w:tcPr>
          <w:p>
            <w:pPr>
              <w:spacing w:after="0"/>
              <w:rPr>
                <w:sz w:val="22"/>
                <w:szCs w:val="22"/>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2"/>
              </w:rPr>
              <w:t>PART II</w:t>
            </w:r>
          </w:p>
        </w:tc>
        <w:tc>
          <w:tcPr>
            <w:tcW w:w="420" w:type="dxa"/>
            <w:vAlign w:val="bottom"/>
            <w:gridSpan w:val="2"/>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74</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0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93</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22"/>
                <w:szCs w:val="22"/>
                <w:color w:val="auto"/>
              </w:rPr>
            </w:pPr>
          </w:p>
        </w:tc>
        <w:tc>
          <w:tcPr>
            <w:tcW w:w="5500" w:type="dxa"/>
            <w:vAlign w:val="bottom"/>
            <w:gridSpan w:val="6"/>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94</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132</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0" w:type="dxa"/>
            <w:vAlign w:val="bottom"/>
            <w:gridSpan w:val="3"/>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132</w:t>
            </w: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80" w:type="dxa"/>
            <w:vAlign w:val="bottom"/>
            <w:gridSpan w:val="12"/>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132</w:t>
            </w: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132</w:t>
            </w:r>
          </w:p>
        </w:tc>
      </w:tr>
      <w:tr>
        <w:trPr>
          <w:trHeight w:val="263"/>
        </w:trPr>
        <w:tc>
          <w:tcPr>
            <w:tcW w:w="60" w:type="dxa"/>
            <w:vAlign w:val="bottom"/>
          </w:tcPr>
          <w:p>
            <w:pPr>
              <w:spacing w:after="0"/>
              <w:rPr>
                <w:sz w:val="22"/>
                <w:szCs w:val="22"/>
                <w:color w:val="auto"/>
              </w:rPr>
            </w:pPr>
          </w:p>
        </w:tc>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3"/>
              </w:rPr>
              <w:t>PART III</w:t>
            </w:r>
          </w:p>
        </w:tc>
        <w:tc>
          <w:tcPr>
            <w:tcW w:w="3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18"/>
        </w:trPr>
        <w:tc>
          <w:tcPr>
            <w:tcW w:w="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135</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4"/>
          </w:tcPr>
          <w:p>
            <w:pPr>
              <w:spacing w:after="0"/>
              <w:rPr>
                <w:sz w:val="22"/>
                <w:szCs w:val="22"/>
                <w:color w:val="auto"/>
              </w:rPr>
            </w:pPr>
          </w:p>
        </w:tc>
        <w:tc>
          <w:tcPr>
            <w:tcW w:w="5760" w:type="dxa"/>
            <w:vAlign w:val="bottom"/>
            <w:gridSpan w:val="7"/>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137</w:t>
            </w: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137</w:t>
            </w: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560" w:type="dxa"/>
            <w:vAlign w:val="bottom"/>
            <w:gridSpan w:val="2"/>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137</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400" w:type="dxa"/>
            <w:vAlign w:val="bottom"/>
            <w:gridSpan w:val="4"/>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137</w:t>
            </w:r>
          </w:p>
        </w:tc>
      </w:tr>
      <w:tr>
        <w:trPr>
          <w:trHeight w:val="263"/>
        </w:trPr>
        <w:tc>
          <w:tcPr>
            <w:tcW w:w="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60" w:type="dxa"/>
            <w:vAlign w:val="bottom"/>
          </w:tcPr>
          <w:p>
            <w:pPr>
              <w:spacing w:after="0"/>
              <w:rPr>
                <w:sz w:val="22"/>
                <w:szCs w:val="22"/>
                <w:color w:val="auto"/>
              </w:rPr>
            </w:pP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6940" w:type="dxa"/>
            <w:vAlign w:val="bottom"/>
            <w:gridSpan w:val="9"/>
          </w:tcPr>
          <w:p>
            <w:pPr>
              <w:spacing w:after="0"/>
              <w:rPr>
                <w:sz w:val="22"/>
                <w:szCs w:val="22"/>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138</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940" w:type="dxa"/>
            <w:vAlign w:val="bottom"/>
            <w:gridSpan w:val="9"/>
          </w:tcPr>
          <w:p>
            <w:pPr>
              <w:spacing w:after="0"/>
              <w:rPr>
                <w:sz w:val="18"/>
                <w:szCs w:val="18"/>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88"/>
              </w:rPr>
              <w:t>145</w:t>
            </w:r>
          </w:p>
        </w:tc>
      </w:tr>
      <w:tr>
        <w:trPr>
          <w:trHeight w:val="1648"/>
        </w:trPr>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or terminology. Forward-looking statements contained in this Annual Report on Form 10-K include, but are not limited to, statements regarding our future results of operations and financial position, industry and business trends, technological development, projections of demand, growth prospects, product development, competitive pressure, cost savings, stock-based compensation, revenue recognition, business strategy, plans and market growth, the economic climate and its impact on us, and other financial and market matters.</w:t>
      </w:r>
    </w:p>
    <w:p>
      <w:pPr>
        <w:spacing w:after="0" w:line="14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 on our current assumptions,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2024.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references to “Kaltura,” the “Company,” “we,” “us,” and “our,” refer to Kaltura, Inc. and its subsidiaries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INDUSTRY AND MARKET DATA</w:t>
      </w:r>
    </w:p>
    <w:p>
      <w:pPr>
        <w:spacing w:after="0" w:line="26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is based on information from independent industry and research organizations, other third-party sources, and management estimates. Certain of these publications, studies and reports were published before the COVID-19 pandemic and before the resulting effects on the global economy in general and video solutions market in particular, and the current worsening economic climate, and therefore do not reflect any impact of the COVID-19 pandemic or the effects of the worsening economic climate on any specific market or globally. Management estimates are derived from publicly available information released by independent industry analysts and third-party sources, as well as data from our internal research, and are based on assumptions made by us upon reviewing such data and our familiarity or knowledge of such industry and markets, which we believe to be reasonable. Although we believe the data from these third-party sources is reliable, we have not independently verified any third-party information and such data may include forward looking statements, projections, predictions, estimations and assessments within the meaning referenced above by these third-party sources. In addition, projections, assumptions, and estimates of the future performance of the industry in which we operate and our future performance are necessarily subject to uncertainty and risk due to a variety of factors, including those described in Part I, Item 1A. “Risk Factors” and the section titled “Forward-Looking Statements.” These and other factors could cause results to differ materially from those expressed in the estimates made by the independent parties and by us.</w:t>
      </w:r>
    </w:p>
    <w:p>
      <w:pPr>
        <w:spacing w:after="0" w:line="136"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18"/>
          <w:szCs w:val="18"/>
          <w:color w:val="auto"/>
        </w:rPr>
        <w:t>In particular, certain information identified in this Annual Report on Form 10-K is contained in the following independent industry publications or reports by Forrester Research, Inc. (“Forrester”) and Gartner, Inc. (“Gartner”)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Magic Quadrant™ for Enterprise Video Content Management, September 2013, October 2014, November 2015, November 2016 and November 2018.</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Critical Capabilities for Enterprise Video Content Management, March 2019.</w:t>
      </w:r>
    </w:p>
    <w:p>
      <w:pPr>
        <w:spacing w:after="0" w:line="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Gartner, Market Guide for Enterprise Video Content Management, September 2020.</w:t>
      </w:r>
    </w:p>
    <w:p>
      <w:pPr>
        <w:spacing w:after="0" w:line="143" w:lineRule="exact"/>
        <w:rPr>
          <w:rFonts w:ascii="Times New Roman" w:cs="Times New Roman" w:eastAsia="Times New Roman" w:hAnsi="Times New Roman"/>
          <w:sz w:val="28"/>
          <w:szCs w:val="28"/>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Magic Quadrant for Meeting Solutions, October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Magic Quadrant for Meeting Solutions, October 2021.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Critical Capabilities for Meeting Solutions, October 2021.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Market Guide for Event Technology Platforms, May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Market Guide for Meeting Solutions, October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Market Guide for Event Technology Platforms, June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Market Finder and Use Case Guide for Meetings and Virtual Events,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Market Guide for Meeting Solutions, November 2023.</w:t>
      </w:r>
    </w:p>
    <w:p>
      <w:pPr>
        <w:spacing w:after="0" w:line="1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Peer Insights: Enterprise Video Content Management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Meeting Solutions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Event Management Technology</w:t>
      </w:r>
      <w:r>
        <w:rPr>
          <w:rFonts w:ascii="Times New Roman" w:cs="Times New Roman" w:eastAsia="Times New Roman" w:hAnsi="Times New Roman"/>
          <w:sz w:val="23"/>
          <w:szCs w:val="23"/>
          <w:color w:val="auto"/>
          <w:vertAlign w:val="superscript"/>
        </w:rPr>
        <w:t>(4)</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Magic Quadrant for Event Technology Platforms, March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Critical Capabilities for Event Technology Platforms, March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Competitive Landscape: Video Platform Services, December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Market Guide for Meeting Solutions, January, 2025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Forrester, The Forrester Wave™: B2B Marketing Events Management Solutions, Q1 2021.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Forrester, The B2B Event Management Technology Landscape, Q4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Forrester Wave™: B2B Event Management Technology, Q1 2023.</w:t>
      </w:r>
    </w:p>
    <w:p>
      <w:pPr>
        <w:spacing w:after="0" w:line="169" w:lineRule="exact"/>
        <w:rPr>
          <w:sz w:val="20"/>
          <w:szCs w:val="20"/>
          <w:color w:val="auto"/>
        </w:rPr>
      </w:pPr>
    </w:p>
    <w:p>
      <w:pPr>
        <w:ind w:left="660" w:hanging="328"/>
        <w:spacing w:after="0" w:line="284" w:lineRule="auto"/>
        <w:tabs>
          <w:tab w:leader="none" w:pos="821"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Gartner's Magic Quadrant and Critical Capabilities references are provided for historical purposes only and do not reflect current market recognition.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https://www.gartner.com/reviews/market/enterprise-video-content-management/vendor/kaltura/product/kaltura-video-platform</w:t>
      </w:r>
    </w:p>
    <w:p>
      <w:pPr>
        <w:spacing w:after="0" w:line="171" w:lineRule="exact"/>
        <w:rPr>
          <w:rFonts w:ascii="Times New Roman" w:cs="Times New Roman" w:eastAsia="Times New Roman" w:hAnsi="Times New Roman"/>
          <w:sz w:val="18"/>
          <w:szCs w:val="18"/>
          <w:i w:val="1"/>
          <w:iCs w:val="1"/>
          <w:color w:val="auto"/>
        </w:rPr>
      </w:pPr>
    </w:p>
    <w:p>
      <w:pPr>
        <w:ind w:left="720" w:hanging="388"/>
        <w:spacing w:after="0"/>
        <w:tabs>
          <w:tab w:leader="none" w:pos="7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https://www.gartner.com/reviews/market/meeting-solutions/vendor/kaltura/product/kaltura-video-communications-and-collaboration-suite</w:t>
      </w:r>
    </w:p>
    <w:p>
      <w:pPr>
        <w:spacing w:after="0" w:line="171" w:lineRule="exact"/>
        <w:rPr>
          <w:rFonts w:ascii="Times New Roman" w:cs="Times New Roman" w:eastAsia="Times New Roman" w:hAnsi="Times New Roman"/>
          <w:sz w:val="18"/>
          <w:szCs w:val="18"/>
          <w:i w:val="1"/>
          <w:iCs w:val="1"/>
          <w:color w:val="auto"/>
        </w:rPr>
      </w:pPr>
    </w:p>
    <w:p>
      <w:pPr>
        <w:ind w:left="720" w:hanging="388"/>
        <w:spacing w:after="0"/>
        <w:tabs>
          <w:tab w:leader="none" w:pos="7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https://www.gartner.com/reviews/market/event-technology-platforms/vendor/kaltura?ref=solrcvp&amp;refval=394436571</w:t>
      </w:r>
    </w:p>
    <w:p>
      <w:pPr>
        <w:spacing w:after="0" w:line="17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GARTNER is a registered trademark and service mark of Gartner, Inc. and/or its affiliates in the U.S. and internationally, and MAGIC QUADRANT and PEER INSIGHTS are a registered trademark of Gartner, Inc. and/or its affiliates and are used herein with permission. All rights reserved.</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2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Gartner Peer Insights content consists of the opinions of individual end users based on their own experiences, and should not be construed as statements of fact, nor do they represent the views of Gartner or its affiliates. Gartner does not endorse any vendor, product or service depicted in this content nor makes any warranties, expressed or implied, with respect to this content, about its accuracy or completeness, including any warranties of merchantability or fitness for a particular purpose.</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Form 10-K) and the opinions expressed in the Gartner Content are subject to change without notice.</w:t>
      </w:r>
    </w:p>
    <w:p>
      <w:pPr>
        <w:spacing w:after="0" w:line="12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Forrester does not endorse any company, product, brand, or service included in its research publications and does not advise any person to select the products or services of any company or brand based on the ratings included in such publications. Information is based on the best available resources. Opinions reflect judgment at the time and are subject to change. For more information, read about Forrester’s objectivity at https://www.forrester.com/about-us/objectivity/. </w:t>
      </w:r>
    </w:p>
    <w:p>
      <w:pPr>
        <w:spacing w:after="0" w:line="12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Additionally, the data presented in this Annual Report on Form 10-K regarding customers by industry is based on market capitalization as of January 29, 2025, as reported by companiesmarketcap.com and big4 accountingfirms.com.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17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or taking other decisions with respect to, our common stock. The principal risks and uncertainties affecting our business include the following:</w:t>
      </w:r>
    </w:p>
    <w:p>
      <w:pPr>
        <w:spacing w:after="0" w:line="122"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assess or mitigate the current volatile economic climate and its direct and indirect impact on our business and operations, or to correctly predict the duration and depth of the current instability of the global economy and take the right or sufficient measures to address 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conditions in Israel could materially and adversely affect our business;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existing customer demand and exposure to changes in demand by our customers, loss of one or more of our significant customers, or any other reduction in the amount of revenue we derive from any such customer makes it difficult to evaluate our current business and future prospects and may adversely affect our business, financial condition, results of operations and growth prospects;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have a history of losses and may not be able to achieve or maintain profitability;</w:t>
      </w:r>
    </w:p>
    <w:p>
      <w:pPr>
        <w:spacing w:after="0" w:line="157" w:lineRule="exact"/>
        <w:rPr>
          <w:rFonts w:ascii="Arial" w:cs="Arial" w:eastAsia="Arial" w:hAnsi="Arial"/>
          <w:sz w:val="22"/>
          <w:szCs w:val="22"/>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growth and expansion of the markets for our offerings, which are constantly evolving and may develop more slowly or differently than we expect, and on our ability to adapt and respond effectively to evolving market conditions;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risks associated with our use of certain artificial intelligence (“AI”) and machine learning models, including generative artificial intelligence (“generative AI” or “Gen AI”, collectively with AI, the “AI Technologies”), and compliance with the evolving regulatory framework and customers' requirements around AI development and use;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(and vice-versa), our business, financial condition and results of operations may be adversely affected;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our Application Programming Interfaces (APIs) and other components in our offerings are licensed to the public under an open-source license, which could negatively affect our ability to monetize our offerings and protect our intellectual property rights;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nascent and highly fragmented, and we may not be able to compete successfully against current and future competitors, which could harm our business, financial condition and results of operations could be harmed;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increase sales of our subscriptions to new customers, expand the offerings to which our existing customers subscribe or the value of their subscriptions, or have them renew their subscriptions in terms that are economically beneficial to us, our future revenue and results of operations would be adversely affected;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conditions in Ukraine, Russia and other countries following the Russian invasion to Ukraine, geopolitical instability and hostilities in the Middle East and Gulf region and their possible impact on global trade and financial markets, or such and other conditions in other regions in which we operate, or changes in the business environment in those regions, could materially and adversely affect our business;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breaches of network or information technology security along with an increase in cyber-attack activities, increases the risk that we shall be subject to cybersecurity threats that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digital resilience laws are rapidly evolving and present increasing compliance challenges. Additionally, 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contractual commitments under our customer agreements, we could be obligated to provide credits for future service, face contract termination with refunds of prepaid amounts, be charged penalties, or could experience a decrease in customer renewals in future periods, any of which would lower our revenue and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including third parties outside the United States, for some of our software development, quality assurance, operations, and customer support;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management team and other key employees, and the loss of one or more of these employees or an inability to attract and retain highly skilled employees could adversely affect our business;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or to maintain or expand our international business could harm our ability to increase our customer base and achieve broader market acceptance of our offerings;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revenue mix to vary over time, which could negatively impact our gross margin and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expansion expose us to risk;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entities, which subjects us to specific challenges and risks;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consummate acquisitions at acceptable rate or prices or achieve our expected goals, and to enter into other strategic transactions and relationships that support our long-term strategy, our growth rate and the trading price of our common stock could be negatively affected;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or perceived bug, defect, security vulnerability, error, or other performance failure involving our platform, products or solutions could cause us to lose revenue, damage our reputation, and expose us to liability;</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the significant capital necessary to expand our operations and invest in new offerings could reduce our ability to compete and could adversely affect our business;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U.S. laws or policies, including possible changes in U.S. trade policies and tariffs and the reaction of other countries to these policies, may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We, Kaltura, Inc. (“Kaltura,” “we,” “us,” or “our”), are a market-leading provider of live, real-time, and on-demand video offerings for enterprises, with a mission to create and power AI-infused hyper-personalized video experiences that boost customer and employee engagement and success.</w:t>
      </w:r>
    </w:p>
    <w:p>
      <w:pPr>
        <w:spacing w:after="0" w:line="108"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Video is everywhere. It has become a driving force for online interactions and engagement, and has revolutionized how we communicate, work, learn, and entertain. For businesses, video sits at the heart of digital transformation, with organizations increasingly embracing video solutions to better engage with customers and employees. Moreover, the recent rise of generative AI enables real-time, automatic production of highly personalized and contextually relevant content, including video and rich media, which we believe would materially boost the creation, consumption, and business impact of video experiences. With the expected continued growth in rich content in organizations, the potential need for content management solutions and advanced digital experiences is expected to grow.</w:t>
      </w:r>
    </w:p>
    <w:p>
      <w:pPr>
        <w:spacing w:after="0" w:line="13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Founded in 2006, Kaltura was amongst the first pioneers to recognize the great potential of adding video to enterprise workflows and to offer a system for enterprise video content management and online video publishing. We have since expanded to also power virtual events and webinars and Cloud TV with our Video Experience Cloud. Our Video Experience Cloud includes a platform for enterprise and TV content management and a wide array of Gen AI-infused video-first products, including Video Portals, LMS and CMS Video Extensions, Virtual Events and Webinars, Virtual Classrooms, and TV Streaming Applications.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platform and products engage millions of end-users at home, at work, and at school, boosting both customer and employee experiences, including marketing, sales, and customer success; teaching, learning, training and certification; communication and collaboration; and entertainment, and monetization. We power a large and loyal blue-chip customer base of large, and small and medium enterprises (SMEs), across diverse industries, including 27% of Fortune 100 companies, over 50% of US R1 schools, and top-tier telecommunications companies and media companies.</w:t>
      </w:r>
    </w:p>
    <w:p>
      <w:pPr>
        <w:spacing w:after="0" w:line="12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From the onset, our differentiated approach has been to treat video as a data type, not as an application, and accordingly to provide a unified and flexible enterprise-grade API-first platform that enables tightly integrated live, real-time, and on-demand video experiences across business workflows. We believe Kaltura’s platform offering is superior to siloed point solutions, which are not deeply integrated or interoperable, and as such are typically less effective, less efficient, and more costly. Our platform is designed to foster deeper engagement and deliver greater business outcomes, whether that means boosting employee knowledge, engagement, collaboration and productivity; driving marketing funnel conversion and successfully attracting and engaging customers and prospects; providing improved customer care; or offering more engaging entertainment experiences that yield greater monetization.</w:t>
      </w:r>
    </w:p>
    <w:p>
      <w:pPr>
        <w:spacing w:after="0" w:line="13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During the COVID-19 pandemic, many enterprises and educational institutions rapidly expanded their use of video solutions, fueling accelerated adoption of video solutions. While the enterprise video market saw demand deceleration when pandemic-related restrictions subsequently eased and certain geopolitical and macroeconomic challenges ensued, the demand for high-quality, secure, and flexible video tools remains robust. We believe demand is gradually starting to regrow, along with an even greater need of organizations to converge their numerous disparate video experiences to run more effectively on single horizontal platforms like Kaltura’s.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Furthermore, we believe that recently introduced Gen AI capabilities supercharge the value of video experiences by helping to facilitate real-time, unique, hyper-personalized and hyper-contextualized video-first experiences for every end user. We believe this is a groundbreaking revolution in our industry, and that Kaltura is well-positioned to benefit from it in light of the vast video content that we already manage for our customers, our deep integrations into workflows, and our cross-enterprise deployments across a wide range of products, and employee and customer use-cases.</w:t>
      </w:r>
    </w:p>
    <w:p>
      <w:pPr>
        <w:spacing w:after="0" w:line="12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we look ahead, we see opportunities to strengthen our valuable existing relationships through additional upsells and cross-sells, to attract new customers to use our existing products and services, and to also continue and grow our product and services portfolio and expand into additional adjacent markets. We believe this combination of innovation, operational adaptability, and strong customer relationships will enable us to maintain our leadership in the dynamic video technology market and deliver growing, sustainable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Segments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expanded throughout the years to operate today in three enterprise video market segments:</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Video Content Management and Online Video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TV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Events and Webinars</w:t>
      </w:r>
    </w:p>
    <w:p>
      <w:pPr>
        <w:spacing w:after="0" w:line="17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We believe that we are well-positioned to continue expanding our business in these growing market segments as well as continue to effectively penetrate new ones and are continually exploring new ways to innovate our business.</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Enterprise Video Content Management (EVCM) and Online Video Platforms (OVP)</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EVCM and OVP market segment is comprised of video-first solutions designed to enable organizations to capture, create, manage, analyze, edit, optimize, distribute, publish, monetize, and engage with on-demand and live video streaming, at scale.</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Projected Growth Drivers:</w:t>
      </w:r>
    </w:p>
    <w:p>
      <w:pPr>
        <w:spacing w:after="0" w:line="17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advent of mobile devices and cloud-based services, increased bandwidth capacity, a shift towards remote work and learning, and a demographic shift to generations that favor video over other data types are expected to increase content creation and consumption.</w:t>
      </w:r>
    </w:p>
    <w:p>
      <w:pPr>
        <w:spacing w:after="0" w:line="12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5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 AI-infused experiences are expected to boost content creation, consumption, and impact, and to increasingly replace labor-intensive production services.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TV Software</w:t>
      </w:r>
    </w:p>
    <w:p>
      <w:pPr>
        <w:spacing w:after="0" w:line="175"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Cloud TV Software market segment is comprised of solutions that power large scale, cloud-based over-the-top (OTT) television streaming services across devices (set-top-boxes, smart TVs, and connected devices) and monetization schemas (subscription, transaction, and advertising-based). This includes both a backend platform for content and user management, and front-end applications for end-user engagement.</w:t>
      </w:r>
    </w:p>
    <w:p>
      <w:pPr>
        <w:spacing w:after="0" w:line="1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Projected Growth Drivers:</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migration from legacy IPTV systems to OTT, and from on-premises to cloud, is expected to continue.</w:t>
      </w:r>
    </w:p>
    <w:p>
      <w:pPr>
        <w:spacing w:after="0" w:line="17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9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 AI-infused content curation and end-user TV experiences are expected to improve cost efficiencies and to boost engagement and monetization.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Virtual Events and Webinars</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Virtual Events and Webinars market segment is comprised of both synchronous and asynchronous video-first solutions that are used to host virtual and hybrid events and webinars at varying scales, from small group meetings to large multi-day conferences.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Projected Growth Drivers:</w:t>
      </w:r>
    </w:p>
    <w:p>
      <w:pPr>
        <w:spacing w:after="0" w:line="171" w:lineRule="exact"/>
        <w:rPr>
          <w:rFonts w:ascii="Times New Roman" w:cs="Times New Roman" w:eastAsia="Times New Roman" w:hAnsi="Times New Roman"/>
          <w:sz w:val="18"/>
          <w:szCs w:val="18"/>
          <w:color w:val="auto"/>
        </w:rPr>
      </w:pPr>
    </w:p>
    <w:p>
      <w:pPr>
        <w:ind w:left="1960" w:hanging="332"/>
        <w:spacing w:after="0" w:line="282" w:lineRule="auto"/>
        <w:tabs>
          <w:tab w:leader="none" w:pos="199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have increasingly become full or partial virtual experiences, in order to expand reach, reduce costs and increase sustainability, and to increase engagement before, during, and after the events.</w:t>
      </w:r>
    </w:p>
    <w:p>
      <w:pPr>
        <w:spacing w:after="0" w:line="107" w:lineRule="exact"/>
        <w:rPr>
          <w:rFonts w:ascii="Times New Roman" w:cs="Times New Roman" w:eastAsia="Times New Roman" w:hAnsi="Times New Roman"/>
          <w:sz w:val="18"/>
          <w:szCs w:val="18"/>
          <w:color w:val="auto"/>
        </w:rPr>
      </w:pPr>
    </w:p>
    <w:p>
      <w:pPr>
        <w:ind w:left="1960" w:hanging="332"/>
        <w:spacing w:after="0" w:line="282" w:lineRule="auto"/>
        <w:tabs>
          <w:tab w:leader="none" w:pos="195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 AI-infused experiences are expected to reduce event production costs and to drive adoption, engagement, impact, and return on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Cases</w:t>
      </w:r>
    </w:p>
    <w:p>
      <w:pPr>
        <w:spacing w:after="0" w:line="18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Our platform and products support millions of end users worldwide at home, work, and school, through our enterprise customers who rely on Kaltura to power a broad range of use cases, spanning across both customer and employee experiences. Main use cases include:</w:t>
      </w:r>
    </w:p>
    <w:p>
      <w:pPr>
        <w:spacing w:after="0" w:line="108"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Marketing, Sales and Customer Success: including, for example, live webinar programs for lead generation, large-scale virtual or hybrid events, video publishing in websites and social media, customer video portal, and personalized video messaging.</w:t>
      </w:r>
    </w:p>
    <w:p>
      <w:pPr>
        <w:spacing w:after="0" w:line="10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Teaching, Learning, Training and Certification: including, for example, lecture capture, virtual classrooms, online learning and training libraries and portals for onboarding, training, compliance programs, micro-learning, and certification pathways.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and Collaboration: including, for example, intranet knowledge sharing portals and content hubs, social enterprise platforms, virtual events, and employee town halls.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Monetization: including, for example, live and on-demand Cloud TV services (SVOD, TVOD, and AVOD), live broadcasting, content syndication and publishing, and user-generated content portals.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distinguish in our financial reporting between revenue and gross profit from Subscription and Professional Services that are attained from customers who use us to address the Entertainment &amp; Monetization use case (“Media &amp; Telecom” reporting segment, or “M&amp;T”), to those that are attained from customers who are using us to address all other use cases (“Enterprise, Education, and Technology” reporting segment, or “EE&amp;T”).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Market Trends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nature of video experiences has transformed in recent years. Several major trends have played a role in this evolution:</w:t>
      </w:r>
    </w:p>
    <w:p>
      <w:pPr>
        <w:spacing w:after="0" w:line="167" w:lineRule="exact"/>
        <w:rPr>
          <w:sz w:val="20"/>
          <w:szCs w:val="20"/>
          <w:color w:val="auto"/>
        </w:rPr>
      </w:pPr>
    </w:p>
    <w:p>
      <w:pPr>
        <w:jc w:val="both"/>
        <w:ind w:left="1100" w:hanging="327"/>
        <w:spacing w:after="0" w:line="259"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Shift to Remote Work and Education: </w:t>
      </w:r>
      <w:r>
        <w:rPr>
          <w:rFonts w:ascii="Times New Roman" w:cs="Times New Roman" w:eastAsia="Times New Roman" w:hAnsi="Times New Roman"/>
          <w:sz w:val="18"/>
          <w:szCs w:val="18"/>
          <w:color w:val="auto"/>
        </w:rPr>
        <w:t>Organizations worldwide continue to adopt remote and hybrid work and learning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relying heavily on video to create comprehensive digital experiences at scale. The need for high-quality remote and hybrid solutions has further increased as businesses reduce travel budgets and seek to lower their carbon footprint and further adapt to the remote experiences culture of their audiences. As a result, we have observed a growing demand for integrated video workflows, analytics, and engagement tools that can accommodate diverse use cases from employee collaboration and corporate training, to academic instruction and online events.</w:t>
      </w:r>
    </w:p>
    <w:p>
      <w:pPr>
        <w:spacing w:after="0" w:line="125" w:lineRule="exact"/>
        <w:rPr>
          <w:rFonts w:ascii="Times New Roman" w:cs="Times New Roman" w:eastAsia="Times New Roman" w:hAnsi="Times New Roman"/>
          <w:sz w:val="18"/>
          <w:szCs w:val="18"/>
          <w:color w:val="auto"/>
        </w:rPr>
      </w:pPr>
    </w:p>
    <w:p>
      <w:pPr>
        <w:jc w:val="both"/>
        <w:ind w:left="1100" w:hanging="327"/>
        <w:spacing w:after="0" w:line="26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are No Longer just In-Person</w:t>
      </w:r>
      <w:r>
        <w:rPr>
          <w:rFonts w:ascii="Times New Roman" w:cs="Times New Roman" w:eastAsia="Times New Roman" w:hAnsi="Times New Roman"/>
          <w:sz w:val="18"/>
          <w:szCs w:val="18"/>
          <w:color w:val="auto"/>
        </w:rPr>
        <w:t>: Marketers and event organizers are increasingly incorporating virtual and hybrid formats into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strategies. Video remains at the core of these experiences, and we experience a corresponding rise in demand for detailed engagement analytics and hyper-personalized content. As organizations seek to connect with audiences both on-site and remotely, comprehensive virtual event solutions that provide high-quality interactivity and robust performance metrics become increasingly essential.</w:t>
      </w:r>
    </w:p>
    <w:p>
      <w:pPr>
        <w:spacing w:after="0" w:line="122" w:lineRule="exact"/>
        <w:rPr>
          <w:rFonts w:ascii="Times New Roman" w:cs="Times New Roman" w:eastAsia="Times New Roman" w:hAnsi="Times New Roman"/>
          <w:sz w:val="18"/>
          <w:szCs w:val="18"/>
          <w:color w:val="auto"/>
        </w:rPr>
      </w:pPr>
    </w:p>
    <w:p>
      <w:pPr>
        <w:jc w:val="both"/>
        <w:ind w:left="1100" w:hanging="327"/>
        <w:spacing w:after="0" w:line="26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Importance of Employer Branding</w:t>
      </w:r>
      <w:r>
        <w:rPr>
          <w:rFonts w:ascii="Times New Roman" w:cs="Times New Roman" w:eastAsia="Times New Roman" w:hAnsi="Times New Roman"/>
          <w:sz w:val="18"/>
          <w:szCs w:val="18"/>
          <w:color w:val="auto"/>
        </w:rPr>
        <w:t>: Companies are intensifying their focus on employer branding, both externally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prospects, and internally to recruit and retain talent. This convergence of external marketing and internal communications requires the same level of production quality and user experience for all audiences. As a result, video-based solutions for communications and branding must be flexible, scalable, and consistent in look and feel across different channels.</w:t>
      </w:r>
    </w:p>
    <w:p>
      <w:pPr>
        <w:spacing w:after="0" w:line="122" w:lineRule="exact"/>
        <w:rPr>
          <w:rFonts w:ascii="Times New Roman" w:cs="Times New Roman" w:eastAsia="Times New Roman" w:hAnsi="Times New Roman"/>
          <w:sz w:val="18"/>
          <w:szCs w:val="18"/>
          <w:color w:val="auto"/>
        </w:rPr>
      </w:pPr>
    </w:p>
    <w:p>
      <w:pPr>
        <w:jc w:val="both"/>
        <w:ind w:left="1100" w:hanging="327"/>
        <w:spacing w:after="0" w:line="259"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First Party Data</w:t>
      </w:r>
      <w:r>
        <w:rPr>
          <w:rFonts w:ascii="Times New Roman" w:cs="Times New Roman" w:eastAsia="Times New Roman" w:hAnsi="Times New Roman"/>
          <w:sz w:val="18"/>
          <w:szCs w:val="18"/>
          <w:color w:val="auto"/>
        </w:rPr>
        <w:t>: With increasing privacy regulations and evolving consumer expectations, we believe that first-party data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increasingly become a strategic asset. Organizations are investing in platforms such as video experience platforms that help them gather and leverage their own user data rather than relying on third-party sources. These capabilities are built to enable deeper audience insights, more effective personalization, and stronger control over compliance and data governance, and better control the organization's secured environments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100" w:hanging="327"/>
        <w:spacing w:after="0" w:line="259"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Demand for Vendor Consolidation</w:t>
      </w:r>
      <w:r>
        <w:rPr>
          <w:rFonts w:ascii="Times New Roman" w:cs="Times New Roman" w:eastAsia="Times New Roman" w:hAnsi="Times New Roman"/>
          <w:sz w:val="18"/>
          <w:szCs w:val="18"/>
          <w:color w:val="auto"/>
        </w:rPr>
        <w:t>: Many businesses are seeking to streamline operations and maximize value by consolidating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technology vendors. While cost savings remain an important motivator, organizations are also focused on improving overall efficiency, performance, and agility. Companies increasingly look for comprehensive platforms that address multiple digital transformation needs, such as webinars, virtual events, corporate communications, and live streaming, within a single ecosystem. This approach is intended to reduce complexity, simplify vendor management, and support more cohesive long-term digital strategies.</w:t>
      </w:r>
    </w:p>
    <w:p>
      <w:pPr>
        <w:spacing w:after="0" w:line="125" w:lineRule="exact"/>
        <w:rPr>
          <w:rFonts w:ascii="Times New Roman" w:cs="Times New Roman" w:eastAsia="Times New Roman" w:hAnsi="Times New Roman"/>
          <w:sz w:val="18"/>
          <w:szCs w:val="18"/>
          <w:color w:val="auto"/>
        </w:rPr>
      </w:pPr>
    </w:p>
    <w:p>
      <w:pPr>
        <w:jc w:val="both"/>
        <w:ind w:left="1100" w:hanging="327"/>
        <w:spacing w:after="0" w:line="256"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Generative Artificial Intelligence on the Rise</w:t>
      </w:r>
      <w:r>
        <w:rPr>
          <w:rFonts w:ascii="Times New Roman" w:cs="Times New Roman" w:eastAsia="Times New Roman" w:hAnsi="Times New Roman"/>
          <w:sz w:val="18"/>
          <w:szCs w:val="18"/>
          <w:color w:val="auto"/>
        </w:rPr>
        <w:t>: The emergence of generative AI has opened new avenues for automating workflows,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 productivity, and lowering costs across industries and departments. Real-time, automated production of highly personalized, contextually relevant video and other rich media has the potential to substantially boost both the creation and consumption of video experiences. As organizations are expected to produce more rich content, we anticipate growing demand for robust content management solutions and advanced digital experiences. Generative AI has particularly gained popularity among marketing teams, who are leveraging AI-driven tools in a wide range of video-based campaigns. We believe the expanded adoption of Gen AI will continue to influence both technology investments and the strategic direction of video-centric solutions.</w:t>
      </w:r>
    </w:p>
    <w:p>
      <w:pPr>
        <w:spacing w:after="0" w:line="128" w:lineRule="exact"/>
        <w:rPr>
          <w:rFonts w:ascii="Times New Roman" w:cs="Times New Roman" w:eastAsia="Times New Roman" w:hAnsi="Times New Roman"/>
          <w:sz w:val="18"/>
          <w:szCs w:val="18"/>
          <w:color w:val="auto"/>
        </w:rPr>
      </w:pPr>
    </w:p>
    <w:p>
      <w:pPr>
        <w:jc w:val="both"/>
        <w:ind w:left="1100" w:hanging="327"/>
        <w:spacing w:after="0" w:line="259"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Rise of Over-The-Top (OTT) Video</w:t>
      </w:r>
      <w:r>
        <w:rPr>
          <w:rFonts w:ascii="Times New Roman" w:cs="Times New Roman" w:eastAsia="Times New Roman" w:hAnsi="Times New Roman"/>
          <w:sz w:val="18"/>
          <w:szCs w:val="18"/>
          <w:color w:val="auto"/>
        </w:rPr>
        <w:t>: Television content delivery continues its migration to internet-based (OTT) services, allowing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to bypass traditional broadcast models and reach consumers directly. At the same time, enterprises, smaller organizations, and even individuals can now produce and distribute video content locally and globally. This shift has driven demand for high-performance, user-friendly, highly customizable platforms that support live and on-demand video, advanced monetization models, and a seamless cross-device viewer experience.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Challenges That Organizations Who Want to Use Video Currently Face</w:t>
      </w:r>
    </w:p>
    <w:p>
      <w:pPr>
        <w:spacing w:after="0" w:line="18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As video continues to grow as a primary medium for communication, collaboration, learning, marketing, and entertainment, many organizations will have to navigate new complexities. In a challenging economic environment, organizations are under pressure to deliver measurable results with reduced budgets and to reinvent themselves amid a fast-evolving Gen AI landscape. Without cohesive video-centric strategies and robust analytics to support those activities, these efforts often fall short of achieving the desired engagement and return on spend. The following are some of the challenges that we have observed organizations frequently encounter:</w:t>
      </w:r>
    </w:p>
    <w:p>
      <w:pPr>
        <w:spacing w:after="0" w:line="125" w:lineRule="exact"/>
        <w:rPr>
          <w:sz w:val="20"/>
          <w:szCs w:val="20"/>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integration of video into existing processes, tools and systems</w:t>
      </w:r>
      <w:r>
        <w:rPr>
          <w:rFonts w:ascii="Times New Roman" w:cs="Times New Roman" w:eastAsia="Times New Roman" w:hAnsi="Times New Roman"/>
          <w:sz w:val="18"/>
          <w:szCs w:val="18"/>
          <w:color w:val="auto"/>
        </w:rPr>
        <w:t>: Most video solutions are standalone applications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sufficiently integrated into existing workflows and applications. Without deep integration, video experiences do not fulfill their full potential and often fall short of delivering on their intended business impact. For example, marketing departments are under pressure to deliver measurable leads and conversions with increasingly smaller marketing budgets and a pressured B2B marketing funnel. Without deeply integrating video experiences into the lead generation workflows, customer and campaign data, and MARTECH systems, marketing efforts may fail to drive the desired customer engagement and return on investment.</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Dealing with a large number of single purpose and often redundant video applications</w:t>
      </w:r>
      <w:r>
        <w:rPr>
          <w:rFonts w:ascii="Times New Roman" w:cs="Times New Roman" w:eastAsia="Times New Roman" w:hAnsi="Times New Roman"/>
          <w:sz w:val="18"/>
          <w:szCs w:val="18"/>
          <w:color w:val="auto"/>
        </w:rPr>
        <w:t>: Many organizations are working with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who offer point solutions for seemingly separable use cases. This also often includes utilizing different providers for on-demand, live, and real-time video, instead of meshing these experiences together. These organizations may suffer from limited functionality, a lack of cohesiveness and inconsistent user experience, disjointed workflows, content silos, and fragmented analytics that lack a holistic view of user behavior. All of this reduces usability and user engagement, adds unnecessary complexities and costs, and lowers return-on-investment, efficiency and productivity.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Still offering mostly non-personalized lean-back viewing experiences</w:t>
      </w:r>
      <w:r>
        <w:rPr>
          <w:rFonts w:ascii="Times New Roman" w:cs="Times New Roman" w:eastAsia="Times New Roman" w:hAnsi="Times New Roman"/>
          <w:sz w:val="18"/>
          <w:szCs w:val="18"/>
          <w:color w:val="auto"/>
        </w:rPr>
        <w:t>: Many video-based experiences remain “lean-back”, offering minimal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and limited data capture. Without personalized interactions and advanced analytics, organizations may struggle to derive meaningful insights or nurture deeper employee and customer relationships. To that end, while the introduction of new Gen AI technology can dramatically boost personalization, organizations often find it difficult to adopt new capabilities and insert them deeply into their workflows.</w:t>
      </w:r>
    </w:p>
    <w:p>
      <w:pPr>
        <w:spacing w:after="0" w:line="12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Being vulnerable to mission-critical risks and liabilities</w:t>
      </w:r>
      <w:r>
        <w:rPr>
          <w:rFonts w:ascii="Times New Roman" w:cs="Times New Roman" w:eastAsia="Times New Roman" w:hAnsi="Times New Roman"/>
          <w:sz w:val="18"/>
          <w:szCs w:val="18"/>
          <w:color w:val="auto"/>
        </w:rPr>
        <w:t>: Security, availability, resilience and data protection remain top concerns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and even more so for organizations that are operating in regulated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Video is a complex and demanding data type, and many video solutions fail to fully adhere to the most stringent compliance and governance requirements, resulting not just in limited functionality and adoption, and in unnecessary complexities and costs, but also in greater risks compared to enterprise-grade solutions.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Kaltura Addresses Organizations' Video Challenges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Customers trust Kaltura to power their video experiences for the following main reasons:</w:t>
      </w:r>
    </w:p>
    <w:p>
      <w:pPr>
        <w:spacing w:after="0" w:line="167" w:lineRule="exact"/>
        <w:rPr>
          <w:sz w:val="20"/>
          <w:szCs w:val="20"/>
          <w:color w:val="auto"/>
        </w:rPr>
      </w:pPr>
    </w:p>
    <w:p>
      <w:pPr>
        <w:jc w:val="both"/>
        <w:ind w:left="1100" w:hanging="327"/>
        <w:spacing w:after="0" w:line="254"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Advanced, Flexible and Modular Video Content Management</w:t>
      </w:r>
      <w:r>
        <w:rPr>
          <w:rFonts w:ascii="Times New Roman" w:cs="Times New Roman" w:eastAsia="Times New Roman" w:hAnsi="Times New Roman"/>
          <w:sz w:val="18"/>
          <w:szCs w:val="18"/>
          <w:color w:val="auto"/>
        </w:rPr>
        <w:t>: Our API-first architecture and hundreds of APIs, comprehensive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kits (“SDK”) and Experience Components, and vast ecosystem of integration partners provide to organizations of all sizes across diverse industries the leading content management capabilities with a very high degree of integration, customization and flexibility. We believe this is key to successfully addressing business challenges and needs, security requirements, cost-efficiencies, and user-experiences. For example, in the case of marketing this enables us to deeply integrate into marketing workflows and with third party marketing products, and through that to boost the marketing funnel. To that end, it is noteworthy that Kaltura’s design approach to foster flexibility, modularity, and ecosystem collaboration stems not only from its sound business rationale, but also from our founding values of openness, flexibility, and collaboration. Since our inception we have wholeheartedly believed that video is a great equalizer, connecting people of diverse backgrounds, languages, industries, and accessibility needs, and that by enabling organizations to deeply integrate it into workflows, we help them achieve their own business goals and objectives.</w:t>
      </w:r>
    </w:p>
    <w:p>
      <w:pPr>
        <w:spacing w:after="0" w:line="131" w:lineRule="exact"/>
        <w:rPr>
          <w:rFonts w:ascii="Times New Roman" w:cs="Times New Roman" w:eastAsia="Times New Roman" w:hAnsi="Times New Roman"/>
          <w:sz w:val="18"/>
          <w:szCs w:val="18"/>
          <w:color w:val="auto"/>
        </w:rPr>
      </w:pPr>
    </w:p>
    <w:p>
      <w:pPr>
        <w:jc w:val="both"/>
        <w:ind w:left="1100" w:hanging="327"/>
        <w:spacing w:after="0" w:line="254"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Single Platform for All Video Experiences</w:t>
      </w:r>
      <w:r>
        <w:rPr>
          <w:rFonts w:ascii="Times New Roman" w:cs="Times New Roman" w:eastAsia="Times New Roman" w:hAnsi="Times New Roman"/>
          <w:sz w:val="18"/>
          <w:szCs w:val="18"/>
          <w:color w:val="auto"/>
        </w:rPr>
        <w:t>: Kaltura’s extensive and diverse product portfolio is designed to address a broad spectrum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customer experience use cases, while also meeting the distinct needs of multiple functional decision-makers - including Chief Marketing Officers, Chief Information Officers, Chief Technology Officers, and Chief Learning Officers - through a single, consolidated platform. This integrated approach avoids fragmentation of workflows, siloing of content, complexities, and redundant costs, fostering consistency and cost efficiency. Moreover, by owning the entire employee and customer journey we can collect their complete data, generate comprehensive insights, and maximize engagement and business results. This is even more crucial in the age of Gen AI, where having access to the complete data across the entire employee and customer journeys can yield the best insights and business outcomes. For example, in the same aforementioned case of marketing – our offerings span from interactive videos embedded in corporate websites and CMS integrations, to video-driven marketing events and portals, through customer education programs like academies and enablement hubs. This enables us to collect all of the user data and offer consistent engagement throughout their lifecycle, including effective hyper-personalized experiences with the use of evolving Gen AI technologies.</w:t>
      </w:r>
    </w:p>
    <w:p>
      <w:pPr>
        <w:spacing w:after="0" w:line="141" w:lineRule="exact"/>
        <w:rPr>
          <w:rFonts w:ascii="Times New Roman" w:cs="Times New Roman" w:eastAsia="Times New Roman" w:hAnsi="Times New Roman"/>
          <w:sz w:val="18"/>
          <w:szCs w:val="18"/>
          <w:color w:val="auto"/>
        </w:rPr>
      </w:pPr>
    </w:p>
    <w:p>
      <w:pPr>
        <w:jc w:val="both"/>
        <w:ind w:left="1100" w:hanging="327"/>
        <w:spacing w:after="0" w:line="252" w:lineRule="auto"/>
        <w:tabs>
          <w:tab w:leader="none" w:pos="10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 xml:space="preserve">Heightened Engagement, Interactivity, and Personalization: </w:t>
      </w:r>
      <w:r>
        <w:rPr>
          <w:rFonts w:ascii="Times New Roman" w:cs="Times New Roman" w:eastAsia="Times New Roman" w:hAnsi="Times New Roman"/>
          <w:sz w:val="18"/>
          <w:szCs w:val="18"/>
          <w:color w:val="auto"/>
        </w:rPr>
        <w:t>Our offerings include a wide array of “lean forward” experiences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promote engagement and interactivity. Our Gen AI-powered capabilities and developments, are building on our advanced content management, deep workflow integrations, and enterprise-wide data collection to offer hyper-personalized and hyper-contextualized immersive digital experiences, while designed to address enterprise-grade data integrity and privacy requirements, and adhere to our customers' AI policies.</w:t>
      </w:r>
    </w:p>
    <w:p>
      <w:pPr>
        <w:spacing w:after="0" w:line="131" w:lineRule="exact"/>
        <w:rPr>
          <w:rFonts w:ascii="Arial" w:cs="Arial" w:eastAsia="Arial" w:hAnsi="Arial"/>
          <w:sz w:val="20"/>
          <w:szCs w:val="20"/>
          <w:color w:val="auto"/>
        </w:rPr>
      </w:pPr>
    </w:p>
    <w:p>
      <w:pPr>
        <w:jc w:val="both"/>
        <w:ind w:left="1100" w:hanging="327"/>
        <w:spacing w:after="0" w:line="255"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Built for Enterprise</w:t>
      </w:r>
      <w:r>
        <w:rPr>
          <w:rFonts w:ascii="Times New Roman" w:cs="Times New Roman" w:eastAsia="Times New Roman" w:hAnsi="Times New Roman"/>
          <w:sz w:val="18"/>
          <w:szCs w:val="18"/>
          <w:color w:val="auto"/>
        </w:rPr>
        <w:t>: Our cloud-native architecture is designed to serve millions of concurrent viewers, supported by high-availability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helping facilitate robust mission-critical performance at scale. We meet global data security and privacy requirements through secure deployment options and regional data sovereignty, as well as by adhering to international compliance schemes and certifications such as ISO and SOC 2. In addition, we strive to address the needs of all users by integrating accessibility features that align with recognized global standards, reflecting our commitment to inclusivity. These capabilities also enable us to successfully cater to heavily regulated industries - such as healthcare, government, and financial services. We believe our extensive experience in executing large-scale, highly secure video projects allows us to help organizations achieve meaningful business results without compromising on security, privacy, resilience, and accessibility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Recognition of Kaltura</w:t>
      </w:r>
    </w:p>
    <w:p>
      <w:pPr>
        <w:spacing w:after="0" w:line="184"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Our products received multiple awards and industry recognition in 2024, reflecting our continued effort to foster innovation and customer satisfaction. These include: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Recognition</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Gartner’s Market Guide for Meeting Solutions (2025)</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Kaltura recognized in this report as a “Representative Vendor”</w:t>
      </w:r>
    </w:p>
    <w:p>
      <w:pPr>
        <w:spacing w:after="0" w:line="113"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Gartner’s Magic Quadrant and Gartner’s Critical Capabilities for Event Technology Platforms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Kaltura recognized in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17" w:lineRule="exact"/>
        <w:rPr>
          <w:sz w:val="20"/>
          <w:szCs w:val="20"/>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Digiday Technology Awards (2024)</w:t>
      </w:r>
      <w:r>
        <w:rPr>
          <w:rFonts w:ascii="Times New Roman" w:cs="Times New Roman" w:eastAsia="Times New Roman" w:hAnsi="Times New Roman"/>
          <w:sz w:val="18"/>
          <w:szCs w:val="18"/>
          <w:color w:val="auto"/>
        </w:rPr>
        <w:t>: Best Video Management Platform (Winner).</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MarTech Awards (2024)</w:t>
      </w:r>
      <w:r>
        <w:rPr>
          <w:rFonts w:ascii="Times New Roman" w:cs="Times New Roman" w:eastAsia="Times New Roman" w:hAnsi="Times New Roman"/>
          <w:sz w:val="18"/>
          <w:szCs w:val="18"/>
          <w:color w:val="auto"/>
        </w:rPr>
        <w:t>: Best Overall Event Solution Provider, Best Virtual Event Platform (North America).</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7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Eventex Awards (2023–2024)</w:t>
      </w:r>
      <w:r>
        <w:rPr>
          <w:rFonts w:ascii="Times New Roman" w:cs="Times New Roman" w:eastAsia="Times New Roman" w:hAnsi="Times New Roman"/>
          <w:sz w:val="18"/>
          <w:szCs w:val="18"/>
          <w:color w:val="auto"/>
        </w:rPr>
        <w:t>: Best Webinar Software (Winner, 2023), Best Audience Engagement Technology (Gold, 2024), Best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(Silver, 2024), Best Virtual Event Platform (Silver, 2024).</w:t>
      </w:r>
    </w:p>
    <w:p>
      <w:pPr>
        <w:spacing w:after="0" w:line="10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 Technology Awards (US &amp; Canada, 2024)</w:t>
      </w:r>
      <w:r>
        <w:rPr>
          <w:rFonts w:ascii="Times New Roman" w:cs="Times New Roman" w:eastAsia="Times New Roman" w:hAnsi="Times New Roman"/>
          <w:sz w:val="18"/>
          <w:szCs w:val="18"/>
          <w:color w:val="auto"/>
        </w:rPr>
        <w:t>: Best Virtual / Hybrid Event Platform (Winner).</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G2 (2024)</w:t>
      </w:r>
      <w:r>
        <w:rPr>
          <w:rFonts w:ascii="Times New Roman" w:cs="Times New Roman" w:eastAsia="Times New Roman" w:hAnsi="Times New Roman"/>
          <w:sz w:val="18"/>
          <w:szCs w:val="18"/>
          <w:color w:val="auto"/>
        </w:rPr>
        <w:t>: Multiple “Leader” recognitions, including Mid-Market and Americas segments.</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Frost &amp; Sullivan's Radar for Media &amp; Entertainment 2024</w:t>
      </w:r>
      <w:r>
        <w:rPr>
          <w:rFonts w:ascii="Times New Roman" w:cs="Times New Roman" w:eastAsia="Times New Roman" w:hAnsi="Times New Roman"/>
          <w:sz w:val="18"/>
          <w:szCs w:val="18"/>
          <w:color w:val="auto"/>
        </w:rPr>
        <w:t>: Named one of top 5 solutions worldwide, highlighting our flexible architecture,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modularity and scalability.</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5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‘FEED Special Recognition in AI’ (2024)</w:t>
      </w:r>
      <w:r>
        <w:rPr>
          <w:rFonts w:ascii="Times New Roman" w:cs="Times New Roman" w:eastAsia="Times New Roman" w:hAnsi="Times New Roman"/>
          <w:sz w:val="18"/>
          <w:szCs w:val="18"/>
          <w:color w:val="auto"/>
        </w:rPr>
        <w:t>: The magazine’s 2024 Honor List for Kaltura’s Media and Telecom new GenAI features for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by Gartner</w:t>
      </w:r>
    </w:p>
    <w:p>
      <w:pPr>
        <w:spacing w:after="0" w:line="118" w:lineRule="exact"/>
        <w:rPr>
          <w:sz w:val="20"/>
          <w:szCs w:val="20"/>
          <w:color w:val="auto"/>
        </w:rPr>
      </w:pPr>
    </w:p>
    <w:p>
      <w:pPr>
        <w:jc w:val="both"/>
        <w:ind w:firstLine="441"/>
        <w:spacing w:after="0" w:line="223" w:lineRule="auto"/>
        <w:rPr>
          <w:sz w:val="20"/>
          <w:szCs w:val="20"/>
          <w:color w:val="auto"/>
        </w:rPr>
      </w:pPr>
      <w:r>
        <w:rPr>
          <w:rFonts w:ascii="Times New Roman" w:cs="Times New Roman" w:eastAsia="Times New Roman" w:hAnsi="Times New Roman"/>
          <w:sz w:val="18"/>
          <w:szCs w:val="18"/>
          <w:color w:val="auto"/>
        </w:rPr>
        <w:t>In 2025, we were recognized in the 2025 Gartner Market Guide for Meeting Solutions.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 2024, we were recognized in the 2024 Gartner Magic Quadrant for Event Technology Platforms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the 2024 Gartner Critical Capabilities for Event Technology Platforms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and in Gartner 2024 Competitive Landscape: Video Platform Services.</w:t>
      </w:r>
      <w:r>
        <w:rPr>
          <w:rFonts w:ascii="Times New Roman" w:cs="Times New Roman" w:eastAsia="Times New Roman" w:hAnsi="Times New Roman"/>
          <w:sz w:val="23"/>
          <w:szCs w:val="23"/>
          <w:color w:val="auto"/>
          <w:vertAlign w:val="superscript"/>
        </w:rPr>
        <w:t>(6)</w:t>
      </w:r>
    </w:p>
    <w:p>
      <w:pPr>
        <w:spacing w:after="0" w:line="73" w:lineRule="exact"/>
        <w:rPr>
          <w:sz w:val="20"/>
          <w:szCs w:val="20"/>
          <w:color w:val="auto"/>
        </w:rPr>
      </w:pPr>
    </w:p>
    <w:p>
      <w:pPr>
        <w:jc w:val="both"/>
        <w:ind w:firstLine="441"/>
        <w:spacing w:after="0" w:line="237" w:lineRule="auto"/>
        <w:rPr>
          <w:sz w:val="20"/>
          <w:szCs w:val="20"/>
          <w:color w:val="auto"/>
        </w:rPr>
      </w:pPr>
      <w:r>
        <w:rPr>
          <w:rFonts w:ascii="Times New Roman" w:cs="Times New Roman" w:eastAsia="Times New Roman" w:hAnsi="Times New Roman"/>
          <w:sz w:val="18"/>
          <w:szCs w:val="18"/>
          <w:color w:val="auto"/>
        </w:rPr>
        <w:t>In 2023, we were recognized in Gartner 2023 Market Guide for Event Technology Platforms,</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the 2023 Gartner Market Guide for Meeting Solutions,</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and the Market Finder and Use Case Guide for Meetings and Virtual Events.</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19"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Gartner® Market Guide for Meeting Solutions, By Christopher Trueman, Lacy Lei, Adam Prese, 28 January, 2025</w:t>
      </w:r>
    </w:p>
    <w:p>
      <w:pPr>
        <w:spacing w:after="0" w:line="15" w:lineRule="exact"/>
        <w:rPr>
          <w:sz w:val="20"/>
          <w:szCs w:val="20"/>
          <w:color w:val="auto"/>
        </w:rPr>
      </w:pPr>
    </w:p>
    <w:p>
      <w:pPr>
        <w:ind w:right="440" w:firstLine="8"/>
        <w:spacing w:after="0" w:line="213" w:lineRule="auto"/>
        <w:tabs>
          <w:tab w:leader="none" w:pos="113"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Gartner® Magic Quadrant™ for Event Technology Platforms, Christy Ferguson et al., 18 March 2024, and Gartner®, Critical Capabilities for Event Technology Platforms, Christy Ferguson et al., 20 March 2024</w:t>
      </w:r>
    </w:p>
    <w:p>
      <w:pPr>
        <w:spacing w:after="0" w:line="175" w:lineRule="exact"/>
        <w:rPr>
          <w:sz w:val="20"/>
          <w:szCs w:val="20"/>
          <w:color w:val="auto"/>
        </w:rPr>
      </w:pPr>
    </w:p>
    <w:p>
      <w:pPr>
        <w:ind w:left="120" w:hanging="112"/>
        <w:spacing w:after="0"/>
        <w:tabs>
          <w:tab w:leader="none" w:pos="12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Gartner's Magic Quadrant and Critical Capabilities references are provided for historical purposes only and do not reflect current market recognition</w:t>
      </w:r>
    </w:p>
    <w:p>
      <w:pPr>
        <w:spacing w:after="0" w:line="28" w:lineRule="exact"/>
        <w:rPr>
          <w:rFonts w:ascii="Times New Roman" w:cs="Times New Roman" w:eastAsia="Times New Roman" w:hAnsi="Times New Roman"/>
          <w:sz w:val="26"/>
          <w:szCs w:val="26"/>
          <w:color w:val="auto"/>
          <w:vertAlign w:val="superscript"/>
        </w:rPr>
      </w:pPr>
    </w:p>
    <w:p>
      <w:pPr>
        <w:spacing w:after="0" w:line="191"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 xml:space="preserve"> Gartner® Magic Quadrant™ for Event Technology Platforms, Christy Ferguson et al., 18 March 2024</w:t>
      </w:r>
    </w:p>
    <w:p>
      <w:pPr>
        <w:ind w:right="3620"/>
        <w:spacing w:after="0" w:line="19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 xml:space="preserve"> Gartner®, Critical Capabilities for Event Technology Platforms, Christy Ferguson et al., 20 March 2024 </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 xml:space="preserve"> Gartner®, Competitive Landscape: Video Platform Services, Amol Nerlekar, 18 December 2024</w:t>
      </w:r>
    </w:p>
    <w:p>
      <w:pPr>
        <w:ind w:right="1640"/>
        <w:spacing w:after="0" w:line="24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Gartner®, Market Guide for Event Technology Platforms, Christy Ferguson et al., 5 June 2023 (This research has already archived)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Gartner®, Market Guide for Meeting Solutions, Tapan Upmanyu et al., 21 November 2023 (This research has already archived)</w:t>
      </w: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8"/>
          <w:szCs w:val="18"/>
          <w:color w:val="auto"/>
        </w:rPr>
        <w:t xml:space="preserve"> Gartner®, Market Finder and Use Case Guide for Meetings and Virtual Events, Christopher Trueman et al., 16 August 2023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ind w:firstLine="441"/>
        <w:spacing w:after="0" w:line="223" w:lineRule="auto"/>
        <w:rPr>
          <w:sz w:val="20"/>
          <w:szCs w:val="20"/>
          <w:color w:val="auto"/>
        </w:rPr>
      </w:pPr>
      <w:r>
        <w:rPr>
          <w:rFonts w:ascii="Times New Roman" w:cs="Times New Roman" w:eastAsia="Times New Roman" w:hAnsi="Times New Roman"/>
          <w:sz w:val="18"/>
          <w:szCs w:val="18"/>
          <w:color w:val="auto"/>
        </w:rPr>
        <w:t>In 2021, we were recognized as a Visionary in the 2021 Gartner® Magic Quadrant™ for Meeting Solutions,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and we ranked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in the ‘External Presentation’ (4.44/5) Use Case, and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in the ‘Learning and Training’ (4.32/5), and ‘Webinar’ (4.16/5) Use Cases in the Gartner 2021 Critical Capabilities for Meeting Solutions Report.</w:t>
      </w:r>
      <w:r>
        <w:rPr>
          <w:rFonts w:ascii="Times New Roman" w:cs="Times New Roman" w:eastAsia="Times New Roman" w:hAnsi="Times New Roman"/>
          <w:sz w:val="23"/>
          <w:szCs w:val="23"/>
          <w:color w:val="auto"/>
          <w:vertAlign w:val="superscript"/>
        </w:rPr>
        <w:t>(11)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and before</w:t>
      </w:r>
    </w:p>
    <w:p>
      <w:pPr>
        <w:spacing w:after="0" w:line="118" w:lineRule="exact"/>
        <w:rPr>
          <w:sz w:val="20"/>
          <w:szCs w:val="20"/>
          <w:color w:val="auto"/>
        </w:rPr>
      </w:pPr>
    </w:p>
    <w:p>
      <w:pPr>
        <w:jc w:val="both"/>
        <w:ind w:firstLine="441"/>
        <w:spacing w:after="0" w:line="218" w:lineRule="auto"/>
        <w:rPr>
          <w:sz w:val="20"/>
          <w:szCs w:val="20"/>
          <w:color w:val="auto"/>
        </w:rPr>
      </w:pPr>
      <w:r>
        <w:rPr>
          <w:rFonts w:ascii="Times New Roman" w:cs="Times New Roman" w:eastAsia="Times New Roman" w:hAnsi="Times New Roman"/>
          <w:sz w:val="18"/>
          <w:szCs w:val="18"/>
          <w:color w:val="auto"/>
        </w:rPr>
        <w:t>We were also recognized as a Representative Vendor in the 2020 Gartner Market Guide for Enterprise Video Content Management.</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We have been included in Gartner research reports on this since 2013, where we were listed as a Leader for 5 consecutive times in the Magic Quadrant for Enterprise Video Content Management report</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and ranked highest score in all 4 Use Cases in the last-published Critical Capabilities for Enterprise Video Content Management report.</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Gartner discontinued publication of this Magic Quadrant for Enterprise Video Content Management report in 2018 and of the correlating Critical Capabilities report in 2019.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Recognition by Forrester</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March 2023, we were recognized as a Contender in The 2023 Forrester Wave™: B2B Event Management Technology. In November 2022, we were recognized as a Notable Vendor in The 2022 Forrester B2B Event Management Technology Landscape. In March 2021, we were also cited as a Strong Performer in The 2021Forrester Wave™: B2B Marketing Events Management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Recognition</w:t>
      </w:r>
    </w:p>
    <w:p>
      <w:pPr>
        <w:spacing w:after="0" w:line="121" w:lineRule="exact"/>
        <w:rPr>
          <w:sz w:val="20"/>
          <w:szCs w:val="20"/>
          <w:color w:val="auto"/>
        </w:rPr>
      </w:pPr>
    </w:p>
    <w:p>
      <w:pPr>
        <w:jc w:val="both"/>
        <w:ind w:right="20" w:firstLine="441"/>
        <w:spacing w:after="0" w:line="235" w:lineRule="auto"/>
        <w:rPr>
          <w:sz w:val="20"/>
          <w:szCs w:val="20"/>
          <w:color w:val="auto"/>
        </w:rPr>
      </w:pPr>
      <w:r>
        <w:rPr>
          <w:rFonts w:ascii="Times New Roman" w:cs="Times New Roman" w:eastAsia="Times New Roman" w:hAnsi="Times New Roman"/>
          <w:sz w:val="18"/>
          <w:szCs w:val="18"/>
          <w:color w:val="auto"/>
        </w:rPr>
        <w:t>We have also received customer recognition. As of January 29, 2025, we received a rating of 4.2/5 from 5 reviews for Event Technology Platforms</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 and 4.5/5 from 62 reviews for Meeting Solutions</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and 4.5/5 from 29 reviews for Enterprise Video Content Management</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by customers on Gartner® Peer Insights™.</w:t>
      </w:r>
    </w:p>
    <w:p>
      <w:pPr>
        <w:spacing w:after="0" w:line="146"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GARTNER is a registered trademark and service mark of Gartner, Inc. and/or its affiliates in the U.S. and internationally, and MAGIC QUADRANT and PEER INSIGHTS is a registered trademark of Gartner, Inc. and/or its affiliates and are used herein with permission. All rights reserved. Gartner's Magic Quadrant and Critical Capabilities references are provided for historical purposes only and do not reflect current market recognition.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Gartner Peer Insights content consists of the opinions of individual end users based on their own experiences, and should not be construed as statements of fact, nor do they represent the views of Gartner or its affiliates. Gartner does not endorse any vendor, product or service depicted in this content nor makes any warranties, expressed or implied, with respect to this content, about its accuracy or completeness, including any warranties of merchantability or fitness for a particular purpose. The Gartner content described herein (the “Gartner Content”) represent(s) research opinion or viewpoints published, as part of a syndicated subscription service, by Gartner, Inc. (“Gartner”), and are not representations of fact. Gartner Content speaks as of its original publication date (and not as of the date of this Form 10-K) and the opinions expressed in the Gartner Content are subject to change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Gartner®, Magic Quadrant for Meeting Solutions, Mike Fasciani et al., 7 October 2021 (This research has already archived)</w:t>
      </w:r>
    </w:p>
    <w:p>
      <w:pPr>
        <w:spacing w:after="0" w:line="28" w:lineRule="exact"/>
        <w:rPr>
          <w:rFonts w:ascii="Times New Roman" w:cs="Times New Roman" w:eastAsia="Times New Roman" w:hAnsi="Times New Roman"/>
          <w:sz w:val="25"/>
          <w:szCs w:val="25"/>
          <w:color w:val="auto"/>
          <w:vertAlign w:val="superscript"/>
        </w:rPr>
      </w:pPr>
    </w:p>
    <w:p>
      <w:pPr>
        <w:ind w:left="180" w:hanging="172"/>
        <w:spacing w:after="0" w:line="186" w:lineRule="auto"/>
        <w:tabs>
          <w:tab w:leader="none" w:pos="1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Gartner®, Critical Capabilities for Meeting Solutions,Tom Eagle et al., 7 October 2021</w:t>
      </w:r>
    </w:p>
    <w:p>
      <w:pPr>
        <w:spacing w:after="0" w:line="29" w:lineRule="exact"/>
        <w:rPr>
          <w:rFonts w:ascii="Times New Roman" w:cs="Times New Roman" w:eastAsia="Times New Roman" w:hAnsi="Times New Roman"/>
          <w:sz w:val="24"/>
          <w:szCs w:val="24"/>
          <w:color w:val="auto"/>
          <w:vertAlign w:val="superscript"/>
        </w:rPr>
      </w:pPr>
    </w:p>
    <w:p>
      <w:pPr>
        <w:ind w:left="180" w:hanging="172"/>
        <w:spacing w:after="0" w:line="186" w:lineRule="auto"/>
        <w:tabs>
          <w:tab w:leader="none" w:pos="1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Gartner®, Market Guide for Enterprise Video Content Management, Stephen Emmott et al., 28 September 2020 (This research has already archived)</w:t>
      </w:r>
    </w:p>
    <w:p>
      <w:pPr>
        <w:spacing w:after="0" w:line="15" w:lineRule="exact"/>
        <w:rPr>
          <w:rFonts w:ascii="Times New Roman" w:cs="Times New Roman" w:eastAsia="Times New Roman" w:hAnsi="Times New Roman"/>
          <w:sz w:val="24"/>
          <w:szCs w:val="24"/>
          <w:color w:val="auto"/>
          <w:vertAlign w:val="superscript"/>
        </w:rPr>
      </w:pPr>
    </w:p>
    <w:p>
      <w:pPr>
        <w:ind w:right="720" w:firstLine="8"/>
        <w:spacing w:after="0" w:line="220" w:lineRule="auto"/>
        <w:tabs>
          <w:tab w:leader="none" w:pos="178"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Gartner®, Magic Quadrant™ for Enterprise Video Content Management, Stephen Emmott et al., 28 November 2018 (This research has already archived)</w:t>
      </w:r>
    </w:p>
    <w:p>
      <w:pPr>
        <w:spacing w:after="0" w:line="1" w:lineRule="exact"/>
        <w:rPr>
          <w:rFonts w:ascii="Times New Roman" w:cs="Times New Roman" w:eastAsia="Times New Roman" w:hAnsi="Times New Roman"/>
          <w:sz w:val="25"/>
          <w:szCs w:val="25"/>
          <w:color w:val="auto"/>
          <w:vertAlign w:val="superscript"/>
        </w:rPr>
      </w:pPr>
    </w:p>
    <w:p>
      <w:pPr>
        <w:ind w:left="180" w:hanging="172"/>
        <w:spacing w:after="0" w:line="190" w:lineRule="auto"/>
        <w:tabs>
          <w:tab w:leader="none" w:pos="18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Gartner®, Critical Capabilities for Enterprise Video Content Management, Stephen Emmott et al., 29 March 2019 (This research has already archived)</w:t>
      </w:r>
    </w:p>
    <w:p>
      <w:pPr>
        <w:spacing w:after="0" w:line="1" w:lineRule="exact"/>
        <w:rPr>
          <w:rFonts w:ascii="Times New Roman" w:cs="Times New Roman" w:eastAsia="Times New Roman" w:hAnsi="Times New Roman"/>
          <w:sz w:val="25"/>
          <w:szCs w:val="25"/>
          <w:color w:val="auto"/>
          <w:vertAlign w:val="superscript"/>
        </w:rPr>
      </w:pPr>
    </w:p>
    <w:p>
      <w:pPr>
        <w:ind w:right="960" w:firstLine="8"/>
        <w:spacing w:after="0" w:line="227" w:lineRule="auto"/>
        <w:tabs>
          <w:tab w:leader="none" w:pos="178"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Gartner®, Peer Insights™, Kaltula in Event Technology Platforms, https://www.gartner.com/reviews/market/event-technology-platforms/vendor/kaltura/product/kaltura-events</w:t>
      </w:r>
    </w:p>
    <w:p>
      <w:pPr>
        <w:ind w:right="300" w:firstLine="8"/>
        <w:spacing w:after="0" w:line="225" w:lineRule="auto"/>
        <w:tabs>
          <w:tab w:leader="none" w:pos="178"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Gartner®, Peer Insights™, Kaltura in Meeting Solutions, https://www.gartner.com/reviews/market/meeting-solutions/vendor/kaltura/product/kaltura-video-communications-and-collaboration-suite</w:t>
      </w:r>
    </w:p>
    <w:p>
      <w:pPr>
        <w:ind w:right="1800" w:firstLine="8"/>
        <w:spacing w:after="0" w:line="228" w:lineRule="auto"/>
        <w:tabs>
          <w:tab w:leader="none" w:pos="178"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Gartner®, Kaltura in Enterprise Video Content Management, https://www.gartner.com/reviews/market/enterprise-video-content-management/vendor/kaltura/product/kaltura-video-platform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Forrester does not endorse any company, product, brand, or service included in its research publications and does not advise any person to select the products or services of any company or brand based on the ratings included in such publications. Information is based on the best available resources. Opinions reflect judgment at the time and are subject to change. For more information, read about Forrester’s objectivity at https://www.forrester.com/about-us/objectivity/.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and Industries</w:t>
      </w:r>
    </w:p>
    <w:p>
      <w:pPr>
        <w:spacing w:after="0" w:line="180"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As of December 31, 2024, we served approximately 850 customers</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including several of the world’s leading brands across multiple industries, such as technology, higher education and K-12, regulated industries (banking, government, healthcare, and life sciences), professional and commercial services (consulting, manufacturing, retail, real estate, and nonprofit organization), and media and telecommunications. We serve 27 of the U.S. Fortune 100, and more than 50% of the top U.S. research universities (R1 Research Institutions). Additionally, our solutions power major global TV initiatives. Most of our customers leverage several Kaltura products for a range of use cases across their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102870</wp:posOffset>
            </wp:positionV>
            <wp:extent cx="5477510" cy="960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7751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customers are global, spanning 53 countries, and during the year ended December 31, 2024, our technology reached end users in over 200 countries. For the year ended December 31, 2024, approximately 53% of our revenue was generated from customers in the Americas, 38% from customers in EMEA and 9% from customers in APAC. We have sold our products to customers of all sizes, selling to large global enterprises as well as more recently to small and medium enterprises (“SMEs”).</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2024, our customer base included 290 customers with annualized recurring revenue (“ARR”) greater than $100,000 and 30 customers with ARR greater than $1.0 million.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our main target industries, and their main use cases with our offerings:</w:t>
      </w:r>
    </w:p>
    <w:p>
      <w:pPr>
        <w:spacing w:after="0" w:line="16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w:t>
      </w:r>
    </w:p>
    <w:p>
      <w:pPr>
        <w:spacing w:after="0" w:line="175"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technology companies such as cloud service providers, enterprise and consumer software providers, semiconductor manufacturers, and EdTech vendors use Kaltura for deep video integrations into their applications, large-scale virtual events, marketing programs, customer engagement, learning and development, employee experience, and partner training and certification.</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approximately 30% of the top 50 global technology companies.</w:t>
      </w:r>
    </w:p>
    <w:p>
      <w:pPr>
        <w:spacing w:after="0" w:line="1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Higher Education and K-12</w:t>
      </w:r>
    </w:p>
    <w:p>
      <w:pPr>
        <w:spacing w:after="0" w:line="175"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research universities, community colleges, and K-12 school systems use Kaltura for virtual classrooms, lecture capture, interactive video learning deeply integrated into Learning Management Systems and university systems, serving student and faculty in online and on-site classes, as well as career development, marketing and alumni relations.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more than 50% of R1 schools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714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firstLine="8"/>
        <w:spacing w:after="0" w:line="224" w:lineRule="auto"/>
        <w:tabs>
          <w:tab w:leader="none" w:pos="16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previously disclosed, in 2024, we updated our customer count methodology to treat subdivisions of the same legal entity (for example, divisions of a parent company or separate campuses that are part of the same state university system), as well as Value-add Resellers (“VARs”) (meaning resellers that directly manage the relationship with the customer) and the customers they manage, to be a single customer. The change in methodology results in a decrease to our reported customer count as compared to the calculation under our prior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Regulated Industries</w:t>
      </w:r>
    </w:p>
    <w:p>
      <w:pPr>
        <w:spacing w:after="0" w:line="175"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Organizations within highly regulated sectors such as banking, government, healthcare, and life sciences - rely on Kaltura to meet stringent security and compliance requirements across various use cases, including customer interactions, partner training, corporate communications, learning and development, and knowledge sharing. We also cater to vertical-specific solutions such as Wealth Management and Patient and Partners Engagement digital experiences.</w:t>
      </w:r>
    </w:p>
    <w:p>
      <w:pPr>
        <w:spacing w:after="0" w:line="125"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approximately 24% of the top 50 financial services and insurance institutions, 6 out of the 10 largest pharma and healthcare providers, and various government entities globally.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Professional and Commercial Services</w:t>
      </w:r>
    </w:p>
    <w:p>
      <w:pPr>
        <w:spacing w:after="0" w:line="175"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professional and commercial services to include industries such as consulting, manufacturing, retail, real estate, and nonprofit organizations. These entities leverage Kaltura for internal communications, training, customer engagement, partner enablement, and marketing campaigns.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base includes three of the Big Four accounting firms and 4 out of the 10 largest Automotive Manufacturers.</w:t>
      </w:r>
    </w:p>
    <w:p>
      <w:pPr>
        <w:spacing w:after="0" w:line="16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Media &amp; Telecom</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 operators, media networks, and OTT streaming platforms utilize Kaltura for large-scale live streaming, content management, multi-device viewing, and advanced monetization.</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2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Kaltura works with top global telcos and leading media and entertainment companies to deliver direct to consumer and end to end television services globally.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intend to drive growth by executing on the following key strategies:</w:t>
      </w:r>
    </w:p>
    <w:p>
      <w:pPr>
        <w:spacing w:after="0" w:line="167" w:lineRule="exact"/>
        <w:rPr>
          <w:sz w:val="20"/>
          <w:szCs w:val="20"/>
          <w:color w:val="auto"/>
        </w:rPr>
      </w:pPr>
    </w:p>
    <w:p>
      <w:pPr>
        <w:jc w:val="both"/>
        <w:ind w:left="1100" w:hanging="327"/>
        <w:spacing w:after="0" w:line="255"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 Our Existing Customers</w:t>
      </w:r>
      <w:r>
        <w:rPr>
          <w:rFonts w:ascii="Times New Roman" w:cs="Times New Roman" w:eastAsia="Times New Roman" w:hAnsi="Times New Roman"/>
          <w:sz w:val="18"/>
          <w:szCs w:val="18"/>
          <w:color w:val="auto"/>
        </w:rPr>
        <w:t>: Most of our customers use multiple Kaltura products, and many do so across multiple use-cases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buyers. We plan to sell more to our existing customers by providing them more products and capabilities (existing and new) and addressing additional use cases. For example, in 2024 we continued expanding our customers use-cases from internal in-house use for their employees (e.g. employee training and communication), to also external (e.g. customer and prospect marketing, and partner training). We expect to see continued increase in usage of our products, by way of more video creation and consumption and more end-users. We expect our customers will consolidate around a single video vendor to grow and believe that Kaltura is ideally situated to be that single vendor. For the years ended December 31, 2024 and 2023, our Net Dollar Retention Rate (as defined below in Part II, Item 7. “Management's Discussion and Analysis of Financial Condition and Results of Operations”) was 100% and 101%, respectively.</w:t>
      </w:r>
    </w:p>
    <w:p>
      <w:pPr>
        <w:spacing w:after="0" w:line="130" w:lineRule="exact"/>
        <w:rPr>
          <w:rFonts w:ascii="Times New Roman" w:cs="Times New Roman" w:eastAsia="Times New Roman" w:hAnsi="Times New Roman"/>
          <w:sz w:val="18"/>
          <w:szCs w:val="18"/>
          <w:color w:val="auto"/>
        </w:rPr>
      </w:pPr>
    </w:p>
    <w:p>
      <w:pPr>
        <w:jc w:val="both"/>
        <w:ind w:left="1100" w:hanging="327"/>
        <w:spacing w:after="0" w:line="262"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Secure New Customers Within our Current Markets</w:t>
      </w:r>
      <w:r>
        <w:rPr>
          <w:rFonts w:ascii="Times New Roman" w:cs="Times New Roman" w:eastAsia="Times New Roman" w:hAnsi="Times New Roman"/>
          <w:sz w:val="18"/>
          <w:szCs w:val="18"/>
          <w:color w:val="auto"/>
        </w:rPr>
        <w:t>: Kaltura is already trusted by top large enterprises, leading education institutions,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prominent Media &amp; Telecom companies. We believe we have a significant opportunity to expand our presence in these markets, especially with Global 2000 companies. We have a well-tuned sales and marketing operation, which we expect will drive both geographic and vertical expansion.</w:t>
      </w:r>
    </w:p>
    <w:p>
      <w:pPr>
        <w:spacing w:after="0" w:line="122" w:lineRule="exact"/>
        <w:rPr>
          <w:rFonts w:ascii="Times New Roman" w:cs="Times New Roman" w:eastAsia="Times New Roman" w:hAnsi="Times New Roman"/>
          <w:sz w:val="18"/>
          <w:szCs w:val="18"/>
          <w:color w:val="auto"/>
        </w:rPr>
      </w:pPr>
    </w:p>
    <w:p>
      <w:pPr>
        <w:jc w:val="both"/>
        <w:ind w:left="1100" w:hanging="327"/>
        <w:spacing w:after="0" w:line="262"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our Product Offering for our Existing Markets</w:t>
      </w:r>
      <w:r>
        <w:rPr>
          <w:rFonts w:ascii="Times New Roman" w:cs="Times New Roman" w:eastAsia="Times New Roman" w:hAnsi="Times New Roman"/>
          <w:sz w:val="18"/>
          <w:szCs w:val="18"/>
          <w:color w:val="auto"/>
        </w:rPr>
        <w:t>: We plan to continue leveraging our flexible and extendable platform to expand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 portfolio to include more advanced capabilities and power more use cases. For example, since 2020, we have introduced our Events &amp; Webinars and Virtual Classroom products, and a set of new TV applications for viewers using TVs, PCs, tablets, and mobile devices. We have recently also launched a suite of Gen AI capabilities which we believe will start impacting revenues in 2025.</w:t>
      </w:r>
    </w:p>
    <w:p>
      <w:pPr>
        <w:spacing w:after="0" w:line="122" w:lineRule="exact"/>
        <w:rPr>
          <w:rFonts w:ascii="Times New Roman" w:cs="Times New Roman" w:eastAsia="Times New Roman" w:hAnsi="Times New Roman"/>
          <w:sz w:val="18"/>
          <w:szCs w:val="18"/>
          <w:color w:val="auto"/>
        </w:rPr>
      </w:pPr>
    </w:p>
    <w:p>
      <w:pPr>
        <w:jc w:val="both"/>
        <w:ind w:left="1100" w:hanging="327"/>
        <w:spacing w:after="0" w:line="262"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into New Markets: </w:t>
      </w:r>
      <w:r>
        <w:rPr>
          <w:rFonts w:ascii="Times New Roman" w:cs="Times New Roman" w:eastAsia="Times New Roman" w:hAnsi="Times New Roman"/>
          <w:sz w:val="18"/>
          <w:szCs w:val="18"/>
          <w:color w:val="auto"/>
        </w:rPr>
        <w:t>We are continuing to pursue our plan to gradually expand down market from large enterprises to also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SMEs through making our products more self-operated, and advancing our inside-sales marketing, sales, and operations practices. We also plan to expand in the future into new markets by introducing new industry solutions, for example for the financial services and healthcare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100" w:hanging="327"/>
        <w:spacing w:after="0" w:line="262" w:lineRule="auto"/>
        <w:tabs>
          <w:tab w:leader="none" w:pos="10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 through Partnerships and Mergers &amp; Acquisitions</w:t>
      </w:r>
      <w:r>
        <w:rPr>
          <w:rFonts w:ascii="Times New Roman" w:cs="Times New Roman" w:eastAsia="Times New Roman" w:hAnsi="Times New Roman"/>
          <w:sz w:val="18"/>
          <w:szCs w:val="18"/>
          <w:color w:val="auto"/>
        </w:rPr>
        <w:t>: We plan to increase the breadth of partnerships with our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further allowing us to provide the most comprehensive video solutions to our customers. Additionally, we intend to continue to explore potential M&amp;A initiatives that could enhance our capabilities, increase our market share in markets we already operate in, or open up new markets.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128270</wp:posOffset>
            </wp:positionV>
            <wp:extent cx="5760720" cy="3240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Kaltura’s Video Experience Cloud is designed to meet the variety of customers’ needs to effectively engage employees and customers through video-first and TV experiences, and boost business results. It includes a cloud-native video and TV content management platform that serves as a foundation for our broader suite of immersive Gen AI-infused “video-first” products, including Video Portals, LMS &amp; CMS Video Extensions, Virtual Events &amp; Webinars, Virtual Classrooms, and TV Streaming Applications.</w:t>
      </w:r>
    </w:p>
    <w:p>
      <w:pPr>
        <w:spacing w:after="0" w:line="12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platform and products are highly modular, scalable, and interoperable, stemming from our API-first architecture and our hundreds of APIs, SDKs, and modular Experience Components (embeddable Kaltura components with an end-user interface). Our unified, flexible underlying architecture is designed to allow our customers to heavily customize and deeply integrate our products into their workflows and systems, to consolidate around Kaltura as a single vendor to power all employee and customer video use cases, to best benefit from the emerging capabilities of Gen AI-infused video experiences, and to scale up successfully with the required stability, compliance, and security.</w:t>
      </w:r>
    </w:p>
    <w:p>
      <w:pPr>
        <w:spacing w:after="0" w:line="1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While certain offerings focus on specific market segments and/or use cases, many of our products cut across them, enabling customers to uniformly address workflows that run the gamut from internal employee training to external customer and prospect engagement, to large-scale consumer-facing TV offerings, under a single, integrated infrastructure.</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provides information on our foundational platform, and on the products that run over it to address a wide range of video-centric requirements.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Platform for Video &amp; TV Content Management: APIs &amp; SDKs, Experience Components, Consoles and Marketplace Integrations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128270</wp:posOffset>
            </wp:positionV>
            <wp:extent cx="5760720" cy="3240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Kaltura’s platform includes video and TV content management systems that are comprised of APIs &amp; SDKs, Experience Components, consoles, and Marketplace integrations. They are designed to streamline the creation, management, and delivery of enterprise video and TV experiences. Key capabilities include:</w:t>
      </w:r>
    </w:p>
    <w:p>
      <w:pPr>
        <w:spacing w:after="0" w:line="118" w:lineRule="exact"/>
        <w:rPr>
          <w:sz w:val="20"/>
          <w:szCs w:val="20"/>
          <w:color w:val="auto"/>
        </w:rPr>
      </w:pPr>
    </w:p>
    <w:p>
      <w:pPr>
        <w:ind w:left="1100" w:hanging="327"/>
        <w:spacing w:after="0" w:line="286" w:lineRule="auto"/>
        <w:tabs>
          <w:tab w:leader="none" w:pos="10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Development tools</w:t>
      </w:r>
      <w:r>
        <w:rPr>
          <w:rFonts w:ascii="Times New Roman" w:cs="Times New Roman" w:eastAsia="Times New Roman" w:hAnsi="Times New Roman"/>
          <w:sz w:val="18"/>
          <w:szCs w:val="18"/>
          <w:color w:val="auto"/>
        </w:rPr>
        <w:t>: Comprehensive APIs and SDKs that enable developers to build custom video-first workflows and embed video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functionalities into existing workflows, applications, and websites.</w:t>
      </w:r>
    </w:p>
    <w:p>
      <w:pPr>
        <w:spacing w:after="0" w:line="100" w:lineRule="exact"/>
        <w:rPr>
          <w:rFonts w:ascii="Times New Roman" w:cs="Times New Roman" w:eastAsia="Times New Roman" w:hAnsi="Times New Roman"/>
          <w:sz w:val="18"/>
          <w:szCs w:val="18"/>
          <w:color w:val="auto"/>
        </w:rPr>
      </w:pPr>
    </w:p>
    <w:p>
      <w:pPr>
        <w:ind w:left="1100" w:hanging="327"/>
        <w:spacing w:after="0" w:line="286" w:lineRule="auto"/>
        <w:tabs>
          <w:tab w:leader="none" w:pos="10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Embeddable Experience Components</w:t>
      </w:r>
      <w:r>
        <w:rPr>
          <w:rFonts w:ascii="Times New Roman" w:cs="Times New Roman" w:eastAsia="Times New Roman" w:hAnsi="Times New Roman"/>
          <w:sz w:val="18"/>
          <w:szCs w:val="18"/>
          <w:color w:val="auto"/>
        </w:rPr>
        <w:t>: Modular end-user facing building blocks that can be tailored and customized to match branding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user experience requirements, and specific operational needs.</w:t>
      </w:r>
    </w:p>
    <w:p>
      <w:pPr>
        <w:spacing w:after="0" w:line="100" w:lineRule="exact"/>
        <w:rPr>
          <w:rFonts w:ascii="Times New Roman" w:cs="Times New Roman" w:eastAsia="Times New Roman" w:hAnsi="Times New Roman"/>
          <w:sz w:val="18"/>
          <w:szCs w:val="18"/>
          <w:color w:val="auto"/>
        </w:rPr>
      </w:pPr>
    </w:p>
    <w:p>
      <w:pPr>
        <w:ind w:left="1100" w:hanging="327"/>
        <w:spacing w:after="0" w:line="286" w:lineRule="auto"/>
        <w:tabs>
          <w:tab w:leader="none" w:pos="10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Consoles and Marketplace Integrations</w:t>
      </w:r>
      <w:r>
        <w:rPr>
          <w:rFonts w:ascii="Times New Roman" w:cs="Times New Roman" w:eastAsia="Times New Roman" w:hAnsi="Times New Roman"/>
          <w:sz w:val="18"/>
          <w:szCs w:val="18"/>
          <w:color w:val="auto"/>
        </w:rPr>
        <w:t>: Administrative interfaces and third-party integrations that support efficient deployment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of video content across diverse ecosystems.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Video Content Management System (VCMS)</w:t>
      </w:r>
      <w:r>
        <w:rPr>
          <w:rFonts w:ascii="Times New Roman" w:cs="Times New Roman" w:eastAsia="Times New Roman" w:hAnsi="Times New Roman"/>
          <w:sz w:val="18"/>
          <w:szCs w:val="18"/>
          <w:color w:val="auto"/>
        </w:rPr>
        <w:t>: A comprehensive solution for digital asset management, designed for a secure, enterprise-grade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It addresses the entire lifecycle of video content, from creation and transcoding through storage, search, distribution, publishing, engagement, analytics, and monetization, designed to enable organizations to deliver both live, on-demand, and real-time-communication video experiences, interactive functionalities, and advanced analytics.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31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VCMS provides centralized media management for storing, categorizing, and distributing video assets, underpinned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enterprise-grade security features aimed at supporting global data privacy and regulatory requirements. Its API-first architecture, SDKs, and configurable Experience Components (as detailed in the picture above) facilitate seamless embedding of video workflows, across applications and websites. The solution also supports live events, VOD, and WebRTC-enabled communications, allowing businesses to manage and optimize a wide array of video experiences.</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VCMS is designed to power media management and immersive video experience in a broad variety of use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Its flexibility and scalability make it suitable for organizations of any size, and it is often deeply integrated into broader technology ecosystems or commercial products.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300" w:hanging="320"/>
        <w:spacing w:after="0" w:line="262" w:lineRule="auto"/>
        <w:tabs>
          <w:tab w:leader="none" w:pos="13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VCMS includes Gen AI-infused capabilities such as automated content summarization, in-video quiz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automated intelligent video editing, and Gen-AI enhanced search, discoverability and user engagement. These features seek to provide data-driven insights and targeted content experiences, helping organizations to realize more value from their content and create new personalized video experiences.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Differentiators</w:t>
      </w:r>
      <w:r>
        <w:rPr>
          <w:rFonts w:ascii="Times New Roman" w:cs="Times New Roman" w:eastAsia="Times New Roman" w:hAnsi="Times New Roman"/>
          <w:sz w:val="18"/>
          <w:szCs w:val="18"/>
          <w:color w:val="auto"/>
        </w:rPr>
        <w:t>: We believe VCMS is differentiated by its highly scalable architecture, deeply flexible integration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introduction of evolving Gen AI capabilities, which together enable customers to centralize and streamline their video-first experiences across their various business functions.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TV Content Management System (TVCMS)</w:t>
      </w:r>
      <w:r>
        <w:rPr>
          <w:rFonts w:ascii="Times New Roman" w:cs="Times New Roman" w:eastAsia="Times New Roman" w:hAnsi="Times New Roman"/>
          <w:sz w:val="18"/>
          <w:szCs w:val="18"/>
          <w:color w:val="auto"/>
        </w:rPr>
        <w:t>: A large-scale cloud-based OTT solution designed to enable personalized, always-on television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across millions of concurrent viewers. It supports a variety of distribution and monetization models, and offers a scalable, flexible, and cost-effective infrastructure for TV operators, media companies, and other direct-to-consumer services.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TVCMS powers cloud-native telco-grade on-demand and live-linear TV services across many device types (set-top-boxes, smart TVs, and connected devices). It provides a diverse and flexible set of monetization options, including SVOD (Subscription Video on Demand), TVOD (Transactional Video on Demand), and AVOD (Advertising Video on Demand). It also incorporates ‘super-aggregation’ capabilities that unify multiple content sources into a single cohesive viewer experience, with robust analytics that provides insights into user behavior.</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2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TVCMS is designed to power large-scale streaming services and operator-managed TV platforms. Its scalability,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with the ability to aggregate content from multiple sources, makes it suitable for providers looking to deliver a seamless, personalized experience to diverse audiences and across multiple devices, leveraging multiple business models.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TVCMS leverages Gen AI-based personalization designed to deliver content recommendations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preferences and consumption patterns, which can be utilized by our customers according to their respective policies. Furthermore, automated Gen AI-based metadata enrichment streamlines and enhances content curation, discoverability, localization, and monetization.</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2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Differentiators: </w:t>
      </w:r>
      <w:r>
        <w:rPr>
          <w:rFonts w:ascii="Times New Roman" w:cs="Times New Roman" w:eastAsia="Times New Roman" w:hAnsi="Times New Roman"/>
          <w:sz w:val="18"/>
          <w:szCs w:val="18"/>
          <w:color w:val="auto"/>
        </w:rPr>
        <w:t>We believe TVCMS is differentiated by its robust scalability, multi-format monetization support, and AI-powered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personalization. Furthermore, we have vast experience in seamlessly and smoothly migrating customers from legacy IPTV providers to our modern Cloud TV offering. Together, these advantages allow our customers to manage, distribute, and monetize large-scale content libraries efficiently while delivering a high-quality, customized viewing experience.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Immersive “Video First” Products</w:t>
      </w:r>
    </w:p>
    <w:p>
      <w:pPr>
        <w:spacing w:after="0" w:line="180" w:lineRule="exact"/>
        <w:rPr>
          <w:sz w:val="20"/>
          <w:szCs w:val="20"/>
          <w:color w:val="auto"/>
        </w:rPr>
      </w:pPr>
    </w:p>
    <w:p>
      <w:pPr>
        <w:jc w:val="both"/>
        <w:ind w:left="660" w:hanging="328"/>
        <w:spacing w:after="0" w:line="26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Video Portal (with Video Messaging)</w:t>
      </w:r>
      <w:r>
        <w:rPr>
          <w:rFonts w:ascii="Times New Roman" w:cs="Times New Roman" w:eastAsia="Times New Roman" w:hAnsi="Times New Roman"/>
          <w:sz w:val="18"/>
          <w:szCs w:val="18"/>
          <w:color w:val="auto"/>
        </w:rPr>
        <w:t>: An enterprise-grade hub designed to centralize video creation, management, and collaboration.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integrating with existing corporate systems, it aims to provide secure, customizable user experiences for both internal and customer-facing communication.</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Our Video Portal offers modular components for departmental content distribution and deep white-labeling, ensuring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alignment with corporate branding. It integrates with Single Sign-On (SSO), intranet portals, marketing tools, and other enterprise applications, providing customizable workflows for video messaging and collaboration. Enterprise-grade security and compliance features are built in, supporting data privacy requirements.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This solution is used for corporate communications, employee training, customer engagement, marketing initiatives,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user-generated content workflows. Its modularity and integrations make it suitable for organizations seeking to unify various video-based activities under a single platform.</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Gen AI-driven tools offered in the Video Portal can assist in generating automated transcripts, editing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and tagging metadata for improved search and discovery. These features aim to reduce production overhead, enable more personalized viewing experiences, and provide insights into user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300" w:hanging="320"/>
        <w:spacing w:after="0" w:line="268" w:lineRule="auto"/>
        <w:tabs>
          <w:tab w:leader="none" w:pos="13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Differentiators</w:t>
      </w:r>
      <w:r>
        <w:rPr>
          <w:rFonts w:ascii="Times New Roman" w:cs="Times New Roman" w:eastAsia="Times New Roman" w:hAnsi="Times New Roman"/>
          <w:sz w:val="18"/>
          <w:szCs w:val="18"/>
          <w:color w:val="auto"/>
        </w:rPr>
        <w:t>: We believe Video Portal is differentiated by its flexible design system, comprehensive security measures,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of Gen AI-infused video workflows. These capabilities help organizations increase productivity and user engagement while maintaining strict data governance across multiple departments and use cases.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LMS &amp; CMS Video Extensions</w:t>
      </w:r>
      <w:r>
        <w:rPr>
          <w:rFonts w:ascii="Times New Roman" w:cs="Times New Roman" w:eastAsia="Times New Roman" w:hAnsi="Times New Roman"/>
          <w:sz w:val="18"/>
          <w:szCs w:val="18"/>
          <w:color w:val="auto"/>
        </w:rPr>
        <w:t>: Solutions that embed video creation, management, engagement, and analytics directly into widely used learning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systems (“LMS”) and content management systems (“CMS”).</w:t>
      </w:r>
    </w:p>
    <w:p>
      <w:pPr>
        <w:spacing w:after="0" w:line="100"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 Our extensions integrate with leading platforms such as Blackboard, Canvas, Moodle, SharePoint, Adobe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and automate content ingestion and interaction with Zoom, Cisco Webex, and Microsoft Teams. Powered by our VCMS, these integrations aim to streamline and centralize media storage and unified analytics that track user engagement across multiple environments. Secure workflows simplify content creation, distribution, and moderation.</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These extensions support both academic and corporate settings. In education, they facilitate interactive lectures, flipped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classrooms, and online assessments. In enterprise scenarios, they enable training, onboarding, internal communications, and marketing. By embedding video directly into existing platforms, organizations can streamline workflows without disrupting familiar user interfaces.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Gen AI-infused functionalities include interactive elements such as interactive in-video quiz 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automated speech recognition for accessibility. These tools are designed to help improve user engagement, knowledge comprehension and reduce manual processes.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Differentiators</w:t>
      </w:r>
      <w:r>
        <w:rPr>
          <w:rFonts w:ascii="Times New Roman" w:cs="Times New Roman" w:eastAsia="Times New Roman" w:hAnsi="Times New Roman"/>
          <w:sz w:val="18"/>
          <w:szCs w:val="18"/>
          <w:color w:val="auto"/>
        </w:rPr>
        <w:t>: We believe LMS &amp; CMS Video Extensions are differentiated by their ability to enhance productivity and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through seamlessly integrating secure, Gen AI-infused video capabilities into everyday workflows, according to the customers taste and needs. This approach supports institutional branding, accessibility, and compliance requirements and designed to enable a richer, more efficient learning and communication experience.</w:t>
      </w:r>
    </w:p>
    <w:p>
      <w:pPr>
        <w:spacing w:after="0" w:line="12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Events &amp; Webinars</w:t>
      </w:r>
      <w:r>
        <w:rPr>
          <w:rFonts w:ascii="Times New Roman" w:cs="Times New Roman" w:eastAsia="Times New Roman" w:hAnsi="Times New Roman"/>
          <w:sz w:val="18"/>
          <w:szCs w:val="18"/>
          <w:color w:val="auto"/>
        </w:rPr>
        <w:t>: A comprehensive solution designed to create, manage, promote, and host virtual and hybrid events of any 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product launches and training sessions to large conferences and sales kickoffs.</w:t>
      </w:r>
    </w:p>
    <w:p>
      <w:pPr>
        <w:spacing w:after="0" w:line="100"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Our offering includes event management tools for scheduling, participant registration, hybrid in-person check-in, pre-event engagement and promotion, during-event live experiences and audience interactions, and post-event VOD catchup, audience follow-up, and online community engagement. Advanced security settings aim to safeguard sensitive content, while customizable design elements allow deep white-labeling and branding throughout the event lifecycle. Analytics provide insights into real-time and post-event audience behavior, helping measure return on investment.</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Organizations leverage Virtual Events &amp; Webinars for corporate communications, press briefings, virtual conferences,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programs, and educational programs. The ability to handle both private and public events, coupled with scalability and data-driven performance metrics, makes this solution adaptable to diverse organizational needs.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Gen AI-infused tools include a Realtime Event Assistant that was designed to analyzes live sessions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audience mood and suggests interactive elements (Q&amp;A, polls, chats, gamification) to increase attendee engagement. Automated recommendations and personalized notifications can further enhance event participation. Personalized agenda and content paths are aimed to create unique hyper-personalized user experiences that drive more value from the event content during and post-event.</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Differentiators</w:t>
      </w:r>
      <w:r>
        <w:rPr>
          <w:rFonts w:ascii="Times New Roman" w:cs="Times New Roman" w:eastAsia="Times New Roman" w:hAnsi="Times New Roman"/>
          <w:sz w:val="18"/>
          <w:szCs w:val="18"/>
          <w:color w:val="auto"/>
        </w:rPr>
        <w:t>: We believe Virtual Events &amp; Webinars is differentiated by its robust security, customizable interfaces, and Gen AI-driven engagement features offering, which collectively can enable organizations to extend the impact of their events and gain valuable audience insights.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Virtual Classroom: </w:t>
      </w:r>
      <w:r>
        <w:rPr>
          <w:rFonts w:ascii="Times New Roman" w:cs="Times New Roman" w:eastAsia="Times New Roman" w:hAnsi="Times New Roman"/>
          <w:sz w:val="18"/>
          <w:szCs w:val="18"/>
          <w:color w:val="auto"/>
        </w:rPr>
        <w:t>A cloud-based WebRTC environment designed for academic institutions, corporate training, continued-education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customer-success teams, offering interactive features aimed at improving learning and development effectiveness and learner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300" w:hanging="320"/>
        <w:spacing w:after="0" w:line="259" w:lineRule="auto"/>
        <w:tabs>
          <w:tab w:leader="none" w:pos="13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Our Virtual Classroom provides persistent, browser-based rooms that preserve pre-set content and configurations.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interactive tools, such as whiteboards, polls, and breakout rooms, reactions, high-quality media playback, and interactive presentations. It fosters collaboration while session recording and moderation enhance oversight and replay value. It includes post-session learner engagement and participation analytics, and integrations with learning management systems (LMS) that help maintain a unified user experience.</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This solution addresses higher education, K-12, continued-education programs, corporate training,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onboarding, and customer and partner education programs. Its flexible design supports a range of learning formats, from small group tutorials to large-scale online courses and compliance sessions.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3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Automated Gen-AI based captioning and transcription designed to address global accessibility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Gen AI-based background replacement and audio quality improvement as well as a real-time interaction assistant aims to help instructors deliver highly engaging and compliant learning experiences.</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Differentiators</w:t>
      </w:r>
      <w:r>
        <w:rPr>
          <w:rFonts w:ascii="Times New Roman" w:cs="Times New Roman" w:eastAsia="Times New Roman" w:hAnsi="Times New Roman"/>
          <w:sz w:val="18"/>
          <w:szCs w:val="18"/>
          <w:color w:val="auto"/>
        </w:rPr>
        <w:t>: We believe the Virtual Classroom’s ease of integration, Gen-AI infused engagement and interactivity capabilities,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built-in accessibility tools address a broad spectrum of teaching and training scenarios, enabling institutions and enterprises to deliver engaging, effective learning experiences at scale.</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TV Streaming Apps</w:t>
      </w:r>
      <w:r>
        <w:rPr>
          <w:rFonts w:ascii="Times New Roman" w:cs="Times New Roman" w:eastAsia="Times New Roman" w:hAnsi="Times New Roman"/>
          <w:sz w:val="18"/>
          <w:szCs w:val="18"/>
          <w:color w:val="auto"/>
        </w:rPr>
        <w:t>: Multi-platform applications designed to deliver engaging, personalized viewing experiences across set-top-boxes, smart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TVs, and connected devices, supporting live and on-demand content across a variety of integrated experiences and business models.</w:t>
      </w:r>
    </w:p>
    <w:p>
      <w:pPr>
        <w:spacing w:after="0" w:line="100"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Capabilities</w:t>
      </w:r>
      <w:r>
        <w:rPr>
          <w:rFonts w:ascii="Times New Roman" w:cs="Times New Roman" w:eastAsia="Times New Roman" w:hAnsi="Times New Roman"/>
          <w:sz w:val="18"/>
          <w:szCs w:val="18"/>
          <w:color w:val="auto"/>
        </w:rPr>
        <w:t>: TV Streaming Apps feature tools like Hero Rail, Maxi Player, Zapper, and Voice Search, making it easier for users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 and navigate content. They also support fast channel zapping, multi-DRM protection, and integrations for “super-aggregation”, enabling diverse and centralized content delivery. Multiple monetization models, ranging from subscription and ad-supported (FAST/AVOD) to transactional and pay-per-view TV provide flexible revenue strategies.</w:t>
      </w:r>
    </w:p>
    <w:p>
      <w:pPr>
        <w:spacing w:after="0" w:line="122" w:lineRule="exact"/>
        <w:rPr>
          <w:rFonts w:ascii="Times New Roman" w:cs="Times New Roman" w:eastAsia="Times New Roman" w:hAnsi="Times New Roman"/>
          <w:sz w:val="18"/>
          <w:szCs w:val="18"/>
          <w:color w:val="auto"/>
        </w:rPr>
      </w:pPr>
    </w:p>
    <w:p>
      <w:pPr>
        <w:ind w:left="1300" w:right="20" w:hanging="320"/>
        <w:spacing w:after="0" w:line="286" w:lineRule="auto"/>
        <w:tabs>
          <w:tab w:leader="none" w:pos="13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Use Cases</w:t>
      </w:r>
      <w:r>
        <w:rPr>
          <w:rFonts w:ascii="Times New Roman" w:cs="Times New Roman" w:eastAsia="Times New Roman" w:hAnsi="Times New Roman"/>
          <w:sz w:val="18"/>
          <w:szCs w:val="18"/>
          <w:color w:val="auto"/>
        </w:rPr>
        <w:t>: Service providers, operators, and content aggregators employ TV Streaming Apps to launch or expand direct-to-consumer streaming services, manage multi-channel TV solutions, and reach audiences on a variety of devices.</w:t>
      </w:r>
    </w:p>
    <w:p>
      <w:pPr>
        <w:spacing w:after="0" w:line="100"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Gen AI-Infused Features</w:t>
      </w:r>
      <w:r>
        <w:rPr>
          <w:rFonts w:ascii="Times New Roman" w:cs="Times New Roman" w:eastAsia="Times New Roman" w:hAnsi="Times New Roman"/>
          <w:sz w:val="18"/>
          <w:szCs w:val="18"/>
          <w:color w:val="auto"/>
        </w:rPr>
        <w:t>: Gen AI-infused personalization designed to offer user-specific content recommendations, while enriched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metadata improves search and discovery. Analytics can help optimize viewer engagement and refine monetization approaches through data-driven decision-making.</w:t>
      </w:r>
    </w:p>
    <w:p>
      <w:pPr>
        <w:spacing w:after="0" w:line="116"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Differentiators</w:t>
      </w:r>
      <w:r>
        <w:rPr>
          <w:rFonts w:ascii="Times New Roman" w:cs="Times New Roman" w:eastAsia="Times New Roman" w:hAnsi="Times New Roman"/>
          <w:sz w:val="18"/>
          <w:szCs w:val="18"/>
          <w:color w:val="auto"/>
        </w:rPr>
        <w:t>: We believe our TV Streaming Apps enable content providers to quickly scale their offerings, deliver compelling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and tap into new revenue opportunities, supported by the combined power of multi-device distribution and AI-driven personalization.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Introduced Gen AI Capabilities</w:t>
      </w:r>
    </w:p>
    <w:p>
      <w:pPr>
        <w:spacing w:after="0" w:line="17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During 2024 we developed, launched and offered several Gen AI-based offerings that are not yet contributing material revenue, but in our view represent a potential for meaningful increased future growth. These capabilities expand upon our existing video technology stack by providing new ways to enrich content, personalize user experiences, and automate manual processes. We believe their appeal may grow as organizations increasingly seek secure, Gen AI-based solutions that align with stringent data governance and privacy requirements. Below is an overview of some of these capabilities and developments:</w:t>
      </w:r>
    </w:p>
    <w:p>
      <w:pPr>
        <w:spacing w:after="0" w:line="125" w:lineRule="exact"/>
        <w:rPr>
          <w:sz w:val="20"/>
          <w:szCs w:val="20"/>
          <w:color w:val="auto"/>
        </w:rPr>
      </w:pPr>
    </w:p>
    <w:p>
      <w:pPr>
        <w:jc w:val="both"/>
        <w:ind w:left="660" w:hanging="328"/>
        <w:spacing w:after="0" w:line="259"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Content Lab</w:t>
      </w:r>
      <w:r>
        <w:rPr>
          <w:rFonts w:ascii="Times New Roman" w:cs="Times New Roman" w:eastAsia="Times New Roman" w:hAnsi="Times New Roman"/>
          <w:sz w:val="18"/>
          <w:szCs w:val="18"/>
          <w:color w:val="auto"/>
        </w:rPr>
        <w:t>: Designed to help users elevate and repurpose their video content. It offers automated video quizzes, text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summaries, chaptering, and clip creation, allowing organizations to automatically transform existing videos into powerful, reusable assets. By making it simpler to enhance engagement, improve discoverability, and tailor content to different audiences, we believe the AI Content Lab can drive increased value from existing media libraries and help organizations realize more value from their content, at greater affordability and with faster time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left="660" w:hanging="328"/>
        <w:spacing w:after="0" w:line="28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‘Work Genie’</w:t>
      </w:r>
      <w:r>
        <w:rPr>
          <w:rFonts w:ascii="Times New Roman" w:cs="Times New Roman" w:eastAsia="Times New Roman" w:hAnsi="Times New Roman"/>
          <w:sz w:val="18"/>
          <w:szCs w:val="18"/>
          <w:color w:val="auto"/>
        </w:rPr>
        <w:t>: A video-first organizational knowledge agent that is designed to deliver hyper-personalized insights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content paths to employees, customers, and partners by referencing only verified internal knowledge bases.</w:t>
      </w:r>
    </w:p>
    <w:p>
      <w:pPr>
        <w:spacing w:after="0" w:line="10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approach is intended to facilitate reliable, context-specific information while helping businesses maintain data security. We believe the demand for Gen AI-powered workflows that respect strict privacy, and regulatory standards will continue to grow.</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‘Class Genie’</w:t>
      </w:r>
      <w:r>
        <w:rPr>
          <w:rFonts w:ascii="Times New Roman" w:cs="Times New Roman" w:eastAsia="Times New Roman" w:hAnsi="Times New Roman"/>
          <w:sz w:val="18"/>
          <w:szCs w:val="18"/>
          <w:color w:val="auto"/>
        </w:rPr>
        <w:t>: A video-first personal tutor, tailored for educational institutions. It is designed to operate exclusively within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validated content repositories, providing hyper-personalized learning pathways such as video snippets, flashcards, quizzes, and podcasts. By attempting to eliminate misinformation and focusing on customized educational experiences, we believe Class Genie can greatly improve learning outcomes and engagement.</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TV Experience</w:t>
      </w:r>
      <w:r>
        <w:rPr>
          <w:rFonts w:ascii="Times New Roman" w:cs="Times New Roman" w:eastAsia="Times New Roman" w:hAnsi="Times New Roman"/>
          <w:sz w:val="18"/>
          <w:szCs w:val="18"/>
          <w:color w:val="auto"/>
        </w:rPr>
        <w:t>: Tailored to enable metadata generation and management, including captions, translations, dubbing,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highlights. Additionally, it includes a user-controlled conversation interface designed to leverage enriched metadata, such as mood, sub-genres, and contextual tags, to deliver highly personalized recommendations. We believe these enhancements can deepen viewer engagement and help media providers differentiate their offerings in a competitive streaming market.</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ASR (Automatic Speech Recognition)</w:t>
      </w:r>
      <w:r>
        <w:rPr>
          <w:rFonts w:ascii="Times New Roman" w:cs="Times New Roman" w:eastAsia="Times New Roman" w:hAnsi="Times New Roman"/>
          <w:sz w:val="18"/>
          <w:szCs w:val="18"/>
          <w:color w:val="auto"/>
        </w:rPr>
        <w:t>: Provides video captioning, transcription and translations, aiming to boost accessibility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compliance while also improving the overall user experience. By automating the captioning process, we can reduce operational overhead, improve cost-efficiencies and broaden content reach to a variety of audiences.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Email Notifications Engine</w:t>
      </w:r>
      <w:r>
        <w:rPr>
          <w:rFonts w:ascii="Times New Roman" w:cs="Times New Roman" w:eastAsia="Times New Roman" w:hAnsi="Times New Roman"/>
          <w:sz w:val="18"/>
          <w:szCs w:val="18"/>
          <w:color w:val="auto"/>
        </w:rPr>
        <w:t>: Provides automated customized outreach for event-related engagements, designed to enable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targeted follow-ups and improve attendee participation. By streamlining communications, we believe organizations can bolster the success of virtual and hybrid events.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Realtime Event Assistant</w:t>
      </w:r>
      <w:r>
        <w:rPr>
          <w:rFonts w:ascii="Times New Roman" w:cs="Times New Roman" w:eastAsia="Times New Roman" w:hAnsi="Times New Roman"/>
          <w:sz w:val="18"/>
          <w:szCs w:val="18"/>
          <w:color w:val="auto"/>
        </w:rPr>
        <w:t>: Designed to analyze live sessions in real time, monitor chat interactions, gauge audience sentiment,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suggest interactive activities (e.g., polls, Q&amp;A, gamification) to heighten engagement. This functionality can help organizations gather immediate feedback and adapt content on the fly.</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Noise Cancellation</w:t>
      </w:r>
      <w:r>
        <w:rPr>
          <w:rFonts w:ascii="Times New Roman" w:cs="Times New Roman" w:eastAsia="Times New Roman" w:hAnsi="Times New Roman"/>
          <w:sz w:val="18"/>
          <w:szCs w:val="18"/>
          <w:color w:val="auto"/>
        </w:rPr>
        <w:t>: Reduces background noise to enhance audio clarity, supporting more professional and polished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presentations, webinars, and virtual events.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 AI-Powered Real-Time Background Replacement</w:t>
      </w:r>
      <w:r>
        <w:rPr>
          <w:rFonts w:ascii="Times New Roman" w:cs="Times New Roman" w:eastAsia="Times New Roman" w:hAnsi="Times New Roman"/>
          <w:sz w:val="18"/>
          <w:szCs w:val="18"/>
          <w:color w:val="auto"/>
        </w:rPr>
        <w:t>: Provides users with a more polished and compliant on-screen presence by removing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replacing the background during live video or recorded sessions.</w:t>
      </w:r>
    </w:p>
    <w:p>
      <w:pPr>
        <w:spacing w:after="0" w:line="10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While these new Gen AI capabilities launched in 2024 have not contributed material revenue to date, we believe they may serve as important growth drivers as customers increasingly adopt Gen AI-based applications. We intend to continue refining and expanding these solutions in response to evolving market demands and regulatory considerations, although there can be no assurance of their adoption level and eventual financial impact.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business has been driven by constant innovation while anticipating trends ahead of other participants in the market. We believe we are one of the first organizations to have recognized the importance and mission-critical nature of video experiences in enterprises.</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Kaltura's offerings natively support, and integrate with each other, live broadcast, real-time communications, and VOD playback, and address their entire lifecycle. They also support other digital media types such as audio files (e.g., podcasts) and images, including PDFs. They provide video-first and TV-based employee and customer experiences that are built upon robust content management capabilities, deep integration into workflows and Gen AI-infused hyper-personalized and hyper-contextualized engaging and interactive experiences.</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believe that the sustainable differentiation and success of our Video Cloud stems from the unique “Lego-like” modular approach that we have followed ever since our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have built our platform and products from the bottom up with an API-first approach that enables deep integrations, customizations, and interoperability across products and user cases. Coupled with our robust software development kits (“SDKs”) and highly configurable Experience Components customers can tailor workflows, maintain custom branding, and embed video features deeply into nearly any of their workflows, applications, and environments. Moreover, our technology stack has been built to address large enterprise needs from day one, supporting large-scale mission critical deployments with high reliability, performance, compliance, accessibility, and security.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key attributes of our technology:</w:t>
      </w:r>
    </w:p>
    <w:p>
      <w:pPr>
        <w:spacing w:after="0" w:line="167" w:lineRule="exact"/>
        <w:rPr>
          <w:sz w:val="20"/>
          <w:szCs w:val="20"/>
          <w:color w:val="auto"/>
        </w:rPr>
      </w:pPr>
    </w:p>
    <w:p>
      <w:pPr>
        <w:jc w:val="both"/>
        <w:ind w:left="660" w:hanging="328"/>
        <w:spacing w:after="0" w:line="25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API-First Architecture &amp; Flexibility</w:t>
      </w:r>
      <w:r>
        <w:rPr>
          <w:rFonts w:ascii="Times New Roman" w:cs="Times New Roman" w:eastAsia="Times New Roman" w:hAnsi="Times New Roman"/>
          <w:sz w:val="18"/>
          <w:szCs w:val="18"/>
          <w:color w:val="auto"/>
        </w:rPr>
        <w:t>: Our API-first architecture provides heightened flexibility, modularity, and customizability, enabling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to integrate deeply into any workflow or application. Our embeddable Experience Components and robust SDKs provide extensive white-labeling and brand control capabilities. This approach supports the development of customized and vertical-specific solutions and is designed to maintain robust security controls and unified analytics at scale. We believe this architecture allows us to address diverse business needs across industries and use cases, from small departmental deployments to enterprise-wide implementations.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Extensibility &amp; Integrations</w:t>
      </w:r>
      <w:r>
        <w:rPr>
          <w:rFonts w:ascii="Times New Roman" w:cs="Times New Roman" w:eastAsia="Times New Roman" w:hAnsi="Times New Roman"/>
          <w:sz w:val="18"/>
          <w:szCs w:val="18"/>
          <w:color w:val="auto"/>
        </w:rPr>
        <w:t>: We have a large ecosystem of partners and offer integrations with leading technological platforms and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across a range of functions, including for example internal networking, content production, event services, and marketing automation. Built on robust APIs, SDKs, and Experience Components, our architecture is designed to meet stringent data security and privacy requirements for heavily regulated sectors. This extensibility is intended to help organizations seamlessly adapt our solutions to their existing infrastructure and workflows and customize their experience with a handful available add-ons.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Global Infrastructure &amp; Scalable Architecture</w:t>
      </w:r>
      <w:r>
        <w:rPr>
          <w:rFonts w:ascii="Times New Roman" w:cs="Times New Roman" w:eastAsia="Times New Roman" w:hAnsi="Times New Roman"/>
          <w:sz w:val="18"/>
          <w:szCs w:val="18"/>
          <w:color w:val="auto"/>
        </w:rPr>
        <w:t>: We employ a cloud-native, virtualized design that leverages multi-CDN technology to 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audiences securely and reliably. To address data sovereignty requirements, we offer multiple hosting options, including shared and dedicated SaaS regions as well as on-premises, air-gapped deployments. This flexibility, combined with robust data privacy controls, comprehensive monitoring and strict SLAs, helps ensure high availability and minimal downtime, even in heavily regulated markets worldwide. While most of our customers utilize our public cloud Software-as-a-Service (“SaaS”) offering provided globally in shared or dedicated regions, certain customers, particularly in heavily regulated industries, opt for managed, hybrid, private, or air-gapped deployment models.</w:t>
      </w:r>
    </w:p>
    <w:p>
      <w:pPr>
        <w:spacing w:after="0" w:line="128"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Privacy and Compliance</w:t>
      </w:r>
      <w:r>
        <w:rPr>
          <w:rFonts w:ascii="Times New Roman" w:cs="Times New Roman" w:eastAsia="Times New Roman" w:hAnsi="Times New Roman"/>
          <w:sz w:val="18"/>
          <w:szCs w:val="18"/>
          <w:color w:val="auto"/>
        </w:rPr>
        <w:t>: We use encryption at rest and in transit, tokenization, and hold-your-own-key capabilities.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security controls include multi-factor authentication (“MFA”), web application firewalls (“WAF”), and distributed denial-of-service (“DDoS”) protection. We maintain certifications under ISO/IEC 27001, ISO 27701, ISO 27799, ISO 22301, and SOC 2 Type 2, and are self-certified under the EU-U.S. Data Privacy Framework (“DPF”), including UK and Swiss extensions.</w:t>
      </w:r>
    </w:p>
    <w:p>
      <w:pPr>
        <w:spacing w:after="0" w:line="12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Best Practice Development Processes</w:t>
      </w:r>
      <w:r>
        <w:rPr>
          <w:rFonts w:ascii="Times New Roman" w:cs="Times New Roman" w:eastAsia="Times New Roman" w:hAnsi="Times New Roman"/>
          <w:sz w:val="18"/>
          <w:szCs w:val="18"/>
          <w:color w:val="auto"/>
        </w:rPr>
        <w:t>: We employ an enterprise-grade secure software development lifecycle (“SSDLC”) adhering to ISO, CIS,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NIST, and OWASP standards. Ongoing monitoring, automated testing, and vulnerability management help maintain code quality and security.</w:t>
      </w:r>
    </w:p>
    <w:p>
      <w:pPr>
        <w:spacing w:after="0" w:line="100"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Responsible Data and AI Practices</w:t>
      </w:r>
      <w:r>
        <w:rPr>
          <w:rFonts w:ascii="Times New Roman" w:cs="Times New Roman" w:eastAsia="Times New Roman" w:hAnsi="Times New Roman"/>
          <w:sz w:val="18"/>
          <w:szCs w:val="18"/>
          <w:color w:val="auto"/>
        </w:rPr>
        <w:t>: Our platform and products collect and analyze data based on direct user interactions with video content,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often referred to as “first-party data”, rather than relying on information gathered or licensed from external entities. By operating on first-party data, we believe our platform enables organizations to comply with increasingly stringent privacy regulations that restrict the use of third-party data. This approach provides deeper insights into audience engagement, allowing customers to refine their strategies while mitigating compliance risks. As a result, organizations can strengthen user relationships and increase the overall value derived from their video initiatives. As for Kaltura’s AI principles, our approach emphasizes accountability, transparency, fairness, and continuous improvement. We do not use customer data to train third-party AI models. AI capabilities are incorporated to enhance content enrichment and repurposing without compromising security or privacy.</w:t>
      </w:r>
    </w:p>
    <w:p>
      <w:pPr>
        <w:spacing w:after="0" w:line="13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these combined elements, namely, flexibility &amp; extensibility, scalability &amp; security, best-practice development processes, and responsible data &amp; AI practices, strengthen our sustainable competitive advantages, and support our ability to continue and deliver best-in-class video products and services.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our operations, we handle personal information and other sensitive data related to users of our services, our employees, contractors, and other third parties. As a result, we are subject to various data privacy and protection laws, which continue to evolve and may pose significant compliance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more information on the legal framework and associated risks, see Part I, Item 1A. “Risk Factors—Risks Related to Information Technology, Intellectual Property and Data Privacy and Security.”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Partner Ecosystem</w:t>
      </w:r>
    </w:p>
    <w:p>
      <w:pPr>
        <w:spacing w:after="0" w:line="18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have established an extensive ecosystem of technology provider and system integrator partners that integrate with our offerings to extend our platform and products’ capabilities. These partnerships make available to our customers Kaltura-certified partner solutions that provide, for example, enhanced content creation, transcription, network optimization, encoding, analytics, lecture capture, and content delivery. We also partner with agencies and system integrators that at times deliver certified Kaltura services to joint customers. We offer our partners solutions through our marketplace, where we feature a range of plugins and out-of-the-box integrations with our technology. The partner ecosystem enables our customers to discover and more easily integrate new technologies that enhance their existing Kaltura offerings, and ultimately increase their overall satisfaction and retention. We believe that our partner ecosystem will continue to expand in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believe our Platform and Products position us well to compete with other video solution providers. Our key competitors vary based on market segment:</w:t>
      </w:r>
    </w:p>
    <w:p>
      <w:pPr>
        <w:spacing w:after="0" w:line="104" w:lineRule="exact"/>
        <w:rPr>
          <w:sz w:val="20"/>
          <w:szCs w:val="20"/>
          <w:color w:val="auto"/>
        </w:rPr>
      </w:pPr>
    </w:p>
    <w:p>
      <w:pPr>
        <w:ind w:left="1100" w:hanging="327"/>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EVCM &amp; OVP</w:t>
      </w:r>
      <w:r>
        <w:rPr>
          <w:rFonts w:ascii="Times New Roman" w:cs="Times New Roman" w:eastAsia="Times New Roman" w:hAnsi="Times New Roman"/>
          <w:sz w:val="18"/>
          <w:szCs w:val="18"/>
          <w:color w:val="auto"/>
        </w:rPr>
        <w:t>: Microsoft, AWS, and Vimeo</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Events &amp; Webinars</w:t>
      </w:r>
      <w:r>
        <w:rPr>
          <w:rFonts w:ascii="Times New Roman" w:cs="Times New Roman" w:eastAsia="Times New Roman" w:hAnsi="Times New Roman"/>
          <w:sz w:val="18"/>
          <w:szCs w:val="18"/>
          <w:color w:val="auto"/>
        </w:rPr>
        <w:t>: Microsoft, Zoom, and ON24</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Cloud TV Software</w:t>
      </w:r>
      <w:r>
        <w:rPr>
          <w:rFonts w:ascii="Times New Roman" w:cs="Times New Roman" w:eastAsia="Times New Roman" w:hAnsi="Times New Roman"/>
          <w:sz w:val="18"/>
          <w:szCs w:val="18"/>
          <w:color w:val="auto"/>
        </w:rPr>
        <w:t>: Comcast, Synamedia and MediaKind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markets include, but are not limited to:</w:t>
      </w:r>
    </w:p>
    <w:p>
      <w:pPr>
        <w:spacing w:after="0" w:line="179" w:lineRule="exact"/>
        <w:rPr>
          <w:sz w:val="20"/>
          <w:szCs w:val="20"/>
          <w:color w:val="auto"/>
        </w:rPr>
      </w:pPr>
    </w:p>
    <w:p>
      <w:pPr>
        <w:ind w:left="1100" w:hanging="327"/>
        <w:spacing w:after="0"/>
        <w:tabs>
          <w:tab w:leader="none" w:pos="110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Breadth, depth, and scale of products, APIs and developer tools;</w:t>
      </w:r>
    </w:p>
    <w:p>
      <w:pPr>
        <w:spacing w:after="0" w:line="157" w:lineRule="exact"/>
        <w:rPr>
          <w:rFonts w:ascii="Arial" w:cs="Arial" w:eastAsia="Arial" w:hAnsi="Arial"/>
          <w:sz w:val="22"/>
          <w:szCs w:val="22"/>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support all types of video interactions, including live, real-time, and on-demand, as well as non-video digital assets;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cater to numerous use-cases with interoperable products and unified analytics;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engaging, interactive, and personalized experiences;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quickly;</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customization and integration with other products;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various deployment options (including regional and dedicated environments);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capabilities, including advanced analytics and Gen AI;</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High-availability and global presence;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Enterprise-grade reliability, security, and scalability;</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time to value;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culture.</w:t>
      </w:r>
    </w:p>
    <w:p>
      <w:pPr>
        <w:spacing w:after="0" w:line="17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believe that our combination of advanced Gen AI-infused video-first and TV capabilities, robust API-first secure architecture, embeddable Experience Components, and flexible products and deployment options sets us apart in a competitive landscape. Our focus on enterprise governance and security, exemplified by stringent data protection features, dedicated environments, and global availability, enables customers to adopt video-centric workflows at scale with confidence.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products and Experience Components generate valuable first-party data that enrich our comprehensive analytics and business insights, helping organizations drive engagement, streamline operations, and achieve faster time to value. In addition, our broad product portfolio is designed to serve the converging needs of live, on-demand, and real-time communications, and to support customers’ plans to consolidate around one vendor across products and use cases, to power both employee and customer experiences. Moreover, we believe such consolidation can help customers make the most out of hyper-personalized and hyper-contextualized Gen AI-infused experiences. We believe our brand reputation, track record of innovation, and commitment to responsible Gen AI further reinforce our differentiated position, equipping us to address evolving market demands and to deliver long-term value to our customers and shareholders.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market and sell our offerings primarily to medium to large enterprises, across a diverse array of industries including technology, education, regulated industries, professional and commercial services, and media &amp; telecommunications. While most of our offerings apply to customers of all industries, some of them are more tailored for specific industries such as education, media &amp; telecom, and financial services/wealth management.</w:t>
      </w:r>
    </w:p>
    <w:p>
      <w:pPr>
        <w:spacing w:after="0" w:line="12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When our offerings are used for internal events, communication, collaboration, training, or learning, the primary buyers are chief technology officers (“CTOs”), chief information officers (“CIOs”), and heads of learning and development. In the case of marketing-related use cases (e.g., webinars and external events), the primary buyers are chief marketing officers (“CMOs”). Furthermore, we offer our application programming interfaces (“APIs”) and developer tools to all our target markets, either as standalone offerings or bundled with our other solutions. Buyers for these API and developer tool offerings are typically CTOs.</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currently serve customers in 53 countries. Our key markets include the United States, United Kingdom, Germany, and France. Other markets include: Switzerland, the Netherlands, the Nordics, Italy, Spain, Singapore, Hong Kong, and Australia.</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primary go-to-market strategy is direct sales, where our account executives and customer success managers cultivate and maintain long-term strategic relationships with enterprise customers. We define our “enterprise customers” as customers with more than 5,000 employees and/or that pay us more than $60,000 in annualized recurring revenue (“ARR”).We consider subdivisions of the same legal entity (for example, divisions of a parent company or separate campuses that are part of the same state university system) as well as Value-add Resellers (“VARs”) (meaning resellers that directly manage the relationship with the customer) and the customers they manage, to be a single customer. These customers represented in 2024 more than 96% of our subscription revenue. In addition, we have a small, dedicated sales and accounts team that manages commercial and small to medium business (“SMB”) accounts. These are customers with less than 5,000 employees and/or that pay us less than $60,000 ARR. These customers represented in 2024 less than 4% of our subscription revenue.</w:t>
      </w:r>
    </w:p>
    <w:p>
      <w:pPr>
        <w:spacing w:after="0" w:line="13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sales and accounts team focuses on both new customer acquisition and existing customer expansion, supported by customer success managers who drive adoption, usage, and overall customer satisfaction.</w:t>
      </w:r>
    </w:p>
    <w:p>
      <w:pPr>
        <w:spacing w:after="0" w:line="104"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Business Development and Channels</w:t>
      </w:r>
      <w:r>
        <w:rPr>
          <w:rFonts w:ascii="Times New Roman" w:cs="Times New Roman" w:eastAsia="Times New Roman" w:hAnsi="Times New Roman"/>
          <w:sz w:val="18"/>
          <w:szCs w:val="18"/>
          <w:color w:val="auto"/>
        </w:rPr>
        <w:t>: We have established strategic partnerships with some of the world's top tech firms, integrators and value-add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resellers, to cater to their advanced needs and to establish co-sell, re-sell and OEM relationships. In 2024 we reaccelerated our focus on cultivating channel sales partnerships for co-sell and sell-through initiatives. This effort began to yield preliminary heightened results, and we expect channel sales to continue expanding over time.</w:t>
      </w:r>
    </w:p>
    <w:p>
      <w:pPr>
        <w:spacing w:after="0" w:line="12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marketing efforts are designed to enhance brand awareness and generate sales leads through thought leadership, participation in industry events, industry analyst and media coverage, customer referrals, community engagement, and company-hosted conferences and regional customer user-groups, such as “Kaltura Connect”. Additionally, we utilize digital marketing campaigns and make free trials available for many of our products to encourage product engagement and expedite the sales cycle.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and Data Privacy</w:t>
      </w:r>
    </w:p>
    <w:p>
      <w:pPr>
        <w:spacing w:after="0" w:line="17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Intellectual property is an important aspect of our business, and we seek protection for our intellectual property rights we deem as appropriate. To establish and protect our proprietary rights, we rely on a combination of patent, copyright, trade secret and trademark laws, know-how and continuing innovation, and contractual restrictions such as confidentiality agreements, licenses, and intellectual property assignment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2024, we owned eight issued U.S. patents and ten non-U.S. patents. The issued U.S. patents are expected to expire between 2025 and 2035.</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have registered certain of our domain names, trademarks and service marks in the United States and in certain locations outside the United States. As part of our brand protection strategy, we filed trademark registrations in the United States and in some other jurisdictions. As of December 31, 2024, we owned five registered trademarks in the United States and nine registered trademarks in foreign jurisdictions, including the European Union and Brazil, that we consider material to the marketing of our products, including the “Kaltura” name and logo.</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generally seek to enter into confidentiality agreements and proprietary rights agreements with our employees and consultants and to control access to, and distribution of, our proprietary information. However, we cannot guarantee that all applicable parties have executed such agreements. Such agreements can also be breached, and we may not have adequate remedies for such breach.</w:t>
      </w:r>
    </w:p>
    <w:p>
      <w:pPr>
        <w:spacing w:after="0" w:line="12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Intellectual property laws, procedures, and restrictions provide only limited protection, and any of our intellectual property rights may be challenged, invalidated, circumvented, infringed, misappropriated or otherwise violated. Furthermore, the laws of certain countries do not protect intellectual property and proprietary rights to the same extent as the laws of the United States, and we therefore may be unable to protect our proprietary technology in certain jurisdictions. Moreover, our platform and many of our products and services incorporate software components licensed to the general public under open-source software licenses. We also obtain some components from software developed and released by contributors to independent open-source components of our platform. Open-source licenses grant licensees broad permissions to use, copy, modify and redistribute certain components of our platform. As a result, open-source development and licensing practices can limit the value of our proprietary software assets.</w:t>
      </w:r>
    </w:p>
    <w:p>
      <w:pPr>
        <w:spacing w:after="0" w:line="13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obtain or circumvent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Some competitors and other third parties may pursue offensive patent registration and litigation practices to try to block or monetize our and our customers' use of our technologies. For more information regarding the risks relating to intellectual property, see Part I, Item 1A. “Risk Factors—Risks Related to Information Technology, Intellectual Property and Data Privacy and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we had 563 employees operating across 24 countries and 5 continents.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embrace hybrid work arrangements and provide competitive compensation and equity incentive plans to attract and retain top talent.</w:t>
      </w:r>
    </w:p>
    <w:p>
      <w:pPr>
        <w:spacing w:after="0" w:line="17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are passionately committed to our founding values of openness, flexibility, and collaboration. We also believe that they are integral to delivering transformative video solutions, and that ‘videofying’ the world brings about increased democratization, pluralism, and equality.</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strive to maintain an inclusive culture, emphasizing equality, well-being, and a sense of shared purpose. Our culture embraces our employees’ differences in age, race, gender and gender identity, sexual orientation and nationality, and it is our policy that employment decisions not be made on the basis of these or any other legally protected characteristics.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aim to provide our employees with a competitive salary and benefits that will enable them to achieve a good quality of life and plan for the future, and keep them inspired and motivated to drive innovation and out-of-the-box thinking. In addition to competitive base salaries and cash compensation, we maintain equity incentive plans to attract, retain and reward personnel through share-based compensation awards.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Except for certain of our employees in Brazil, our employees are not represented by a labor union in respect to their employment or covered by a collective bargaining agreement.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not experienced any work stoppages and largely consider our relationship with our employees to be good and mutually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8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Because the agreements for certain of our solutions do not limit usage or increase pricing for usage in excess of a specified amount, these additional costs may not result in a corresponding increase in revenue.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Kaltura, Inc. was incorporated as a Delaware corporation in October 2006. We completed our initial public offering of our common stock in July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5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website is www.kaltura.com. At our Investor Relations website, investors.kaltura.com,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found on our website is not part of this or any other report we file with, or furnish to,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and uncertainties described below, together with all of the other information in this Annual Report on Form 10-K. The occurrence of any of the events described below could harm our business, operating results, financial condition, liquidity, or prospects. In any such event, the market price of our common stock could decline, and you may lose all or part of your investment. Additional risks and uncertainties not presently known to us, or that we currently deem immaterial, may also impair our business. See “Forward-Looking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assess or mitigate the current volatile economic climate and its direct and indirect impact on our business and operations, including our customers and vendors, or to correctly predict the duration and depth of the current instability of the global economy and take the right or sufficient measures to address it, and as a result our business, financial condition, results of operations and prospects would be adversely affected.</w:t>
      </w:r>
    </w:p>
    <w:p>
      <w:pPr>
        <w:spacing w:after="0" w:line="7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nature of our activities and our global presence and operations expose us to global and local macro and micro effects, including the effects of global economic trends such as the current global economic volatility, rising inflation, rising interest rates, price increases, armed conflicts in various regions including the Middle East and Eastern Europe, political changes and their impact on the economic markets, decrease in our customers' spend or available budget that causes decline in demand, up-sales or subscription renewals, and other adverse effects that might have direct or indirect effects on our business and results of operations that are hard to predict, monitor or assess. Such developments have caused and may continue to cause uncertainties and high volatility with respect to our estimated or expected results of operations, may develop differently from our estimations and expectations, and could have an adverse effect on our business, results of operations and financial condition.</w:t>
      </w:r>
    </w:p>
    <w:p>
      <w:pPr>
        <w:spacing w:after="0" w:line="13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addition, the current economic climate has resulted in, among other things, longer sale cycles and increased price driven competition, including through initiation of bid processes, which has adversely affected our ability to retain our existing customers and our ability to generate renewals and up-sales. We expect these trends to continue in the near-term. If we are unable to retain our existing customer base or to obtain new customers at reasonable prices, our revenue could be eroded or might even decline, and as a result our business, financial condition, results of operations and prospects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dependency on existing customers' demand and exposure to change in demand by our customers, including due to reasons not under our control, makes it difficult to evaluate our current business and future prospects and may increase the risk that we will not be successful.</w:t>
      </w:r>
    </w:p>
    <w:p>
      <w:pPr>
        <w:spacing w:after="0" w:line="5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total revenue for the years ended December 31, 2024 and 2023 was $178.7 million and $175.2 million, respectively, representing an annual growth rate of 2%. You should not rely on the revenue growth of any prior period as an indication of our future performance. As we operate in new and rapidly changing markets, widespread adoption and use of our platform, products and solutions is critical to our future growth and success. We believe our revenue growth will depend on a number of factors, including, among other things, our ability to:</w:t>
      </w:r>
    </w:p>
    <w:p>
      <w:pPr>
        <w:spacing w:after="0" w:line="12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maintain our relationships with, and increase revenue from, our existing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and end user experiences;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and reliability of our platform, products and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and grow adoption of our offerings in new markets outside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train and retain skilled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expand our sales force and distribution channels;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enhance and improve our platform, products and solutions, including the features, integrations and capabilities we offer, and develop or otherwise introduce new products and solutions, and keep pace with the technological developments predominantly around AI-based technologies and use cases;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intellectual property protection for our platform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technologies, industries and use cases;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maintain our partner ecosystem;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applicable laws and regulations, including those related to AI, data privacy and 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offerings effectively and determine appropriate contract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most appropriate investments for our limited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efficiently adapt to changes in customer demand, trends, global and local macro and micro economic conditions, new technologies or offerings by our competitors or other market disruptions.</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If we are unable to accomplish any of these objectives, our revenue could be impaired or decline in future periods. Many factors may contribute to declines in our growth rate, including slower market penetration, increased competition, slowing demand for our offerings, a failure by us to capitalize on growth opportunities, the maturation of our business, failure to deliver under our commitments or to satisfy customer expectations, global or regional economic downturns, including as a result of the continuing geopolitical tensions and active armed conflicts, and failure to adapt to such downturns, among others. While market demand for our offerings was growing at a robust rate prior to the COVID-19 pandemic, we have since experienced a slowdown as the effects of the COVID-19 pandemic have weakened and as a result of the current volatile economic climate. As a result, it is difficult to evaluate our current business and future prospects and any of the risks highlighted herein or other adverse circumstances may increase the risk that we will not be successful. If our business, operations and financial results decline as a result of any of the factors described above, investors’ perceptions of our business and the market price of our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that may prevent us from achieving the objectives outlined above. If we fail to achieve the necessary level of efficiency in our organization, or if we are not able to accurately forecast future growth and other changes that might impact our business, such as changes in our existing customers' budgets, our business would be adversely affected. Moreover, if the assumptions that we use to plan our business, such as customer demand for our new AI-driven offerings or applicable growth and decline trends, are incorrect, or change in reaction to changes in our market, or if we are unable to maintain consistent revenue or revenue growth, the market price of our common stock could be volatile, and it may be difficult to achieve and maintain profitability.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future success is dependent on our ability to establish and maintain successful relationships with a diverse set of customers. We currently derive a significant portion of our revenue from a limited number of customers. Our top ten customers in the aggregate accounted for approximately 30.8%, 28.9% and 27.8% of our revenue for the years ended December 31, 2024, 2023 and 2022, respectively. For the years ended December 31, 2024 and December 31, 2023, Vodafone accounted for approximately 10.7% and 10.2% of our revenue, respectively. In the year ended December 31, 2022, no individual customer accounted for more than 10% out of our total revenue. While the identity of the customers may vary from period to period, it is likely that we will continue to derive a significant portion of our revenue from a limited number of customers in the future and, in some cases, the portion of our revenue attributable to individual customers may increase. The loss of one or more significant customers or a reduction in the amount of revenue we derive from any such customer could significantly and adversely affect our business, financial condition, and results of operations. Customers may choose not to renew their subscriptions or may otherwise reduce the breadth of the offerings to which they subscribe for any number of reasons. See “—If our existing customers do not renew their subscriptions, or if they renew on terms that are less economically beneficial to us, it could have an adverse effect on our business, financial condition and results of operations.” We are also subject to the risk that any such customer will experience financial difficulties that prevent them from making payments to us on a timely basis or at all.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able to achieve or maintain profitability.</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We have incurred losses in each year since our incorporation in 2006, including net losses of $31.3 million, $46.4 million, and $68.5 million in the years ended December 31, 2024, 2023 and 2022, respectively. As a result, we had an accumulated deficit of $468.8 million as of December 31, 2024. We intend to continue to expend substantial financial and other resources on, among other things: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product leadership by investing in the development of Gen AI based new capabilities, in our API and Developer Tools offerings, in our products for any Enterprise, and in our specialized solutions for the industry verticals we currently address (Education and Media and Telecom), and continuing to develop new products and expand into additional vertical industries;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sales within our existing customer base through increased usage of our platform and the cross-selling of additional products and solutions;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our current offerings by increasing the breadth of our technology partnerships and exploring potential transactions that may enhance our capabilities or increase the scope of our technology footprint;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grow our international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to the extent permitted under Delaware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additional organic and inorganic growth paths;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 related to our operation as a public company.</w:t>
      </w:r>
    </w:p>
    <w:p>
      <w:pPr>
        <w:spacing w:after="0" w:line="17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These efforts may prove more expensive than we currently anticipate, and we may not succeed in increasing our revenue sufficiently, or at all, or managing our business and operations more efficiently to offset these expenses. For example, our investments in AI-based initiatives introduced at the end of 2024 may not generate expected revenues if customers delay or underutilize these offerings, which in turn may further impact our ability to achieve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Moreover, to the extent we are successful in increasing our customer base, we may also incur increased losses because the costs associated with acquiring customers are generally incurred up front, while the subscription revenue is generally recognized ratably over the subscription term. This will be particularly true as we acquire new customers for our Media and Telecom specialized industry solutions, which entail significant non-recurring up-front costs as compared to our other offerings.</w:t>
      </w:r>
    </w:p>
    <w:p>
      <w:pPr>
        <w:spacing w:after="0" w:line="12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If our revenue does not increase or if the management of our resources do not sufficiently offset the expected increases in our operating expenses and the effects of the current economic volatility, we will not achieve profitability in future periods and our net losses may increase. Revenue growth may slow or revenue may decline for a number of possible reasons, many of which are beyond our control, including slowing demand for our platform, products or solutions, decline in renewals and higher churn rate, increasing competition, or any of the other factors discussed in this Risk Factors section. Any failure to increase our revenue as we grow our business or to manage our expenditures more effectively could prevent us from achieving profitability at all or on a consistent basis, which would cause our business, financial condition, and results of operations to suffer and the market price of our common stock to decline.</w:t>
      </w:r>
    </w:p>
    <w:p>
      <w:pPr>
        <w:spacing w:after="0" w:line="13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63"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are relatively new and rapidly evolving. Accordingly, it is difficult to predict customer adoption, renewals and demand, the entry of new competitive products, the success of existing competitive products, and the future growth rate, expansion, longevity, and size of the markets for our platform, products, and solutions. The expansion of these new and evolving markets depends on a number of factors, including the cost, performance, and perceived value associated with the technologies that we and others in our industry develop. For example, customers may be slow to implement our new AI offerings, including due to budgetary or compliance constraints. Further if we or other companies in our industry experience security incidents, loss of customer data, or disruptions in delivery or service, the market for these applications as a whole, including the demand for our offerings, may be negatively affected. If video products and solutions such as ours do not continue to achieve market acceptance, or there is a reduction in demand caused by decreased customer acceptance, technological challenges, weakening economic conditions, privacy, data protection and data security concerns, governmental regulation, competing technologies and products, or decreases in information technology spending or otherwise, the market for our offerings might not continue to develop or might develop more slowly than we expect, which could adversely affect our business, financial condition, results of operations and growth prospects.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likely to fluctuate from quarter to quarter and year to year, which could adversely affect the trading price of our common stock.</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results of operations, including our revenue, cost of revenue, gross margin, operating expenses, cash flow, and deferred revenue, have fluctuated from quarter to quarter and year to year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not fully reflect the underlying performance of our business. Factors that may cause fluctuations in our quarterly financial results include:</w:t>
      </w:r>
    </w:p>
    <w:p>
      <w:pPr>
        <w:spacing w:after="0" w:line="12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increase revenue from our existing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renewals, and the timing and terms of such renewals;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usage from period to period, including as a result of seasonality in our customers’ underlying businesses, which create variability in our cost of revenue;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products, solutions, platform capabilities and customer support;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or other factors resulting in the consolidation of our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of our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partners and retain existing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competing offerings or develop in-house technologies and solutions as alternatives to our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spending patterns of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investments in research and development, sales and marketing, and general and administrative resources;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reliance on public cloud infrastructure, which will result in higher variable costs compared to our own data centers;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our platform, products or solutions, or third-party intellectual property or proprietary rights;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our company, our offerings or our partners, including as a result of actual or perceived breaches of, or failures relating to, privacy, data protection or data security;</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such as the current volatile economic climate;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AI-related regulations, privacy and digital resilience or unexpected complexities in launching new AI-driven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uncertainty or unrest or outbreak or worsening of hostilities or armed conflicts;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markets that our offerings address;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underlying businesses of our customers, including budgeting cycles, purchasing practices and priorities and usage patterns;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strengths or weakness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timely or at all on invoices or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future litigation or other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in the United States and internationally;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on-premise and SaaS/PaaS deployments;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geographical mix of our revenue that may impact out gross margin;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solutions introduced by us or our competitors, or any other change in the competitive dynamics of our industry, including consolidation among competitors, customers or partners or technology disruption;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changes in the trade policies of the countries in which we operate or do business;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 epidemic, outbreak of infectious disease or other global health crises on our business, the businesses of our customers and partners and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Historically, we have also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Because the agreements for certain of our solutions do not limit usage or increase pricing for usage in excess of a specified amount, these additional costs may not result in a corresponding increase in revenue.</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Operating on public cloud infrastructure and the redundancy in cloud infrastructure to satisfy different local data privacy regimes have increased our variable costs, which may lead to higher overall costs.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impact of one or more of the foregoing or other factors may cause our results of operations to vary significantly. Such fluctuations make forecasting more difficult and could cause us to fail to meet the expectations of investors and securities analysts, which could cause the trading price of our common stock to fall substantially, resulting in the loss of all or part of your investment, and subject us to costly lawsuits, including securities class action suits. Additionally, the rapid growth we have experienced in recent years may have masked the full effects of seasonal factors on our business to date, and as such, these factors may have a greater effect on our results of operations in future periods.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discover significant deficiencies or material weaknesses in our internal control over financial reporting which, if not remediated, could cause us to fail to timely and accurately report our financial results and result in restatements of our consolidated financial statements, and could cause stockholders to lose confidence in our financial reporting and our stock price to suffer.</w:t>
      </w:r>
    </w:p>
    <w:p>
      <w:pPr>
        <w:spacing w:after="0" w:line="6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are a public reporting company subject to the rules and regulations established from time to time by the SEC and the Nasdaq Stock Market LLC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2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in a timely manner. As an emerging growth company, our independent registered public accounting firm will not be required to formally attest to the effectiveness of our internal control over financial reporting pursuant to Section 404 until our annual report for any fiscal year following such date that we are no longer an emerging growth company.</w:t>
      </w:r>
    </w:p>
    <w:p>
      <w:pPr>
        <w:spacing w:after="0" w:line="13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neither we nor our independent registered public accounting firm, as applicable, will be able to conclude that our internal control over financial reporting is effective as required by Section 404. We previously identified and disclosed a material weakness in our internal control over financial reporting in our Annual Report on Form 10-K for the year ended December 31, 2021. This material weakness has since been remediated, but we may discover additional significant deficiencies or material weaknesses in our internal control over financial reporting in the future, which we may not successfully remediate in a timely manner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 and adversely affect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67"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markets in which we compete are characterized by rapid technological change, frequent introductions of new products, services, features and capabilities, and evolving industry standards and regulatory requirements. Our ability to grow our customer base and increase our revenue will depend in significant part on our ability to develop or otherwise introduce new products and solutions; develop or otherwise introduce new features, integrations, capabilities, and other enhancements to our existing offerings on a timely basis; interoperate across an increasing range of devices, operating systems, and third-party applications; and determine the right focus and prioritization, both in terms of our products roadmap and business focus. The success of any new products or solutions, or enhancements to our existing offerings, will depend on a number of factors including, but not limited to, the timeliness and effectiveness of our research and product development activities and go-to-market strategy, our ability to identify the appropriate technological development paths, our ability to anticipate customer needs and achieve market acceptance, our ability to manage the risks associated with new product releases, the effective management of development and other spending in connection with the product development process, and the availability of other newly developed products and technologies by our competitors and by any other third parties that may introduce disruptive technologies.</w:t>
      </w:r>
    </w:p>
    <w:p>
      <w:pPr>
        <w:spacing w:after="0" w:line="14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In addition, in connection with our product development efforts, we may introduce significant changes to our existing products or solutions, or develop or otherwise introduce new and unproven products or solutions, integrate new technologies such as AI models, including technologies with which we have little or no prior development or operating experience. This risk is amplified as we invest more heavily in AI-based technologies that rely on advanced algorithms and third-party large language models, potentially exposing us to new, and potentially novel, trade secret misappropriation or intellectual property disputes. These new products, solutions and updates may not perform as expected, may fail to engage our customer base or other end users of our products, or may otherwise create a lag in adoption of such new products. New products may initially suffer from performance and quality issues that may negatively impact our ability to market and sell such products to new and existing customers or harm our reputation.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offerings until the next upgrade is released or switch to a competitor if we are not able to keep up with technological developments. To keep pace with technological and competitive developments we have in the past invested, and may in the future invest, in the acquisition of complementary businesses, technologies, services, products, and other assets that expand our offerings. We may make these investments without being certain that they will result in products or enhancements that will be accepted by existing or prospective customers or that will achieve market acceptance or successfully integrate with our existing products. The short- and long-term impact of any major change to our offerings, or the introduction of new products or solutions, is particularly difficult to predict. If new or enhanced offerings fail to engage our customer base or other end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offerings to meet evolving customer requirements, increase adoption and use cases of our offerings, develop, or otherwise introduce new products and solutions and quickly resolve security vulnerabilities or other errors or defects, or if our efforts in any of these areas are more expensive or involved than we expect, our business, financial condition, and results of operations would be adversely affected.</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use of certain AI and machine learning model technologies and compliance with the evolving regulatory framework around AI development and use.</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As part of our development roadmap, we are developing, integrating and interfacing certain AI-based solutions, applications and features as part of our future offering. The underlying AI algorithms, digital processing or software, analyze and processes video and audio content, processes, and use of our products by developers, administrators and users, while performing intellectual processes characteristic of intelligent beings, such as deep learning, natural language processing, reasoning, discovering meaning, generalizing, processing, summarizing and representing knowledge, planning, and learning from past experience. The technologies and solutions pursued by us include also generative AI, namely, a type of artificial intelligence technology that can produce various types of content or data, such as text, images, videos, audio, synthetic data or other media, using generative models. Artificial intelligence and machine learning are rapidly evolving fields of study, and bear risks associated with the introduction of new technologies and the lack of learning curve and technology maturity. Thus, the Company cannot assure nor guarantee the accuracy of any output generated therefrom or other results obtained from use thereof. Given the probabilistic nature of machine learning and AI, use of such AI processing and tools may in some situations result in an inaccurate output.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If our solutions (including those of our vendors and subcontractors) fail to perform as intended, our business, financial condition, and results of operations would be adversely affected.In addition, although the Company does not retain or use any of its customers' contents or metadata provided or uploaded by them or otherwise generated from their use of the Company's AI tools, nor does the Company use its customers' data or content for the creation of any AI-output for other users of the Company's systems and solutions, the processing of its customers' data may nonetheless result in the creation of residual know how, experience and information, statistical models, and training of deep learning, algorithms, simulations, statistics, predictability and other AI features and capabilities. If we fail to establish processes, policies, rules and contractual frameworks to avoid misuse or unauthorized use of our customers data, or to establish and secure the Company's rights with respect to its own developments, technologies and AI products and tools, or if evolving regulation of AI and machine learning model technologies would develop differently from our standards and policies, and as a consequence we may suffer claims for intellectual property infringement, misuse or abuse, then our business, financial condition, and results of operations would be adversely affected.</w:t>
      </w:r>
    </w:p>
    <w:p>
      <w:pPr>
        <w:spacing w:after="0" w:line="14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regulatory framework around the development and use of machine learning, AI and automated decision making is rapidly evolving, and many federal, state and foreign government bodies and agencies have introduced and/or are currently considering additional laws and regulations. For example,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w:t>
      </w:r>
    </w:p>
    <w:p>
      <w:pPr>
        <w:spacing w:after="0" w:line="13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U.S. legislation related to AI Technologies has also been introduced at the federal level and is advancing at the state level. For example, the California Privacy Protection Agency is currently in the process of finalizing regulations under the California Consumer Privacy Act (“CCPA”) regarding the use of automated decision-making. California also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Technologies in the future.</w:t>
      </w:r>
    </w:p>
    <w:p>
      <w:pPr>
        <w:spacing w:after="0" w:line="13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Europe, on August 1, 2024, the EU Artificial Intelligence Act (the “EU AI Act”) entered into force, and establishes a comprehensive, risk-based governance framework for AI in the EU market. The majority of the substantive requirements will apply from August 2, 2026. The EU AI Act will apply to companies that develop, use and/or provide artificial intelligence in the EU and, depending on the artificial intelligence use case, includes requirements around transparency, conformity assessments and monitoring, risk assessments, human oversight, security, accuracy, general purpose artificial intelligence and foundation models, with fines for breaches of up to 7% of worldwide annual turnover. Once fully applicable, the EU AI Act will have a material impact on the way artificial intelligence is regulated in the EU, and together with developing guidance and/or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w:t>
      </w:r>
    </w:p>
    <w:p>
      <w:pPr>
        <w:spacing w:after="0" w:line="13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Both in the United States and internationally, AI usage and development are the subject of evolving review by various governmental and regulatory agencies, including the SEC and the FTC, and changes in laws, rules, directives and regulations governing the use of AI may adversely affect the ability of our business to use or rely on AI. Implementation standards and enforcement practices are likely to remain uncertain for the foreseeable future, and we cannot yet determine the impact future laws, regulations, standards, or perception of their requirements may have on our business. Any actual or perceived failure to comply with evolving regulatory frameworks around the development and use of AI could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6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integrate our platform, products, and solutions with a variety of network, hardware, and software platforms, and we need to continuously modify and enhance our offerings to adapt to changes in hardware, software, networking, browser and database technologies. Several of our competitors own, develop, operate, or distribute operating systems, application stores, cloud hosting services and other software applications, and/or have material business relationships with companies that own, develop, operate, or distribute operating systems, application stores, cloud hosting services and other software that our offerings rely on to operate. Moreover, some of our competitors have inherent advantages developing products and services that more tightly integrate with their software and hardware platforms or those of their business partners.</w:t>
      </w:r>
    </w:p>
    <w:p>
      <w:pPr>
        <w:spacing w:after="0" w:line="133"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Third-party products and services are constantly evolving, and we may not be able to modify our offerings to ensure their compatibility with those of other third parties following development changes. In addition, some of our competitors may be able to disrupt the operations or compatibility of our offerings with their products or services, or exert strong business influence on our ability to, and terms on which we, operate and distribute our offerings. For example, certain of our offerings directly compete with several large technology companies that we rely on to ensure the interoperability of our offerings with their products or services. As our respective products evolve, we expect this level of competition to increase. Should any of our competitors modify their products or standards in a manner that degrades the functionality of our offerings or gives preferential treatment to competitive products or services, whether to enhance their competitive position or for any other reason, or if they deploy encryption, cybersecurity ringfencing protections or other interface limitations, we may not be able to offer the functionality that our customers need or may be offered by such competitor,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or timely available. Any expansion into new geographies or verticals may also require us to integrate our offerings with new third-party technologies, products, services and regulatory requirements,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spacing w:after="0" w:line="143"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a significant percentage of our customers choose to integrate our platform, products, and solutions with certain capabilities of third-party publishers and software providers using application programming interfaces, or APIs. The functionality and popularity of our platform, products and solutions depends, in part, on their ability to integrate with a wide variety of third-party applications and software. Third-party providers of applications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or our customers' ability to use these third-party applications and software in conjunction with our offerings, or may require us to obtain royalty-bearing licenses, which could negatively impact customer demand, our competitive position and adversely affect our business.</w:t>
      </w:r>
    </w:p>
    <w:p>
      <w:pPr>
        <w:spacing w:after="0" w:line="13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may prevent us from timely updating our offerings, building new features, integrations, capabilities, or other enhancements, or charging for access. Certain of these companies are now, or may in the future become, competitors of ours, and could stop allowing or supporting access to our offerings, could allow access for us only at an unsustainable cost, or could make changes to the terms of access in order to make our offerings less desirable or harder to access, for competitive reasons, which would also have a negative impact on our business.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version of our Media Services is licensed to the public under an open source license, which could negatively affect our ability to monetize our offerings and protect our intellectual property rights.</w:t>
      </w:r>
    </w:p>
    <w:p>
      <w:pPr>
        <w:spacing w:after="0" w:line="5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make a version of our Media Services, Kaltura Community Edition (“Kaltura CE”), available to the public at no charge under an open source license, the Affero General Public License version 3.0 (“AGPL”). Although Kaltura CE does not include many widely used Kaltura applications, it can be used on a self-hosted basis as a standalone video platform. The AGPL grants licensees broad freedom to view, use, copy, modify and redistribute the source code of Kaltura 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Anyone can download a free copy of this version of our platform from the internet, and we neither know who all of our AGPL licensees are, nor have visibility into how Kaltura CE is being used by licensees, so our ability to detect violations of the open source license is extremely limited. Additionally, even if we become aware of any violations, open source licenses, including the AGPL, have not been widely interpreted by courts, leading to uncertainty surrounding any ability to enforce such licenses.</w:t>
      </w:r>
    </w:p>
    <w:p>
      <w:pPr>
        <w:spacing w:after="0" w:line="12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AGPL is a “copyleft” license, requiring that any redistribution by licensees of Kaltura CE, or any modifications or adaptations to Kaltura CE, be made pursuant to the AGPL as well. This leads some commercial enterprises to consider AGPL-licensed software to be unsuitable for commercial use. However, the AGPL would not prevent a commercial licensee from taking this open source version of our platform under AGPL and using it solely for internal purposes for free. AGPL also would not prevent a commercial licensee from taking this open source version of our platform under AGPL and using it to compete in our markets by providing it to others for free.</w:t>
      </w:r>
    </w:p>
    <w:p>
      <w:pPr>
        <w:spacing w:after="0" w:line="1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This competition can develop without the degree of overhead and lead time required by traditional proprietary software companies, due to the permissions allowed under AGPL. It is also possible for competitors to develop their own software based on Kaltura CE. Although this software would also need to be made available for free under the AGPL, it could reduce the demand for and put pricing pressure on our offerings. We cannot guarantee that we will be able to compete successfully against current and future competitors, some of which may have greater resources than we have, or that competitive pressure or the availability of new open source software will not result in price reductions, reduced operating margins, and loss of market share. Any of the foregoing could harm our business, financial condition, results of operations and cash flows.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6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markets in which we compete, including Enterprise Video Content Management (EVCM) and Online Video Platforms (OVP), Virtual Events and Webinars, and Cloud TV Software, are evolving rapidly and remain highly fragmented. Many of our current and potential competitors are larger organizations with significantly greater financial, technical, and marketing resources, broader customer bases, and stronger brand recognition than we have. These factors may enable them to compete more aggressively on pricing, invest in more extensive research and development, or bundle additional products and services alongside their video offerings. In addition, new market entrants and continued industry consolidation can further intensify competition, creating fewer but larger competitors with enhanced capabilities. We believe our ability to compete successfully depends on a variety of factors, some of which are beyond our control, including:</w:t>
      </w:r>
    </w:p>
    <w:p>
      <w:pPr>
        <w:spacing w:after="0" w:line="15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18"/>
          <w:szCs w:val="18"/>
          <w:color w:val="auto"/>
        </w:rPr>
        <w:t>Breadth, depth, and scale of products, APIs and developer tools;</w:t>
      </w:r>
    </w:p>
    <w:p>
      <w:pPr>
        <w:spacing w:after="0" w:line="143" w:lineRule="exact"/>
        <w:rPr>
          <w:rFonts w:ascii="Arial" w:cs="Arial" w:eastAsia="Arial" w:hAnsi="Arial"/>
          <w:sz w:val="22"/>
          <w:szCs w:val="22"/>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support all types of video interactions, including live, real-time, and on-demand, as well as non-video digital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cater to numerous use-cases with interoperable products and unified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engaging, interactive, and personalized experiences;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quickly;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customization and integration with other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various deployment options (including regional and dedicated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capabilities, including advanced analytics and Gen AI;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High-availability and global presence;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Enterprise-grade reliability, security, and scalability;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time to 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we fail to address these competitive pressures or if we cannot keep pace with rapid technological changes, customer demands, or evolving regulatory requirements, our business, financial condition, and results of operations could be materially and adversely affected. We may also be forced to reduce our prices or alter our product strategy in response to competitive pressures, which could negatively impact our margins and growth prospects.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continued success will depend on our ability to provide differentiated, high-value solutions and to deepen our relationships with customers across diverse industry segments. However, there can be no assurance that we will be able to maintain our current market position or grow our share in these rapidly evolving and competitive markets.</w:t>
      </w:r>
    </w:p>
    <w:p>
      <w:pPr>
        <w:spacing w:after="0" w:line="122"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Additionally, we compete with home-grown, start-up, and open source technologies across the categories described above. With recent changes in workplace structures and flexible work policies, and the introduction of new technologies and the entrance of new market participants in response to these trends, competition has intensified, and we expect it to continue in the future. Established companies are also developing their own video platforms, products, and solutions within their own core product lines,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consumer preferences for their offerings, a larger or more effective sales organization and greater financial, technical, marketing, and other resources and experience. Furthermore, with the recent increase in large merger and acquisition transactions in the technology industry, which has recently intensified due to the distressed and unstable economic climate, in particular with respect to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 Furthermore, if a sole-source technology provider on which we rely is acquired or otherwise experiences a change of control, we may be prevented from using, selling, supporting or having access to such technology. Additionally, we may also consider pursuing a business combination or other strategic transaction with another entity, such as to take advantage of market trends or in response to industry challenges. Alternatively, we could be identified as an acquisition target by one of our existing or potential competitors or other third parties. Such transactions may not be successful, may not achieve the expected results and may impose financial or operational burdens on the Company, which in turn may adversely impact our business, financial condition, results of operations and prospects. In addition, your ownership and voting power may be diluted in connection with an acquisition or other strategic transaction. For more information regarding the possible implications of and risks associated with such transactions, see Part I, Item 1A. “Risk Factors — If we are unable to consummate acquisitions at our desired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 and, in addition, “Risk Factors — Your ownership and voting power may be diluted by the issuance of additional shares of our common stock in connection with financings, acquisitions, investments, our equity incentive plans or otherwise.”</w:t>
      </w:r>
    </w:p>
    <w:p>
      <w:pPr>
        <w:spacing w:after="0" w:line="15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We may also expand into new markets and encounter additional competitors in such markets. These competitive pressures in the markets in which we operate, or our failure to compete effectively, may result in price reductions, fewer customers, reduced revenue, gross profit and gross margins, increased net losses and loss of market share. Any failure to effectively address these factors could significantly and adversely affect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offerings.</w:t>
      </w:r>
    </w:p>
    <w:p>
      <w:pPr>
        <w:spacing w:after="0" w:line="5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products and solutions will depend to a significant extent on our ability to effectively and efficiently manage and expand our sales and marketing operations. A key factor in our marketing capabilities is qualified sales personnel and sales representatives. Identifying and training such personnel is time-consuming and resource-intensive, and they may not be fully trained and productive for a significant amount of time or thereafter could be found lacking appropriate skills or qualification. We have dedicated and may continue to dedicate significant resources to our marketing programs. Our business will be harmed if our efforts do not generate a correspondingly significant increase in revenue. We will not achieve anticipated revenue growth targets if we are unable to develop and retain talented sales personnel, if our new sales personnel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we also leverage reseller relationships and marketplace platforms to help market and sell our offerings to customers around the world, particularly in areas in which we have a limited presence. These relationships subject us to certain risks. Our resellers may prioritize selling their own offerings that compete with ours, or one of our competitors may be effective in causing a reseller or potential reseller to favor that competitor’s offerings or otherwise prevent or reduce sales of our offerings. In addition, recruiting and retaining qualified resellers and training them in our technology, offerings and culture, requires significant time and resources, and our efforts may not be successful. If we decide to further develop and expand our indirect sales channels, we must continue to scale and improve our processes and procedures to support these channels, including investing in systems and training. Many resellers may not be willing to invest the time and resources required to train their staff to effectively market and sell our offerings.</w:t>
      </w:r>
    </w:p>
    <w:p>
      <w:pPr>
        <w:spacing w:after="0" w:line="13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addition, though most of our sales are, and have historically been, made through our direct sales organization, certain of our offerings may be purchased directly from our website, which we believe allows us to reduce our cost of customer acquisition, drive additional opportunities to our direct sales team, reach smaller customers, and broaden our target market. This self-service model requires us to incur sales and marketing expenses often prior to generating corresponding revenue. As this operation was launched only recently, we cannot guarantee that this model will succeed in generating revenue in excess of the corresponding sales and marketing expenses, or that it will be effective in helping us achieve our other objectives, any of which would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prices of our offerings may change, which may reduce our revenue and gross profit and adversely affect our financial results.</w:t>
      </w:r>
    </w:p>
    <w:p>
      <w:pPr>
        <w:spacing w:after="0" w:line="12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sales prices for our offerings may be subject to change for a variety of reasons, including competitive pricing pressures, discounts, anticipation of the introduction of new products, promotional programs, general economic conditions, or our marketing, user acquisition and technology costs and, as a result, we anticipate that we will need to change our pricing model from time to time. In the past, we have sometimes adjusted our prices for individual customers in certain situations, and expect to continue to do so in the future. Moreover, demand for our offerings is price-sensitive. Competition continues to increase in the market segments in which we operate, and we expect competition to further increase in the future, in particular as a result of the volatile economic climate,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Additionally, currency fluctuations in certain countries and regions may negatively impact actual prices that customers and resellers are willing to pay in those countries and regions. As we develop and introduce new offerings, as well as features, integrations, capabilities, and other enhancements, we may need to, or choose to, revise our pricing.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This is particularly true with respect to our Events product and TV Solution, which generally entail significantly higher up-front costs compared to our other offerings. We cannot assure you that we will be able to maintain our prices and gross profits at levels that will allow us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sell our subscriptions to new customers and to expand within our existing customer base by selling subscriptions for additional offerings to our existing customers and expanding the value of existing customers’ subscriptions, and to do so in a cost-effective manner. Our ability to sell new subscriptions and expand the number and value of existing subscriptions depends on a number of factors, including the prices of our offerings and their functionality, the prices of products offered by our competitors, and the budgets of our customers. We serve customer needs with multiple tiers of subscriptions that differ based on product depth and functionality. We also offer an initial trial period for certain of our offerings. To the extent prospective customers utilize this trial period without becoming, or lead others not to become, paying customers, our expenses may increase as a result of associated hosting costs, and our ability to grow our business may be adversely affected. We also offer an open source version of our Media Services called Kaltura CE. Our open source version is intended to increase the visibility and familiarity of our platform among the developer communities. We invest in developers and developer communities through multiple channels, including the introduction of new open source projects. There is no guarantee that such events will translate into new customers, or that open source users will convert to paying subscribers.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subscriptions, or if they renew on terms that are less economically beneficial to us, it could have an adverse effect on our business, financial condition, and results of operations.</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expect to derive a significant portion of our revenue from renewals of existing subscriptions. Our customers have no contractual obligation to renew their subscriptions after the completion of their subscription term. Subscriptions for most of our offerings are offered on either an annual or multi-year basis. Our subscriptions also generally include committed usage amounts. As a result, we cannot provide assurance that customers will renew their subscriptions for a similar contract period or with the same or greater product depth, number of users, functionality or other terms that are equally or more economically beneficial to us, if they renew at all.</w:t>
      </w:r>
    </w:p>
    <w:p>
      <w:pPr>
        <w:spacing w:after="0" w:line="1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customers’ renewals may decline or fluctuate as a result of a number of factors, including their satisfaction with our products and our customer support, the frequency and severity of product outages, our product uptime or latency, the pricing of our offering in relation to competing offerings, additional new features, integrations, capabilities or other enhancements that we offer, updates to our products as a result of updates by technology partners, and customers or users no longer having a need for our offerings. Renewal rates have been, and may in the future also be, impacted by general economic conditions or other factors that reduce customers’ spending levels. For example, many educational institutions and other customers in the public sector depend substantially on government funding, and any general decrease, delay, or other change in the availability of such funding could cause current and prospective customers to decide not to renew their subscriptions or to reduce the scope of their subscriptions at the end of the applicable subscription term, any of which could cause us to lose customers and revenue. If our customers do not renew their subscriptions or renew on terms less economically favorable to us, our revenue may decline or grow less quickly than anticipated, which would adversely affect our business, financial condition, and results of operations.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third parties outside the United States, for some of our software development, quality assurance, operations, and customer support.</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currently depend on various third parties for some of our software development efforts, quality assurance, operations, and customer support services. Specifically, we outsource some of our software development and design, quality assurance, and operations activities to third-party contractors that have employees and consultants located in Europe (including Poland, Czech Republic, Ukraine and Belarus) and other locations. Our dependence on third-party contractors creates a number of risks, in particular, the risk that we may not maintain development quality, control, or effective management with respect to these business operations. In addition, poor relations between the United States and Russia, economic sanctions and export control restrictions imposed by the United States, the European Union (“EU”), the United Kingdom (“UK”) and other countries targeting Russia, Belarus, and the embargoed areas of Ukraine, including as a result of the Russian invasion of Ukraine, and any further escalation of political tensions or economic instability in the area could have an adverse impact on our third-party software development in Ukraine and Belarus. In particular, increased tensions between the United States, the North Atlantic Treaty Organization including the UK and the EU member states and Russia as a result of the invasion of Ukraine by Russia, have increased the threat of armed conflict, cyberwarfare and economic instability that could disrupt or delay the operations of our resources in those countries, disrupt or delay our communications with such resources or the flow of funds to support their operations, or otherwise render our resources unavailable.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Moreover, some of our personnel and third party service providers reside in Ukraine and are subject to the impacts of the ongoing war, including risk of injury or death, destruction of infrastructures, lack of electricity, connectivity and basic living conditions, or be subject to Russian occupation. We anticipate that, absent any adverse developments, we will continue to engage with third party service providers and maintain those relationships in order to grow our business for the foreseeable future. If we are unsuccessful in maintaining existing and, where needed, establishing new relationships with third parties, our ability to efficiently operate existing services or develop new services and provide adequate customer support could be impaired or become more expensive, and, as a result, our competitive position or our results of operations could suffer.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affect our results of operations, as reported in our financial statements.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are exposed to foreign exchange rate fluctuations that could materially and adversely impact our financial results. We report our financial results in U.S. dollars, and the majority of our revenue and trade receivables is denominated in U.S. dollars, with the remainder primarily in euros. Euro exchange rate fluctuations may affect the reported revenue and trade receivables amount in U.S. dollars. If the U.S. dollar appreciates against the euro, the value of our euro-denominated revenue and account receivables decreases, negatively impacting our financial results. These fluctuations can also result in foreign exchange gains or losses, affecting our cash flows and financial expenses (income) in our financial statements.</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a significant portion of our expenses—including cost of revenue, research and development, sales and marketing, and general and administrative costs for our Israeli operations — is incurred in New Israeli Shekels (“NIS”).</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An appreciation of the NIS against the U.S. dollar would increase our operating costs, negatively impacting our profitability. Furthermore, if the NIS depreciates, but the inflation rate in Israel rises faster than the depreciation, the cost of our operations in Israel could still increase in U.S. dollar terms.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cannot predict future exchange rate trends, and our ability to hedge against currency fluctuations may be limited.</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5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derived from SaaS and PaaS subscriptions, and we recognize a significant portion of our subscription revenue over the term of the relevant subscription period. As a result, much of the subscription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contractual commitments under our customer agreements, we could be subject to contractual penalties, litigation, and other liabilities, and could experience an increase in contract terminations or decrease in contract renewals in future periods, which would lower our revenue, increase our costs, and otherwise adversely affect our business, financial condition, and results of operations.</w:t>
      </w:r>
    </w:p>
    <w:p>
      <w:pPr>
        <w:spacing w:after="0" w:line="6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customer agreements typically contain service-level commitments, indemnification and other liabilities. If we are unable to meet the stated service-level commitments, including failure to meet the uptime and response time requirements under our customer agreements, we may be contractually obligated to provide these customers with service credits or damages, or customers could elect to terminate and receive refunds for prepaid amounts related to unused subscriptions, either of which could significantly affect our revenue in the periods in which the failure occurs and the credits are applied or refunds paid out. In addition, customer terminations or any reduction in renewals resulting from service-level failures could significantly affect both our current and future revenue.</w:t>
      </w:r>
    </w:p>
    <w:p>
      <w:pPr>
        <w:spacing w:after="0" w:line="133"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the agreements we enter into with our TV Solution customers typically provide for committed delivery schedules and milestones with which we are required to comply in connection with the deployment of our offerings. The deployment process for our TV Solution offering is often complex, and our ability to comply with our obligations under these agreements depends on a variety of factors both within and outside of our control, including the timely performance of front-end software developers and other third-parties. If we fail to meet our committed delivery schedules and milestones, we could be subject to contractual penalties, including liquidated damages, as well as breach of contract claims, which could result in litigation and cause us to incur additional costs, including in the form of additional damages or settlement payments. Affected customers may also elect to terminate their agreements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Furthermore, any service-level failures or failure to meet committed delivery schedules and milestones could also create negative publicity and damage our reputation, which may discourage prospective customers from adopting our offerings. In addition, if we modify the terms of our contractual commitments in future customer agreements in a manner customers perceive to be unfavorable, demand for our offerings could be reduced. The occurrence of these or any of the events discussed above could have a significant adverse effect on our business, financial condition, results of operations and cash flow, as well as our ability to grow our business.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management team and other key employees, and the loss of one or more of these employees or an inability to attract and retain highly skilled employees could adversely affect our business.</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and adversely affect our business, financial condition, and results of operations. Although we have entered into employment offer letters with our key personnel, their employment is for no specific duration and constitutes at-will employment. We are also substantially dependent on the continued service of our existing engineering personnel because of the complexity of our products.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future performance also depends on the continued services and continuing contributions of our senior management team, which includes Ron Yekutiel, our co-founder, Chief Executive Officer and President, to execute on our business plan and to identify and pursue new opportunities and product innovations. The loss of services of our senior management team, particularly our Chief Executive Officer, could significantly delay or prevent the achievement of our development and strategic objectives, which could adversely affect our business, financial condition, and results of operations.</w:t>
      </w:r>
    </w:p>
    <w:p>
      <w:pPr>
        <w:spacing w:after="0" w:line="126"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Additionally, the industry in which we operate is generally characterized by significant competition for skilled personnel, as well as high employee attrition. There is a shortage in personnel with the relevant know-how and experience for the development of our Video Products and Media Services, particularly for DevOps, engineering, research and development, sales, and support positions, and we may not be successful in attracting, integrating, and retaining qualified personnel to fulfill our current and future needs. Many of the companies against which we compete for personnel have greater financial resources, scale and branding than we do, and it may be more difficult for us to attract and retain qualified personnel predominately in Israel, where most of our research and development positions are located, and in New York, where our headquarters is located.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or that they have divulged their former employers’ proprietary or other confidential information or incorporated such information into our products, which could include claims that such former employers therefore own or otherwise have rights to their inventions or other work product developed while employed by us.</w:t>
      </w:r>
    </w:p>
    <w:p>
      <w:pPr>
        <w:spacing w:after="0" w:line="14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and could lead to employee attrition. If we fail to attract new personnel, or fail to retain and motivate our current personnel, our business, financial condition, results of operations and growth prospects could be adversely affected.</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awareness of our brand, especially among developers and IT operators, as well as new departments such as marketing, our business, financial condition, and results of operations may be adversely affected.</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and IT operators, in addition to new departments such as marketing, is critical to achieving widespread acceptance of our platform, products and solutions and attracting new users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Brand promotion activities may not generate user or customer awareness or increase revenue, and even if they do, any increase in revenue may not offset the expenses we incur in building our brand. If we fail to successfully promote and maintain our brand, we may fail to attract and retain users and customers necessary to realize a sufficient return on our brand-building efforts, and may fail to achieve the widespread brand awareness that is critical for broad customer adoption of our offerings.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5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believe that our corporate culture, which is based on openness, flexibility, and collaboration, has been and will continue to be a key contributor to our success. Furthermore, in the current labor market, especially in Israel, we believe corporate culture is a critical element in the hiring and retention of personnel, and is an essential factor for us to successfully attract, hire and retain highly skilled personnel. If we do not continue to maintain our corporate culture as we grow, we may be unable to foster the innovation, creativity, and entrepreneurial spirit we believe we need to support our growth. The growth and expansion of our business and our transition from a private company to a public company may result in changes to our corporate culture, which could adversely affect our business, including our ability to recruit and retain qualified personnel.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offer high quality customer support would have an adverse effect on our business, reputation, and results of operations.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customers depend on our customer success managers to resolve issues and realize the full benefits relating to our platform, products, and solutions. If we do not succeed in helping our customers quickly resolve post-deployment issues or provide effective ongoing support and education, our ability to renew subscriptions with, or sell subscriptions for additional offerings to, existing customers, or expand the value of existing customers’ subscriptions, would be adversely affected and our reputation with potential customers could be damaged. In addition, most of our existing customers are large enterprises with complex information technology environments and, as a result, require significant levels of support. If we fail to meet the requirements of these customers, it may be more difficult to grow sales or maintain our relationships with them.</w:t>
      </w:r>
    </w:p>
    <w:p>
      <w:pPr>
        <w:spacing w:after="0" w:line="13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Additionally, while growing our base of customer success managers is a key component of our growth strategy, it can take several months to recruit, hire, and train qualified engineering-level customer support employees, and we may not be able to hire such resources fast enough to keep up with demand. To the extent that we are unsuccessful in hiring, training, and retaining adequate support resources, our ability to provide adequate and timely support to our customers, and our customers’ satisfaction with our platform, products, and solutions, will be adversely affected. Any failure by us to provide and maintain high-quality customer support services would have an adverse effect on our business, reputation,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revenue mix to vary over time, which could negatively impact our gross margin and results of operations.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expect our revenue mix to vary over time due to a number of factors. Our gross margins and results of operations could be negatively impacted by changes in revenue mix and costs resulting from any number of factors, including entry into new markets; growth in lower margin markets, such as the markets for our Events product and TV Solution, and the timing and aggregate usage of our solutions by such customers; entry into markets with different pricing and cost structures; increased usage of certain products and solutions that we offer to customers without usage caps;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part, because of the length and variability of the sales cycle of our subscriptions and the difficulty in making short-term adjustments to our operating expenses. Our results of operations depend in part on sales to new large customers and increasing sales to our existing customers, which are primarily large organizations.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length of our sales cycle, from initial contact with a prospective customer to subscribing to one or more of our offerings, can vary substantially from customer to customer for a number of reasons, including deal complexity (particularly for customers that purchase our TV Solutions), certification by new customers or due to new customers' requirements, setup time and our customers’ needs to satisfy their own internal requirements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a result, it can be difficult to predict exactly when, or even if, we will make a sale to a potential customer, or when and if we can increase sales to our existing customers. As a result, large individual sales have, in some cases, occurred in quarters subsequent to those we anticipated, or have not occurred at all. Because a substantial proportion of our expenses are relatively fixed in the short-term, our results of operations will suffer if revenue falls below our expectations in a particular quarter, which could cause the market price of our common stock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expansion expose us to risk.</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platform, products and solutions address the needs of customers and end users around the world, and we see continued international expansion as a significant opportunity. For the years ended December 31, 2024, 2023 and 2022, we generated approximately 47%, 48% and 46% of our revenue, respectively, from customers outside the United States. Our customers, end users, employees and partners are located in a number of different jurisdictions worldwide, and we expect our operations to become more globally diversified. Our current international operations involve, and future initiatives will also involve, a variety of risks, including:</w:t>
      </w:r>
    </w:p>
    <w:p>
      <w:pPr>
        <w:spacing w:after="0" w:line="129" w:lineRule="exact"/>
        <w:rPr>
          <w:sz w:val="20"/>
          <w:szCs w:val="20"/>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practices, tariffs, export quotas, custom duties, trade disputes, tax laws and treaties, particularly due to economic tensions and trade negotiations or other trade restrictions;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foreign affairs and trade policies of the countries in which we operate or do business, including the imposition of significant increases in tariffs on goods imported into the United States and corresponding retaliatory actions by the countries with which the Unites States trades;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especially in the European Union, where labor laws are generally more advantageous to employees as compared to the United States, including deemed hourly wage and overtime regulations in these locations;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many evolving stringent and potentially inconsistent laws and regulations relating to privacy, data protection, and information security, particularly in the European Union;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 including in connection with the Russian invasion of Ukraine, the armed conflict in the Middle East and Red Sea area involving Israel, Hamas, Hezbollah and the Houthi movement, and political or armed tension in other regions;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resulting from changes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to efficiently managing an increased number of employees over large geographic distances, including the need to implement appropriate systems, policies, benefits and compliance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our corporate culture with a dispersed workforce;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implementation of exchange controls, including restrictions promulgated by the United States Department of the Treasury’s Office of Foreign Assets Control (“OFAC”), the Bureau of Industry and Security (BIS) at the United States Department of Commerce, and other similar trade protection regulations and measures in the United States, EU, UK, or in other jurisdictions;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timely collect amounts owed to us by our customers in countries where our recourse may be more limited;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infrastructures by international businesses, which would increase our on-premise deployments;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or transfer earnings from operations derived from one country to fund the capital needs of our operations in other countries;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unfavorable—including greater difficulty in enforcing—intellectual property protection;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of 1977, as amended, and similar applicable laws and regulations in other jurisdictions;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resulting from a pandemic, epidemic, or outbreak of infectious disease, such as resurgence of COVID-19 or its variants, including uncertainty regarding what measures the U.S. or foreign governments will take in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we are unable to address these difficulties and challenges or other problems encountered in connection with our international operations and expansion, we might incur unanticipated liabilities or we might otherwise suffer harm to our business generally.</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sustaining and expanding our international business, we may incur additional losses and our revenue growth could be adversely affected.</w:t>
      </w:r>
    </w:p>
    <w:p>
      <w:pPr>
        <w:spacing w:after="0" w:line="5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future results depend, in part, on our ability to sustain and expand our penetration of the international markets in which we currently operate and to expand into additional international markets. Our ability to expand internationally will depend upon our ability to deliver functionality and foreign language translations that reflect the needs of the international customers that we target and to successfully navigate the risks inherent in operating a business internationally, as discussed above. While we will need to invest significant resources in such expansion, it is possible that returns on such investments will not be achieved in the near future or at all in these less familiar competitive environments. In addition, we currently leverage reseller relationships to assist with marketing and selling our offerings, particularly in jurisdictions in which we have a limited presence. If we are unable to identify resellers or other partners or negotiate favorable terms, our international growth may be limited or more costly than we anticipate.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entities, which are subject to a number of challenges and risks.</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Sales to government and semi-government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U.S. federal government, U.S. state governments, or non-U.S. government sectors until we have attained the revised certification. Government demand and payment for our offerings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3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Additionally, we rely on certain partners to provide technical support services to certain of our government entity customers to resolve any issues relating to our products. If our partners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spacing w:after="0" w:line="12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spacing w:after="0" w:line="12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Furthermore, sales to government entities may be subject or become subject to global trade compliance restrictions, that restrict the execution of a transaction even after being awarded a contract, or limit our ability to upsell or renew existing transactions. The imposition of such restrictions may cause costly and lengthy marketing efforts or restrict us from performing under our contracts, including the collection of amounts owed to us, all of which could materially and adversely affect our results of operations.</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Moreover, if we fail to timely respond to newly imposed restrictions or implement effective control over such sales, such failure could result in fines or civil, administrative or criminal liability which would adversely affect our reputation, business and financial results.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consummate acquisitions at our desired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pacing w:after="0" w:line="6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acquire or make investments in complementary companies, products, or technologies, and enter into other strategic transactions and relationships in the ordinary course. For example, expanding our AI capabilities is a current focus, and we may pursue targeted acquisitions or investments in specialized verticals or AI-centric companies as part of our strategy to enhance our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ability to grow our revenues, earnings, and cash flow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investments and other strategic transactions are difficult to identify and complete for a number of reasons, including high valuations, competition among prospective buyers, the availability of affordable funding in the capital markets, the need to satisfy applicable closing conditions and obtain applicable antitrust and other regulatory approvals on acceptable terms and cultural and other differences posing significant challenges hindering successful post-merger integration. In addition, competition for acquisitions, investments and other strategic transactions may result in higher purchase prices or other terms less economically favorable to us. Changes in accounting or regulatory requirements or instability in the credit markets or economic climate could also adversely impact our ability to consummate these transactions on acceptable terms or at all.</w:t>
      </w:r>
    </w:p>
    <w:p>
      <w:pPr>
        <w:spacing w:after="0" w:line="13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common stock, and may have a material adverse effect on our business, financial condition and results of operations:</w:t>
      </w:r>
    </w:p>
    <w:p>
      <w:pPr>
        <w:spacing w:after="0" w:line="126" w:lineRule="exact"/>
        <w:rPr>
          <w:sz w:val="20"/>
          <w:szCs w:val="20"/>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technology, product, or solution that we acquire or invest in could under-perform relative to our expectations and the price that we paid or not perform in accordance with our anticipated timetable, including if customers do not adopt related offerings at the rate we project, or we could fail to operate or integrate any such business or deploy any such technology, product, or solution profitably.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and relationships could cause our financial results to differ from our own or the investment community’s expectations in any given period, or over the long-term.</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and relationships could create demands on our management, operational resources, and financial and internal control systems that we are unable to effectively address.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and financial and other controls and systems and retaining key employees and customers.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other strategic transaction or relationship.</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our strategic partners and we may not be able to direct the management and operations of the strategic relationship in the manner we believe is most appropriate, exposing us to additional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Intellectual Property and Data Privacy and Security</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bug, defect, security vulnerability, error, or other performance failure involving our platform, products or solutions could cause us to lose revenue, damage our reputation, and expose us to liability.</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business,including our platform, products and solutions (collectively, “IT Systems”). We own and manage some of these IT Systems but also rely on third parties for a range of IT Systems and related products and services.</w:t>
      </w:r>
    </w:p>
    <w:p>
      <w:pPr>
        <w:spacing w:after="0" w:line="12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IT Systems, and those of third parties providers we rely on, are inherently complex and, despite testing and quality control, have in the past and may in the future contain bugs, defects, security vulnerabilities, misconfigurations, errors, or other performance failures, especially when first introduced and when upgraded with additional new features and capabilities, or otherwise not perform as intended. Any such bug, defect, security vulnerability, misconfiguration, error, or other performance failure could cause damage to our reputation, loss of customers or revenue, remediation costs, order cancellations, service terminations, and lack of market acceptance of our offerings. As the use of our offerings among new and existing customers expands, particularly to more sensitive, secure, or mission critical uses, we may be subject to increased scrutiny, potential reputational risk, or potential liability should our offerings fail to perform as contemplated in such deployments. We have in the past and may in the future need to issue corrective releases of our software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spacing w:after="0" w:line="14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Any limitation of liability provision contained in an agreement with a customer, user, third-party vendor, service provider, or partner may not be enforceable, adequate or effective as a result of existing or future applicable law or judicial decisions and may not function to limit our liability arising from regulatory enforcement or other specific circumstances. The sale and support of our offerings entail the risk of liability claims, which could be substantial in light of the use of our offerings in enterprise-wide environments. Furthermore, our ability to include such limitation of liability provisions may be limited and such provisions, even if included, could include various exclusions.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misconfigurations, errors, or other performance failures in IT Systems,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including our financial condition, results of operations and reputation.</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6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IT Systems, and those of third-party providers we rely on, involve the collection, storage, processing, transmission, and other use of data, including certain proprietary, confidential, sensitive, and personal information of ours and our customers (collectively, “Confidential Information”).</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artificial intelligence—that circumvent security controls, evade detection and remove forensic evidence. As a result, we face numerous and evolving cybersecurity risks that threaten the confidentiality, integrity and availability of Confidential Information and our IT Systems, business platform, products and solutions. Additionally, the use of AI, Gen-AI and large language models (“LLMs”), including those of third parties, is expected to pose new or unknown cybersecurity risks and challenges, including increasing data leakage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Any security breach, data loss, or other compromise, including those resulting from a cybersecurity attack, social engineering, phishing attack, human or technological error, or any unauthorized access, unauthorized usage (including malfeasance by insiders), malware (including ransomware), malicious code embedded in open-source software, or misconfigurations, bugs or other vulnerabilities in commercial software that is integrated into our (or our suppliers’ or service providers’) IT Systems, products or services, virus or similar breach or disruption could result in the loss or destruction of or unauthorized access to, or use, alteration, disclosure, or acquisition of, Confidential Information, damage to our reputation, litigation (such as class actions), regulatory investigations and enforcement actions, reputational harm, loss of existing or future customers, imposition of fines, or other liabilities. These attacks may come from diverse threat actors, such as individual hackers, hacktivists, criminal groups, and state-sponsored organizations. For example,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w:t>
      </w:r>
    </w:p>
    <w:p>
      <w:pPr>
        <w:spacing w:after="0" w:line="138"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Information or that of our customers, or other persons, or any of these types of information is lost, destroyed, or used, altered, disclosed, or acquired without authorization, our reputation may be damaged, our business may suffer, we may be subject to regulatory investigations, and we could incur significant liability, including significant incident response, system restoration or remediation and future compliance costs and penalties or fines under applicable data privacy and security laws and regulations. Even the perception of inadequate security may damage our reputation and negatively impact our ability to win new customers and retain and receive timely payments from existing customers. We experience cyber-attacks and other security incidents of varying degrees from time to time, though none which individually or in the aggregate has led to third parties gaining access to our or our customers data, or to costs or consequences which have materially impacted our operations or business. Moreover, there can be no assurance that our cybersecurity risk management program and processes, including our policies, controls or procedures, effectively protect our IT Systems and Confidential Information. Additionally, there can be no assurance that our cybersecurity measures and tools will not be circumvented or penetrated by attackers or would keep pace with the constantly evolving threats in a timely manner.We are unable to comprehensively apply patches or confirm that measures are in place to mitigate all such vulnerabilities, or that patches will be applied before vulnerabilities are exploited by a threat actor.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data recovery or other services.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economically reasonable terms or at all or that our insurers will not deny coverage as to any future claim.</w:t>
      </w:r>
    </w:p>
    <w:p>
      <w:pPr>
        <w:spacing w:after="0" w:line="13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or use in our products. If our customers use our products for the transmission or storage of Confidential Information about individuals and our security measures are or are believed to have been breached as a result of third-party action, employee error, malfeasance or otherwise, our reputation could be damaged, our business may suffer, and we could incur significant liability, including related to breach notification and incident response.</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engage third-party vendors and service providers to store and otherwise process some of our and our customers’ data, including Confidential Information. Our vendors and service providers, including providers of open source platforms, may also be the targets of cyberattacks, malicious software, phishing schemes, and fraud.</w:t>
      </w:r>
    </w:p>
    <w:p>
      <w:pPr>
        <w:spacing w:after="0" w:line="12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Information and other information about individuals. Any such unauthorized access could materially adversely affect our business, operating results, and financial condition.</w:t>
      </w:r>
    </w:p>
    <w:p>
      <w:pPr>
        <w:spacing w:after="0" w:line="12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Data security breaches could also expose us to liability under various laws and regulations across jurisdictions and increase the risk of litigation and governmental or regulatory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need to notify governmental authorities and affected individuals with respect to such incidents. For example, laws in the EU and UK and all 50 U.S. states may require businesses to provide notice to individuals whose personal information has been disclosed as a result of a data security breach. Complying with such numerous and complex regulations in the event of a data security breach would be expensive and difficult, and failure to comply with these regulations could subject us to regulatory scrutiny and additional liability. We may also be contractually required to notify customers or other counterparties of a security incident, including a data security breach. Regardless of our contractual protections, any actual or perceived data security breach, or breach of our contractual obligations, could harm our reputation and brand, expose us to potential liability or require us to expend significant resources on data security and in responding to any such actual or perceived breach.</w:t>
      </w:r>
    </w:p>
    <w:p>
      <w:pPr>
        <w:spacing w:after="0" w:line="13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Techniques used to sabotage or obtain unauthorized access to systems or networks are constantly evolving and, leveraging more sophisticated techniques and tools (including artificial intelligence) and, in some instances, are not identified until after they have been launched against a target. We and our service providers may be unable to anticipate these techniques, react in a timely manner, or implement adequate preventative and mitigating measures.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we or our cybersecurity solutions providers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including our financial condition, results of operations and reputation.</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expanded use of AI and generative AI technologies, including their incorporation into our offerings, may expose us to increased liability and new regulatory, compliance, and ethical risks.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recently launched or enhanced AI-driven offerings, including Work Genie and Class Genie, that rely on generative models or other advanced algorithms. The continuous development, maintenance and operation of our AI-driven offerings is expensive and complex, and may involve unforeseen difficulties including material performance problems, undetected defects or errors. For instance, the underlying model can experience decay (also known as “model drift”) in which its performance and accuracy decreases over time without further human intervention to correct such decay. These AI tools may also inadvertently produce inaccurate or biased outputs, leading to reputational harm or potential claims by customers. Our efforts to develop AI-driven offerings could increase our operating costs. Our ability to develop AI-driven offerings may be limited by our access to processing infrastructure or training data, as we do not license data from third parties nor train our models on third parties' or customers' data, and additionally, we may be dependent on third-party providers for processing infrastructure resources such as cloud facilities providers and others. Nonetheless, the expansion of AI based usage and offering, may create a need for additional data sources for training, which in turn could require us to explore more alternatives and accommodate the risks associated therewith, such as such data source integrity and freedom from third party rights or bias information.</w:t>
      </w:r>
    </w:p>
    <w:p>
      <w:pPr>
        <w:spacing w:after="0" w:line="140"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may also experience difficulties in enforcing the intellectual property rights in output generated by generative AI. The United States Copyright Office has previously denied copyright protection for content generated by AI, and the United States Patent and Trademark Office has similarly stated that an AI tool cannot be an “inventor” of a patent, rendering it impossible to obtain patent protection for inventions created solely by AI. The Supreme Court of the United Kingdom has reached a similar conclusion, stating that AI systems cannot be named as an “inventor” for UK patent law purposes. In addition, if we are deemed to not have sufficient rights to the data we use to train our generative AI, we may be subject to litigation by the owners of the content or other materials that comprise such data, similar to the litigation that is currently pending in various U.S. courts against other developers of generative AI, and in which the outcome of such litigation is uncertain.</w:t>
      </w:r>
    </w:p>
    <w:p>
      <w:pPr>
        <w:spacing w:after="0" w:line="13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Further, the market for AI-driven offerings is rapidly evolving and important assumptions about the characteristics of targeted markets, pricing, sales cycles, cost, performance, and perceived value associated with our offerings may be inaccurate. We cannot be sure that the market will continue to grow or that it will grow in ways we anticipate. In addition, market acceptance and consumer perceptions of products and services that incorporate AI is uncertain. Our failure to successfully develop and commercialize our products or services involving AI could negatively impact our stock and finances.</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Moreover, the regulatory environment around AI is rapidly evolving, with new measures under discussion or adoption in the U.S., EU (including the EU AI Act), UK, and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Our Business and Industry”- “We may face risks associated with our use of certain AI and machine learning model technologies and compliance with the evolving regulatory framework around AI development and use”.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plan to acquire or invest in AI-focused or niche vertical businesses is not successful, our future growth could be limited and our operating results could suffer.</w:t>
      </w:r>
    </w:p>
    <w:p>
      <w:pPr>
        <w:spacing w:after="0" w:line="5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may pursue targeted acquisitions or investments in specialized verticals or AI-centric companies as part of our 2025 strategy to expand our product offerings.</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These transactions may involve significant costs, management distractions, or integration challenges, including merging complex AI technologies with our existing platform. Furthermore, the expected synergies or revenue opportunities may fail to materialize if customers do not adopt the new solutions at the rate we project. Any failure to successfully integrate acquired teams, realize anticipated operational efficiencies, or obtain sufficient returns on these acquisitions could limit our growth, weaken our financial performance, and harm our competitive position.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implementation or use of, or our customers’ failure to update, our software could result in customer dissatisfaction and negatively affect our business, financial condition, results of operations and growth prospects.</w:t>
      </w:r>
    </w:p>
    <w:p>
      <w:pPr>
        <w:spacing w:after="0" w:line="5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platform, products and solutions are often operated in large-scale, complex information technology environments. Our customers require training and experience in the proper use of, and the benefits that can be derived from, our offerings in order to maximize their potential. If users of our offerings do not implement, use, or update them correctly or as intended, actual or perceived inadequate performance and/or security vulnerabilities may result. Because our customers rely on our software to manage a wide range of operations, the incorrect implementation or use of, or our customers’ failure to update, our software, or our failure to train customers on how to use our software productively, may result in customer dissatisfaction and negative publicity, which may adversely affect our reputation and brand. Our failure to effectively provide training and implementation services to our customers could result in lost opportunities for follow-on sales to these customers and decrease subscriptions by new customers, which would adversely affect our business, financial condition, results of operations and growth prospects.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Insufficient investment in, or interruptions or performance problems associated with, our technology and infrastructure, including in connection with our ongoing expansion of our use of public cloud infrastructure, and our reliance on technologies from third parties, may adversely affect our business operations and financial results.</w:t>
      </w:r>
    </w:p>
    <w:p>
      <w:pPr>
        <w:spacing w:after="0" w:line="67"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Customers of our offerings need to be able to access our platform at any time, without interruption or degradation of performance. Commencing in the third quarter of 2020, we accelerated our plans to move from our own data centers to public cloud infrastructure with the goal of providing improved stability, reliability, scalability and elasticity for our offerings. This transition is complex and time-consuming and involves risks inherent in the conversion to a new system, including potential loss of information and disruption to our normal operations. Furthermore, as a result of the application of certain data privacy and security regulations, we have also established a multi-region architecture to adhere to our customers' requirements and applicable domestic laws. We may discover deficiencies in our design, implementation or maintenance of our new cloud-based systems that could adversely affect our business, financial condition, and results of operations. For example, we experienced an initial period of unstable service during the first few months of this transition, causing us to fall below the service-level commitments in our customer agreements. Though service has since stabilized, we cannot guarantee that we will not experience similar instability in the future, including as a result of our multi-region and multi-cloud architecture. Furthermore, we cannot yet know the ultimate impact of this or any similar future event on our customer relationships, and it is possible customers may be less inclined to renew their subscriptions following the expiration of their current terms.</w:t>
      </w:r>
    </w:p>
    <w:p>
      <w:pPr>
        <w:spacing w:after="0" w:line="13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third-party cloud providers run their own platforms that we access, and we are, therefore, vulnerable to their service interruptions and any changes in their product offerings.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cloud-based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It may also become increasingly difficult to maintain and improve our performance, especially during peak usage times, as our software becomes more complex and the usage of our software increases. Moreover, our insurance may not be adequate to cover such liability and may be subject to exclusions. Any of the above circumstances or events may adversely affect our business, financial condition, and results of operations.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our website and internal technology infrastructure may experience performance issues due to a variety of factors, including infrastructure changes, human or software errors, website or third-party hosting disruptions, capacity constraints, technical failures, natural disasters, or fraud, denial-of-service, or other security attacks.</w:t>
      </w:r>
    </w:p>
    <w:p>
      <w:pPr>
        <w:spacing w:after="0" w:line="12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spacing w:after="0" w:line="13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cloud-based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on commercially acceptable terms or within adequate timelines from the same or different hosting services providers or at all.</w:t>
      </w:r>
    </w:p>
    <w:p>
      <w:pPr>
        <w:spacing w:after="0" w:line="13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proprietary technology, methodologies, know-how, and brand. We rely on a combination of trademarks, copyrights, patents, trade secret laws, contractual restrictions, and other intellectual property laws and confidentiality procedures to establish and protect our proprietary rights. However, we make a version of our Media Services, Kaltura CE, available to the public at no charge under an open source license, contribute other source code to open source projects under open source licenses, and release internal software projects under open source licenses, and anticipate continuing to do so in the future. Because the source code for Kaltura CE and any other software we contribute to open source projects or distribute under open source licenses is publicly available, our ability to monetize and protect our intellectual property rights with respect to such source code may be limited or, in some cases, lost entirely. Our competitors or other third parties could access such source code and use it to create software and service offerings that compete with ours. While software can, in some cases, be protected under copyright law, in order to bring a copyright infringement lawsuit in the United States, the copyright must first be registered. We have chosen not to register any copyrights, and rely on trade secret protection in addition to unregistered copyrights to protect our proprietary software.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Further, the steps we take to protect our intellectual property and proprietary rights may be inadequate.</w:t>
      </w:r>
    </w:p>
    <w:p>
      <w:pPr>
        <w:spacing w:after="0" w:line="17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may not be able to register our intellectual property rights in all jurisdictions where we conduct or anticipate conducting business, may experience conflicts with third parties who contest our applications to register our intellectual property, and may choose to register intellectual property rights providing insufficient coverage.</w:t>
      </w:r>
    </w:p>
    <w:p>
      <w:pPr>
        <w:spacing w:after="0" w:line="12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Even if registered or issued, we cannot guarantee that our trademarks, patents, copyrights or other intellectual property or proprietary rights will be of sufficient scope or strength to provide us with any meaningful protection or commercial advantage. Furthermore, in such case our copyrights, patents or other intellectual property rights would be made public without assuring adequate protection. We will not be able to protect our intellectual property and proprietary rights if we are unable to enforce our rights or if we do not detect infringement, misappropriation, dilution or other unauthorized use or violation thereof. If we fail to defend and protect our intellectual property rights adequately, our competitors and other third parties may gain access to our proprietary technology, information and know-how, reverse-engineer our software, and infringe upon or dilute the value of our brand, and our business may be harmed.</w:t>
      </w:r>
    </w:p>
    <w:p>
      <w:pPr>
        <w:spacing w:after="0" w:line="13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spacing w:after="0" w:line="13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spacing w:after="0" w:line="133"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Despite our precautions, it may be possible for unauthorized third parties to copy our products and use information that we regard as proprietary to create offerings that compete with ours. 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 We have devoted substantial resources to the development of our technology, business operations and business plans. We attempt to protect our intellectual property and proprietary information, including trade secrets, by implementing administrative, technical, and physical practices, including source code access controls, to secure our proprietary information. We also seek to enter into confidentiality, non-compete, proprietary, and inventions assignment agreements with our employees, consultants, and contractors, and enter into confidentiality agreements with other parties, such as licensees and customers. However, such agreements may not be self-executing, and there can be no guarantee that all applicable parties have executed such agreements or will adhere thereto. No assurance can be given that these practices or agreements will be effective in controlling access to and distribution of our proprietary information, or in providing adequate remedies in the event of unauthorized access or distribution, especially in certain states and countries that are less willing to enforce such agreements or otherwise provide protection for trade secrets. Further, these agreements may not prevent our competitors from independently developing technologies that are substantially equivalent or superior to our products, and in such cases we would not be able to assert trade secret rights against such parties. We also employ individuals who were previously employed at other companies in our field, and our efforts to ensure that such individuals do not use the proprietary information or know-how of others in their work for us may not prevent others from claiming that we or our employees or independent contractors have used or disclosed intellectual property, including trade secrets or other proprietary information, of a former employer or other third parties. Litigation may be necessary to defend against any such claims. If we are unsuccessful in defending against any such claims, we may be liable for damages or prevented from using certain intellectual property, which in turn could materially adversely affect our business, financial condition, or results of operations; even if we are successful in defending against such claims, litigation could result in substantial costs and distract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order to protect our intellectual property and proprietary rights and to monitor for and take action against any infringement, misappropriation or other violations thereof, we may be required to spend significant resources.</w:t>
      </w:r>
    </w:p>
    <w:p>
      <w:pPr>
        <w:spacing w:after="0" w:line="10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or our brand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financial condition, results of operations and growth prospects.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and otherwise suffer harm as a result of any claim of infringement, misappropriation or other violation of another party’s intellectual property or proprietary rights.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patents and other intellectual property and proprietary rights in the software industry. We do not currently have a large patent portfolio, which could prevent us from deterring patent infringement claims, as we may not be able credibly to threaten patent infringement counter-claims. Our competitors and others may now and in the future have significantly larger and more mature patent portfolios than we have. Even a large patent portfolio may not serve as a deterrent to litigation by certain third parties, some of whose sole or primary business is to assert patent claims and some of whom have sent letters to and/or filed suit alleging infringement against us or some of our customers. We could incur substantial costs in prosecuting or defending any intellectual property litigation. If we sue to enforce our rights or are sued by a third party claiming that our offerings infringe, misappropriate, or violate their rights, the litigation could be expensive and could divert management attention and resources away from our core business operations.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14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Any intellectual property litigation to which we might become a party, or for which we are required to provide indemnification, may require us to do one or more of the following:</w:t>
      </w:r>
    </w:p>
    <w:p>
      <w:pPr>
        <w:spacing w:after="0" w:line="108" w:lineRule="exact"/>
        <w:rPr>
          <w:sz w:val="20"/>
          <w:szCs w:val="20"/>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offerings that incorporate or are otherwise covered by the intellectual property rights that we allegedly infringe, misappropriate, or otherwise violate;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 including potentially punitive or treble damages if we are found liable for willful infringement;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offerings to avoid infringement, misappropriation, or other violation, which could be costly, time-consuming, or impossible.</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and consultants, which could result in litigation and would adversely affect our business.</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and consultants in the course of their engagement with us. Under the Israeli Patent Law, 5727-1967 (the “Patent Law”), inventions conceived by an employee during the scope of his or her employment relationship with a company are regarded as “service inventions,” which belong to the employer, absent a specific agreement stating otherwise. The Patent Law also provides that absent an agreement providing otherwise, the Israeli Compensation and Royalties Committee (the “Committee”), a body constituted under the Patent Law, shall determine whether the employee is entitled to remuneration for his or her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Case law clarifies that the right to receive consideration for “service inventions” can be waived by the employee and that such waiver does not necessarily have to be explicit. The Committee will examine, on a case-by-case basis, the general contractual framework between the parties, using interpretation rules of the general Israeli contract laws.</w:t>
      </w:r>
    </w:p>
    <w:p>
      <w:pPr>
        <w:spacing w:after="0" w:line="12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Further, the Committee has not yet determined one specific formula for calculating this remuneration, but rather uses the criteria specified in the Patent Law. Although we generally seek to enter into assignment-of-invention agreements with our employees and consultants pursuant to which such individuals assign to us all rights to any inventions created in the scope of their employment or engagement with us, we cannot guarantee that all such agreements are self-executing or have been entered into by all applicable individuals. Even when such agreements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We may face claims demanding remuneration in consideration for assigned inventions, which could require us to pay additional remuneration or royalties to our current and former employees and consultants, or be forced to litigate such claims, which could negatively affect our business.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5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software, services, or other contractual obligations. Large indemnity payments could adversely affect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Substantial indemnity payments under such agreements could harm our business, financial condition, and results of operations.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offerings and subject us to possible litigation.</w:t>
      </w:r>
    </w:p>
    <w:p>
      <w:pPr>
        <w:spacing w:after="0" w:line="12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Our offerings incorporate open source software, and we expect to continue to incorporate open-source software in our offerings in the future. Few of the licenses applicable to open-source software have been interpreted by courts, and there is a risk that these licenses could be construed in a manner that could impose unanticipated conditions or restrictions on our ability to commercialize our offerings. Some open-source licenses may subject us to certain requirements, including requirements that we offer additional portions of our solutions for reduced or no cost, that we make publicly available at no charge the source code for modifications or derivative works we create based upon, incorporating, linking to or using the open-source software (which could include valuable proprietary code),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offerings that contain the open-source software and required to comply with onerous conditions or restrictions on these offerings, which could disrupt the distribution and sale of these offerings. In addition, there have been claims challenging the ownership rights in open-source software against companies that incorporate open-source software into their products, and the licensors of such open-source software provide no warranties or indemnities with respect to such claims. In any of these events, we and our customers could be required to seek licenses from third parties in order to continue offering our platform, products, and solutions, which may not be available on reasonable terms or at all, and to re-engineer our offerings or discontinue the sale of our offerings in the event re-engineering cannot be accomplished on a timely basis or at 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standards, and contractual obligations related to privacy, data protection, and data security.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such obligations could adversely affect our business.</w:t>
      </w:r>
    </w:p>
    <w:p>
      <w:pPr>
        <w:spacing w:after="0" w:line="9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receive, collect, store, process, transfer, share and otherwise use or host information about individuals and/or that constitutes “personal data,” “personal information,” “personally identifiable information,” or similar terms under applicable data privacy laws (collectively, “Personal Information”), including data relating to users of our offerings, our employees and contractors, and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We have legal and contractual obligations regarding the protection of confidentiality and appropriate use of certain data, including Personal Information and other sensitive information about individuals. We are subject to numerous federal, state, local, and international laws, directives, and regulations regarding privacy, data protection, and data security and the collection, storing, sharing, use, processing, transfer, disclosure, disposal, and protection of Personal Information and other data, the scope of which are changing, subject to differing interpretations, and may be inconsistent among jurisdictions or conflict with other legal and regulatory requirements. We are also subject to certain contractual obligations to customers and other third parties related to privacy, data protection and data security. The regulatory framework for privacy, data protection and data security worldwide is, and is likely to remain for the foreseeable future, uncertain, complex and lacking worldwide unified standards,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hosting, security, processing, transfer or disclosure of Personal Information, or their interpretation, or any changes regarding the manner in which the consent of users or other data subjects for the collection, use, retention, security, processing, transfer or disclosure of such Personal Information must be obtained, could increase our costs and require us to modify our services and features, possibly in a material manner, which we may be unable to complete, and may limit our ability to receive, collect, store, host, process, transfer, and otherwise use user data or develop new services and features.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w:t>
      </w:r>
    </w:p>
    <w:p>
      <w:pPr>
        <w:spacing w:after="0" w:line="14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the United States, the FTC and many state attorneys general are interpreting federal and state consumer protection laws to impose standards for the online collection, use, dissemination, and security of data. Such standards require us to publish statements that describe how we handle Personal Information and choices individuals may have about the way we handle their Personal Information. If such information that we publish is considered untrue or inaccurate, we may be subject to government claims of unfair or deceptive trade practices, which could lead to significant liabilities and consequences. Moreover, according to the FTC, violating consumers’ privacy rights or failing to take appropriate steps to keep consumers’ Personal Information secure may constitute unfair acts or practices in or affecting commerce in violation of Section 5(a) of the Federal Trade Commission Act.</w:t>
      </w:r>
    </w:p>
    <w:p>
      <w:pPr>
        <w:spacing w:after="0" w:line="13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State consumer protection laws provide similar causes of action for unfair or deceptive practices. Further, data privacy advocates and industry groups have regularly proposed and sometimes approved, and may propose and approve in the future, self-regulatory standards with which we must legally comply or that contractually apply to us.</w:t>
      </w:r>
    </w:p>
    <w:p>
      <w:pPr>
        <w:spacing w:after="0" w:line="12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communications with our clients are subject to certain laws and regulations, including the Controlling the Assault of Non-Solicited Pornography and Marketing Act (the “CAN-SPAM Act”), the Telephone Consumer Protection Act (the “TCPA”), and the Telemarketing Sales Rule and analogous state laws, that could expose us to significant damages awards, fines and other penalties that could materially impact our business. For example, the TCPA imposes various consumer consent requirements and other restrictions in connection with certain telemarketing activity and other communication with consumers by phone, fax or text message. The CAN-SPAM Act and the Telemarketing Sales Rule and analogous state laws also impose various restrictions on marketing conducted use of email, telephone, fax or text message. As laws and regulations, including FTC enforcement, rapidly evolve to govern the use of these communications and marketing platforms, the failure by us, our employees or third parties acting at our direction to abide by applicable laws and regulations could adversely impact our business, financial condition and results of operations or subject us to fines or other penalties.</w:t>
      </w:r>
    </w:p>
    <w:p>
      <w:pPr>
        <w:spacing w:after="0" w:line="13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Various other U.S. federal privacy laws are relevant to our business, including the Family Educational Rights and Privacy Act (“FERPA”) and the Children’s Online Privacy Protection Act (“COPPA”), While we are not directly subject to FERPA or COPPA, our contracts with certain educational institution customers impose obligations on us related to FERPA and COPPA. Any actual or perceived failure to comply with these laws could result in a costly investigation or litigation resulting in potentially significant liability, injunctions and other consequences, loss of trust by our users, and a material and adverse impact on our reputation and business.</w:t>
      </w:r>
    </w:p>
    <w:p>
      <w:pPr>
        <w:spacing w:after="0" w:line="1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many state legislatures have adopted legislation that regulates how businesses operate online, including measures relating to privacy, data security, and data breaches. For example, the CCPA, provides data privacy rights for California residents and imposes operational requirements on covered companies, such as obligations to provide disclosures to California residents and receive and respond to data privacy rights requests. An amendment to the CCPA created a state agency to oversee implementation and enforcement efforts, potentially resulting in further uncertainty and requiring us to incur additional costs and expenses in an effort to comply. The CCPA marked the beginning of a trend toward more stringent data privacy legislation in the United States, which could also increase our potential liability and adversely affect our business, with “copycat” laws or other similar laws being passed or proposed in numerous states across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2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some laws may require us to notify governmental authorities and/or affected individuals of data breaches involving certain personal information or other unauthorized or inadvertent access to or disclosure of such information. We may need to notify governmental authorities and affected individuals with respect to such incidents. For example, laws in all 50 U.S. states may require businesses to provide notice to consumers whose personal information has been disclosed as a result of a data breach. These laws are not consistent with each other, and compliance in the event of a widespread data breach may be difficult and costly. We also may be contractually required to notify consumers or other counterparties of a security incident, including a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spacing w:after="0" w:line="13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addition, in the EU and the UK, we are subject to the European Union General Data Protection Regulation (the “EU GDPR”) and to the United Kingdom General Data Protection Regulation and UK Data Protection Act 2018 (collectively, the “UK GDPR”) (the EU GDPR and UK GDPR together referred to as the “GDPR”). The GDPR imposes comprehensive data privacy compliance obligations in relation to our collection, use, sharing, disclosure and other processing of personal data relating to an identified or identifiable individual or “personal information” (or “personal data”), including a principle of accountability and the obligation to demonstrate compliance through policies, procedures, training and audit.</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information outside of the European Economic Area (“EEA”) and the UK to third countries that have not been found to provide adequate protection for such personal information, including the United States.</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are certified under the EU-US Data Privacy Framework (“DPF”) and currently rely on the DPF and on the UK Extension to the DPF to transfer certain personal information from the EEA and the UK, accordingly, to the United States to the extent the transfer is made to a DPF certified entity.</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also rely on the EU standard contractual clauses (“SCCs”) and the UK Addendum to the SCCs, as relevant, to transfer personal information outside the EEA and the UK with respect to both intragroup and third party transfers. We expect the existing legal complexity and uncertainty regarding international personal information transfers to continue. In particular, we expect the European Commission approval of the DPF for data transfers to certified entities in the United States to be challenged and further interpreted and developed,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implement alternative data transfer mechanisms and/or take additional compliance and operational measures; and/or it could otherwise affect the manner in which we provide our services, and could adversely affect our business, operations and financial condition.</w:t>
      </w:r>
    </w:p>
    <w:p>
      <w:pPr>
        <w:spacing w:after="0" w:line="13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Since we are subject to the supervision of relevant data protection authorities under both the EU GDPR and the UK GDPR, we could be fined under each of these regimes independently in respect of the same breach. Penalties for certain breaches are up to the greater of €20 million / GBP 17.5 million or 4% of global annual turnover for the preceding financial year for the most serious violations. The GDPR also provides for a right to compensation for material or non-material damage claimed by individuals. In addition to the foregoing, a breach of the GDPR could result in regulatory investigations, reputational damage, orders to cease or change our processing of our data, enforcement notices and/or assessment notices (for a compulsory audit).</w:t>
      </w:r>
    </w:p>
    <w:p>
      <w:pPr>
        <w:spacing w:after="0" w:line="1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Recent European court and regulator decisions are driving increased attention to cookies and tracking technologies. If the trend of increasing enforcement by regulators of the strict approach to opt-in consent for all but essential use cases, as seen in recent guidance and decisions continues, this could lead to additional costs, require systems changes, limit the effectiveness of our marketing and personalization activities, divert the attention of our technology personnel, adversely affect our margins, increase costs and subject us to additional liabilities.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and services licensed from other parties. The loss of software or services from third parties could increase our costs and limit the features available in our platform, products, and solutions.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Components of our offerings include various types of software and services licensed from unaffiliated parties. If any of the software or services we license from others or functional equivalents thereof were either no longer available to us, updated or supported,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or at all. Furthermore, we might be forced to temporarily limit the features available in our current or future products and solutions. If we fail to maintain or renegotiate any of these software or service licenses, we could face significant delays and diversion of resources in attempting to license and integrate functional equivalents. We and our customers may also be subject to suits by parties claiming infringement, misappropriation or other violation of third-party intellectual property or proprietary rights due to the reliance by our solutions on such third-party software and services, such third-party software and services may contain bugs or other errors that cause our own offerings to malfunction, and our agreements with such third parties may not contain any, or adequate, warranties, indemnities or other protective provisions on our behalf. Any of the foregoing could materially and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Debt, Liquidity and Capitalization</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the significant capital necessary to expand our operations and invest in new offerings could reduce our ability to compete and could adversely affect our business.</w:t>
      </w:r>
    </w:p>
    <w:p>
      <w:pPr>
        <w:spacing w:after="0" w:line="5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net cash provided by operating activities, equity issuances and borrowings under our long-term debt arrangements. Although we currently anticipate that our net cash provided by operating activities, cash on hand and availability under our Revolving Credit Facility (as defined below) will be adequate to meet our operating, investing, and financing needs for at least the next twelve months,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w:t>
      </w:r>
    </w:p>
    <w:p>
      <w:pPr>
        <w:spacing w:after="0" w:line="13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cannot assure you that additional financing will be available to us on favorable terms when required, or at all. Moreover, due to the volatile economic climate and increased inflation and interest rates, the net cash derived from our operations may be reduced while the availability of new financing may be limited, costly or unavailable. If we raise additional funds through the issuance of equity or equity-linked or debt securities, those securities may have rights, preferences, or privileges senior to the rights of our common stock, and our stockholders may experience dilution.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we need additional capital and cannot raise it on acceptable terms, we may not be able to, among other things:</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platform, products, or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research and development and sales and marketing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technologies, products, or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in the United States or internationally;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17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Our failure to have sufficient capital to do any of these things could adversely affect our business, financial condition and results of operations, and our ability to execute our growth strategy.</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ability to raise additional capital to fund operations, limit our ability to react to changes in the economy or our industry and prevent us from meeting our financial obligations.</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$32.3 million of borrowings outstanding under the Term Loan Facility (as defined below) and $25.0 million available for additional borrowings under the Revolving Credit Facility (as defined below). If we cannot generate sufficient cash flow from operations to service our debt, we may need to further refinance our debt, dispose of assets, or issue equity to obtain necessary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We do not know whether we will be able to do any of this on a timely basis, on terms satisfactory to us, or at all. Our indebtedness could have important consequences, including:</w:t>
      </w:r>
    </w:p>
    <w:p>
      <w:pPr>
        <w:spacing w:after="0" w:line="108"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debt or equity financing for working capital, capital expenditures, debt service requirements, acquisitions and general corporate or other purposes may be limited;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flows from operations will be dedicated to the payment of principal and interest on the indebtedness and will not be available for other purposes, including operations, capital expenditures and future business opportunities;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borrowings are at variable rates of interest, exposing us to the risk of increased interest rates;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to changing market conditions may be limited and may place us at a competitive disadvantage compared to less-leveraged competitors;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vulnerable during a downturn in general economic conditions or in our business, or may be unable to carry on capital spending that is important to our growth;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due to the volatile economic climate and increased inflation and interest rates, the net cash derived from our operations decreases and the cost of financing increases, and we fail to pursue adequate measures to adapt to those changes, we may fail to satisfy our financial covenants under the Term Loan Facility and Revolving Credit Facility, or otherwise lack the financial resources or financing required to pursue our annual operation plan.</w:t>
      </w:r>
    </w:p>
    <w:p>
      <w:pPr>
        <w:spacing w:after="0" w:line="12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 addition, the Credit Agreement (as defined below) contains, and any agreements evidencing or governing other future indebtedness may also contain, certain restrictive covenants that limit or otherwise restrict our ability, among other things, to:</w:t>
      </w:r>
    </w:p>
    <w:p>
      <w:pPr>
        <w:spacing w:after="0" w:line="10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issue, incur, assume, become liable in respect of or suffer to exist any debt or liens;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any merger, consolidation or amalgamation, or liquidate, wind up or dissolve, or dispose of all or substantially all of our or their respective property or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property or, in the case of our subsidiaries, issue or sell any shares of such subsidiary’s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prepay, redeem, purchase, retire, or defease subordinated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certain other restricted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lines of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ability to comply with these covenants and restrictions may be affected by events and factors beyond our control, including, among other things, the impact of the current volatile economic climate. We may not be able to generate sufficient recurring revenue or cash flow or maintain sufficient liquidity to meet the financial covenants or pay the principal and interest under our Credit Facilities when required. For example, in 2023, we experienced an event of default relating to our calculation of our Annualized Recurring Revenue (as defined in the Credit Agreement) for the fiscal quarter ended September 30, 2023, which was subsequently waived by the lending banks. If we fail to make payments under our Credit Facilities or otherwise experience an event of default thereunder, the lending banks would be permitted to take certain actions, including terminating all outstanding commitments and declaring all amounts due under our Credit Facilities to be immediately due and payable, including all outstanding borrowings, accrued and unpaid interest thereon, and prepayment premiums with respect to such borrowings and any terminated commitments. In addition, the lenders would have the right to exercise remedies under the credit agreement, including with respect to the collateral we granted to them, which includes substantially all of our assets. The occurrence of any of these events could have a material adverse effect on our business, financial condition, and results of operations. Furthermore, our future working capital, borrowings, or equity financing could be unavailable to repay or refinance the amounts outstanding under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the event of a liquidation, our lenders would be repaid all outstanding principal and interest prior to distribution of assets to unsecured creditors, and the holders of our common stock would receive a portion of any liquidation proceeds only if all of our creditors, including our lenders, were first repaid in full.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Other Legal, Regulatory and Tax Matters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governmental export control, trade and economic sanctions, and import laws and regulations that could impair our ability to compete in international markets or subject us to liability if we violate these controls.</w:t>
      </w:r>
    </w:p>
    <w:p>
      <w:pPr>
        <w:spacing w:after="0" w:line="5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In some cases, our software is subject to export control laws and regulations, including the Export Administration Regulations administered by the U.S. Department of Commerce, the Israeli Control of Products and Services Decree (Engagement in Encryption), 5735-1974, and the Israeli Law of Regulation of Security Exports, 5767-2007, and our business must also be conducted in compliance with applicable trade and economic sanctions laws and regulations, including those administered and enforced by OFAC, the U.S. Department of State, the U.S. Department of Commerce, the United Nations Security Council and other relevant regulators and sanctions authorities in our countries of operation (collectively, “Trade Controls”). As such, a license may be required to export or re-export our products, or provide related services, to certain countries and end users, as well as for certain end uses. Further, our offerings that incorporate encryption functionality may be subject to special controls applying to encryption items and/or certain reporting requirements. We have certain customer and third party relationships in Russia, Belarus and Ukraine. In response to the Russian invasion of Ukraine, the U.S. government, the European Union, the United Kingdom and other countries and jurisdictions in which we operate, have imposed enhanced export and import controls and economic sanctions targeting Russia and Belarus, including for example, certain industry sectors, products and professional services related to Russia, and have also designated certain individuals and entities as subject to blocking or asset freeze measures, which may restrict dealings with those designated persons or entities owned or controlled by such persons, and may impose additional Trade Controls in the future. Consequently, we have reassessed those relationships and took measures to comply with these Trade Controls. These Trade Controls are evolving and undergoing constant changes as the war continues, which may require reassessment, changes in or cessation of our dealings with Russia and other regimes in the region or elsewhere. It is not possible to assess the full impact of those developments. These and any additional Trade Controls, as well as any responses from Russia, could adversely impact our operations and negatively impact our business in the region.</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global operations expose us to the risk of violating, or being accused of violating, Trade Controls.</w:t>
      </w:r>
    </w:p>
    <w:p>
      <w:pPr>
        <w:spacing w:after="0" w:line="17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While we have procedures in place designed to comply with Trade Controls, we cannot guarantee that these procedures will be successfully followed or keep pace with the ongoing regulatory changes or that the relevant regulators shall apply the same interpretation, judgement and standards as we do, and failure to comply could subject us to both civil and criminal penalties, including substantial fines, disgorgement of profits, possible incarceration of responsible individuals for willful violations, possible loss of our export or import privileges, and reputational harm.</w:t>
      </w:r>
    </w:p>
    <w:p>
      <w:pPr>
        <w:spacing w:after="0" w:line="12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Further, the process for obtaining necessary licenses may be time-consuming or unsuccessful, potentially causing delays in sales or losses of sales opportunities.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Trade Controls are complex and dynamic regimes, and monitoring and ensuring compliance can be challenging, particularly given that our offerings are widely distributed throughout the world and are available for download without registration.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 Investigations of alleged violations can be expensive and disruptive.</w:t>
      </w:r>
    </w:p>
    <w:p>
      <w:pPr>
        <w:spacing w:after="0" w:line="1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various countries regulate the export or import of certain encryption technology, including through export or import permit and license requirements, and have enacted laws that could limit our ability to distribute our offerings or the ability of our customers or end users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Trade Controls or related legislation, shift in the enforcement or scope of existing export, import or Trade Controls laws or regulations, or change in the countries, governments, persons, or technologies targeted by such export, import or Trade Controls laws or regulations, could result in decreased use of our offerings by, or in our decreased ability to export or sell our offerings to, existing or potential customers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Any decreased use of our offerings or limitation on our ability to export to or sell our offerings in international markets could adversely affect our business, financial condition and results of operations, and our ability to execute our growth strategy.</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availability and quality of our customers’ and end users’ access to the internet.</w:t>
      </w:r>
    </w:p>
    <w:p>
      <w:pPr>
        <w:spacing w:after="0" w:line="13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w:t>
      </w:r>
    </w:p>
    <w:p>
      <w:pPr>
        <w:spacing w:after="0" w:line="134"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As the internet continues to experience growth in the number of users, frequency of use, and amount of data transmitted, the internet infrastructure that we and our customers and end users rely on may be unable to support the demands placed upon it. The failure of the internet infrastructure that we or our customers and end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spacing w:after="0" w:line="13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Internet access is frequently provided by companies that have significant market power and the ability to take actions that degrade, disrupt, or increase the cost of user access to our offerings. As demand for online media increases, there can be no assurance that internet and network service providers will continue to price their network access services on reasonable terms. The distribution of online media requires delivery of digital content files and providers of network access and distribution may change their business models and increase their prices significantly, which could slow the widespread adoption of such services. We could incur greater operating expenses and our customer acquisition and retention could be negatively impacted if network operators:</w:t>
      </w:r>
    </w:p>
    <w:p>
      <w:pPr>
        <w:spacing w:after="0" w:line="13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usage-based 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pricing for competitive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change their pricing rates or schemes;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us to deliver our traffic at certain levels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throttle traffic based on its source or type;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bandwidth caps or other usage restrictions;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try to monetize or control access to their networks.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for our services to be successful, there must be a reasonable price model in place to allow for the continuous distribution of digital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files.</w:t>
      </w:r>
    </w:p>
    <w:p>
      <w:pPr>
        <w:spacing w:after="0" w:line="15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have limited or no control over the extent to which any of these circumstances may occur, and if network access or distribution prices rise, our business, financial condition and results of operations would likely be adversely affected.</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third-party claims, including by governmental bodies, regarding the content and advertising distributed through our offerings.</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rely on our customers to secure the rights to redistribute content over the internet, and we do not screen the content that is distributed through our offerings. There is no assurance that our customers have licensed all rights necessary for distribution, including internet distribution. Other parties may claim certain rights in the content of our customers.</w:t>
      </w:r>
    </w:p>
    <w:p>
      <w:pPr>
        <w:spacing w:after="0" w:line="12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the event that our customers do not have the necessary distribution rights related to content, we may be required to cease distributing such content, or we may be subject to lawsuits and claims of damages for infringement of such rights. If these claims arise with frequency, the likelihood of our business being adversely affected would rise significantly. In some cases, we may have rights to indemnification or claims against our customers if they do not have appropriate distribution rights related to specific content items, however there is no assurance that we would be successful in any such claim.</w:t>
      </w:r>
    </w:p>
    <w:p>
      <w:pPr>
        <w:spacing w:after="0" w:line="12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do not screen the content that is distributed through our offerings. Content may be distributed through our platform that is illegal or unlawful under international, federal, state, or local laws or the laws of other countries. We may face lawsuits, claims or even criminal charges for such distribution, and we may be subject to civil, regulatory, or criminal sanctions and damages for such distribution. Any such claims or investigations could adversely affect our business, financial condition, and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to restrict access to our offerings in their countries or to require us to disclose or provide access to information in our possession could harm our business, financial condition, and results of operations.</w:t>
      </w:r>
    </w:p>
    <w:p>
      <w:pPr>
        <w:spacing w:after="0" w:line="5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Our business depends on the ability of our customers and end users to access the internet, and our offerings could be blocked or restricted in some countries for various reasons.</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Further, it is possible that governments of one or more foreign countries may seek to limit access to, or certain features of, our offerings in their countries, or impose other restrictions that may affect the availability of our offerings, or certain features of our offerings,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offerings if they consider us to be in violation of their laws (including data privacy laws) and may require us to disclose or provide access to information in our possession. If we fail to anticipate developments in the law or fail for any reason to comply with relevant law, our offerings could be further blocked or restricted and we could be exposed to significant liability that could harm our business.</w:t>
      </w:r>
    </w:p>
    <w:p>
      <w:pPr>
        <w:spacing w:after="0" w:line="13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the event that access to our offerings is restricted, in whole or in part, in one or more countries, or our competitors are able to successfully penetrate geographic markets that we cannot access, our ability to add new customers or renew or expand the value of our existing customers’ subscriptions may be adversely affected, which could have a material adverse effect on our business,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anti-money laundering laws, and similar laws, could subject us to penalties and other adverse consequences.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are subject to the U.S. Foreign Corrupt Practices Act of 1977, as amended (the “FCPA”), the U.S. domestic bribery statute contained in 18 U.S.C.</w:t>
      </w:r>
    </w:p>
    <w:p>
      <w:pPr>
        <w:spacing w:after="0" w:line="39" w:lineRule="exact"/>
        <w:rPr>
          <w:sz w:val="20"/>
          <w:szCs w:val="20"/>
          <w:color w:val="auto"/>
        </w:rPr>
      </w:pPr>
    </w:p>
    <w:p>
      <w:pPr>
        <w:jc w:val="both"/>
        <w:ind w:firstLine="8"/>
        <w:spacing w:after="0" w:line="253" w:lineRule="auto"/>
        <w:tabs>
          <w:tab w:leader="none" w:pos="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the USA PATRIOT Act, the United Kingdom Bribery Act 2010, the Proceeds of Crime Act 2002, Chapter 9 (sub-chapter 5) of the Israeli Criminal Law, 5737-1977, the Israeli Prohibition on Money Laundering Law, 5760–2000 and other anti-bribery and anti-money laundering laws in countries in which we conduct our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sometimes leverage third parties to sell our offerings and conduct our business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and our third-party intermediaries may have direct or indirect interactions with officials and employees of government agencies or state-owned or affiliated entities and may be held liable for the corrupt or other illegal activities of these third-party business partners and intermediaries, our employees, representatives, contractors, partners, and agents, even if we do not explicitly authorize such activities. As we increase our international sales and business operations, our risks under these laws are likely to increase.We have policies and procedures designed to promote compliance with anti-bribery, anti-corruption, and anti-money laundering laws. However, we cannot assure you that our employees and agents will not take actions in violation of applicable law, for which we may be ultimately held responsible.</w:t>
      </w:r>
    </w:p>
    <w:p>
      <w:pPr>
        <w:spacing w:after="0" w:line="13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any of which would adversely affect our reputation, as well as our business, financial condition, results of operations and growth prospects. Responding to any investigation or action would likely result in a materially significant diversion of management’s attention and resources and significant defense costs and other professional fees. In addition, the U.S. government may seek to hold us liable for successor liability for FCPA violations committed by companies in which we invest or that we acquire.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or developments in U.S. laws or policies, including changes in U.S. trade policies and tariffs and the reaction of other countries to these policies, may have a material adverse effect on our business, results of operations, or financial condition.</w:t>
      </w:r>
    </w:p>
    <w:p>
      <w:pPr>
        <w:spacing w:after="0" w:line="5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results of operations, and financial condition. The U.S. government has recently imposed significant tariffs on imports from certain jurisdictions and indicated the likely imposition of or significant increase in tariffs on goods imported into the United States from many other jurisdictions in the near future, which could lead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foreign tax laws could have a material adverse effect on our business, cash flow, results of operations, or financial conditions.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are subject to taxation in several countries, including the United States and Israel; changes in tax laws or tax rulings, changes in interpretations of existing tax laws,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or tax rates in these jurisdictions could cause us to experience fluctuations in our tax obligations and effective tax rates in the future and otherwise adversely affect our tax positions and/or our tax liabilities. For example, the Inflation Reduction Act of 2022 enacted in the United States introduced, among other changes, a 15% corporate minimum tax on certain United States corporations and a 1% excise tax on certain stock redemptions by United States corporations. To the extent that these or other changes have a negative impact on us or our consumers, including as a result of related uncertainty, these changes may materially and adversely impact our business,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effective tax rates, tax payments, tax credits, or incentives will not be adversely affected by changes in tax laws in various jurisdictions.In addition,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w:t>
      </w:r>
    </w:p>
    <w:p>
      <w:pPr>
        <w:spacing w:after="0" w:line="133"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Pillar One focused on the allocation of group profits among taxing jurisdictions based on a market-based concept rather than the historical “permanent establishment” concept. Pillar Two, among other things, introduced a global minimum tax. In October 2021, 137 member jurisdictions of the G20/OECD Inclusive Framework on BEPS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targeted law enactment to take effect in 2023 with applicability from fiscal years beginning on or after December 31, 2023. On December 20, 2021, the OECD published model rules to implement the Pillar Two rules with commentary to those rules released in March 2022 and administrative guidance published in February 2023 and July 2022. The model rules, commentary and guidance allow the OECD’s Inclusive Framework members to begin implementing the Pillar Two rules in accordance with the agreement reached in October 2021. Numerous countries have enacted, or are in the process of enacting, legislation to implement Pillar Two model rules. As the Two-Pillar Solution is subject to implementation by each member country, the timing and ultimate impact of any such changes on our tax obligations is uncertain. These changes, if and when enacted, by various countries in which we do business may increase our taxes in these countries. The foregoing tax changes and other possible future tax changes may have an adverse impact on us, our business, financial condition, results of operations and cash flow.</w:t>
      </w:r>
    </w:p>
    <w:p>
      <w:pPr>
        <w:spacing w:after="0" w:line="13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Recently, the Trump administration has proposed a number of changes to the U.S. tax system. Many aspects of these proposals are unclear or undeveloped and we are unable to predict which, if any, U.S. tax reform proposals will be enacted into law, and what effects any enacted legislation might have on our effective tax rate and tax obligations. In addition, the Trump administration has indicated that the United States may impose retaliatory measures with respect to jurisdictions that have, or are likely to, put in place tax rules that are extraterritorial or disproportionately affect U.S. companies.</w:t>
      </w:r>
    </w:p>
    <w:p>
      <w:pPr>
        <w:spacing w:after="0" w:line="12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likelihood of these changes being enacted or implemented is unclear. We are currently unable to predict whether such changes will occur and, if so, the ultimate impact on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tax laws applicable to our business, including the laws of the United States, Israel, and other jurisdictions, are subject to interpretation, and certain jurisdictions may aggressively interpret their laws in an effort to raise additional tax revenue.We are subject to the continuous examination of our income tax returns by the U.S. Internal Revenue Service and other tax authorities, and we may be audited in Israel.</w:t>
      </w:r>
    </w:p>
    <w:p>
      <w:pPr>
        <w:spacing w:after="0" w:line="12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taxing authorities of the jurisdictions in which we operate may challenge our methodologies for valuing developed technology or intercompany arrangements or our revenue recognition policies, which could increase our worldwide effective tax rate and adversely affect our financial position and results of operations. It is possible that these taxing authorities may disagree with certain positions we have taken, and any adverse outcome of such a review or audit could have a negative effect on our business, financial condition,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adversely affect our results of operations.</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authorities in the jurisdiction in which we operate and do business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methodologies. We may take certain tax positions, and the relevant taxing authorities may determine that the manner in which we operate our business does not achieve the intended tax consequences. If such a disagreement were to occur, and our position was not sustained, we could be required to pay additional taxes, interest, and penalties. Any increase in the amount of taxes we pay or that are imposed on us could increase our worldwide effective tax rate and adversely affect our business, financial condition, and results of operations.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use, value added, digital services or other similar taxes or be subject to other liabilities that may increase the costs our clients would have to pay for our offerings and adversely affect our results of operations.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collect sales, value added and other similar taxes in a number of jurisdictions. One or more U.S. states or foreign countries may seek to impose incremental or new sales, use, value added, digital services, or other tax collection obligations on us. Further, an increasing number of U.S. states have considered or adopted laws that seek to impose tax collection obligations on out-of-state companies. The Supreme Court of the United States has ruled that online sellers can be required to collect sales and use tax despite not having a physical presence in the state of the customer. As a result, U.S. states and local governments may adopt, or begin to enforce, laws requiring us to calculate, collect, and remit taxes on sales in their jurisdictions, even if we have no physical presence in that jurisdiction. U.S. state and local taxing authorities have differing rules and regulations that are subject to varying interpretations, which makes the applicability of these sales and use taxes to our business uncertain and complex.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 successful assertion that we should have been or should currently be collecting additional sales, use, value added, digital services or other similar taxes in a particular jurisdiction could, among other things, result in substantial tax payments (potentially including interest and penalties), create significant administrative burdens for us, discourage potential customers from subscribing to our platform due to the incremental cost of any such sales or other related taxes, or otherwise adversely affect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carryforwards of approximately $225 million and U.S. state net operating loss carryforwards of approximately $183 million,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us to become an income tax payer earlier than we would otherwise become if such limitations were not in effect and could cause such net operating loss carryforwards to expire unused, in each case reducing or eliminating the benefit of such net operating loss carryforwards.</w:t>
      </w:r>
    </w:p>
    <w:p>
      <w:pPr>
        <w:spacing w:after="0" w:line="13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Future changes in our stock ownership could result in an ownership change that subjects us to limitations on our ability to utilize net operating loss forwards to offset future income. Furthermore, we may not be able to generate sufficient taxable income to utilize our net operating loss carryforwards before they expire.</w:t>
      </w:r>
    </w:p>
    <w:p>
      <w:pPr>
        <w:spacing w:after="0" w:line="12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 in Israel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economic, and military conditions in Israel could materially and adversely affect our business.</w:t>
      </w:r>
    </w:p>
    <w:p>
      <w:pPr>
        <w:spacing w:after="0" w:line="121"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We have offices near Tel Aviv, Israel where our primary research and development, human resources, and certain other finance and administrative activities are based. In addition, a number of our officers and directors are residents of Israel. As of December 31, 2024, we had 341 full-time employees in Israel. Accordingly, political, economic, and military conditions in Israel and the surrounding region may directly affect our business and operations. Since the establishment of the State 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against civilian targets in various parts of Israel, including areas in which our employees, and some of our consultants are located, and negatively affected business conditions in Israel. In October 2023, Hamas terrorists infiltrated Israel’s southern border from the Gaza Strip and conducted a series of attacks on civilian and military targets. Hamas also launched extensive rocket attacks on the Israeli population within the State of Israel. These attacks resulted in extensive deaths, injuries and kidnapping of civilians and soldiers. Following the attack, Israel’s security cabinet declared war against Hamas and a military campaign against this terrorist organization commenced. Following the attack by Hamas on Israel’s southern border, Hezbollah in Lebanon also launched missile, rocket and shooting attacks against Israeli military sites, troops and Israeli towns in northern Israel. In response to these attacks, the Israeli army has carried out a number of targeted strikes on sites belonging to Hezbollah in southern Lebanon, which was followed by ground operation. Although the parties have entered into a ceasefire agreement, there is no assurance that the situation shall become stable. Furthermore, following Hamas’ attack on Israel and Israel’s security cabinet declaration of war against Hamas, the Houthi movement, which controls parts of Yemen, launched a number of attacks on marine vessels traversing the Red Sea, which marine vessels were thought to either be in route towards Israel or to be partly owned by Israeli businessmen, and launched missile, rocket and shooting attacks against Israeli military sites, troops and Israeli towns, which were responded by air strikes counter attacks by the Israeli Air Force. Iran also took part in the armed conflict and mutual strikes have been launched. Iran, the Houthi movement and Israel has unofficially entered into a ceasefire in conjunction with the Gaza Strip and Lebanon frontiers ceasefire, however, the situation remains unstable and it is hard to predict the future developments or further escalations. Additionally, Hamas terrorists in the West Bank launched several terrorists attacks on Israeli civilians, which triggered an escalation of military actions to prevent those attacks in certain areas of the West Bank.It is possible that other terrorist organizations, including Palestinian military organizations in the West Bank, as well as other hostile countries, will join the hostilities. In addition the overthrow of the Assad regime and installation of a new Syrian government has created further instability in the region and left the geopolitical and security situation in Syria and the country’s potential role in the armed conflicts in the region uncertain. It is currently not possible to predict the duration or severity of the ongoing conflicts or their effect on our business, operations and financial conditions. The ongoing conflicts are rapidly evolving and developing, and could disrupt our business and operations. Any hostilities, armed conflicts, terrorist activities involving Israel and/or the United States or the interruption or curtailment of trade between Israel and its trading partners, or the interruption or curtailment of maritime trade and transportation in the Gulf Area, or any political instability in the Middle East, Gulf Area or other regions could adversely affect business conditions and our results of operations and could make it more difficult for us to raise capital. Specifically, our operations could be disrupted by the obligations of our personnel to perform military service. In connection with the Israeli security cabinet’s declaration of war against Hamas and possible hostilities with other organizations, several hundred thousand Israeli military reservists were drafted to perform immediate military service. Certain of our officers and employees in Israel have been called, and additional employees may be called, for service in the current or future wars or other armed conflicts with Hamas and others, and such persons may be absent for an extended period of time. As a result, our operations may be disrupted by such absences, which disruption may materially and adversely affect our business and results of operations.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4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An escalation of tensions or violence might result in a significant downturn in the economic or financial condition of Israel, which could have a material adverse effect on our operations in Israel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adversely affect our results of operations.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2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Israel’s most recent general elections were held on November 1, 2022. Uncertainty surrounding future elections and/or the results of such elections in Israel may continue and the political situation in Israel may further deteriorate. In addition, prior to the Hamas attack in October 2023, the Israeli government pursued changes to Israel’s judicial system. In response to the foregoing developments, certain individuals, organizations and institutions, both within and outside of Israel, have voiced concerns that such proposed changes, if adopted, may negatively impact the business environment in Israel including due to reluctance of foreign investors to invest or transact business in Israel as well as to increased currency fluctuations, downgrades in credit ratings, increased interest rates, increased volatility in security markets, and other changes in macroeconomic conditions. Such proposed changes may also lead to political instability or civil unrest. To the extent that any of these negative developments materialize, they may individually or in the aggregate adversely affect the Israeli economy and, in turn, our business, financial condition, results of operations and growth prospects.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5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Some of our operations in Israel may entitle us to certain tax benefits under the Law for the Encouragement of Capital Investments, 5719-1959, or the Investment Law. If we do not meet the requirements for maintaining these benefits, they may be reduced or cancelled and the relevant operations would be subject to Israeli corporate tax at the standard rate, which is set at 23% in 2021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“Preferred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or may decline regardless of our operating performance, and you may not be able to resell your shares at or above the price at which you purchased your shares.</w:t>
      </w:r>
    </w:p>
    <w:p>
      <w:pPr>
        <w:spacing w:after="0" w:line="5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a variety of factors, many of which are beyond our control, including:</w:t>
      </w:r>
    </w:p>
    <w:p>
      <w:pPr>
        <w:spacing w:after="0" w:line="108"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guidance we may provide to analysts and investors from time to time, and any changes in, or our failure to perform in line with, such guidance;</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offerings or new or terminated contracts, commercial relationships, or capital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expected future sales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amounts or frequency of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industries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the issuance of new or updated reports or recommendations by any analysts who follow our company, or our failure to meet the expectations of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other companies in our industry or both, or investigations by regulators into our operations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or our solutions, or third-party intellectual or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or other strategic transactions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breaches of, or failures relating to, data privacy, data protection or data 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management or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target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17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public trading market may not be sustained.</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decline and you may not be able to resell your shares of our common stock at or above the price at which you purchased your shares, or at all. The lack of an active trading market may also reduce the fair value of your shares. An inactive market may also impair our ability to raise capital by selling shares of our common stock and may impair our ability to acquire other companies or technologies by using our common stock as consideration.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continue to have significant influence over us.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principal stockholders each holding more than 5% of our outstanding common stock collectively beneficially owned a majority of our outstanding common stock as of December 31, 2024. These stockholders or their affiliates will be able to exert significant influence over us and, if acting together, will be able to control matters requiring stockholder approval, including the election of directors and approval of significant corporate transactions, including a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 instance, these stockholders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substantial amounts of our common stock in the public markets, or the perception that such sales might occur, could reduce the price that our common stock might otherwise attain.</w:t>
      </w:r>
    </w:p>
    <w:p>
      <w:pPr>
        <w:spacing w:after="0" w:line="5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As of February 13, 2025, we had 154,138,268 shares of our common stock outstanding. All shares of our common stock may be resold in the public market immediately without restriction, unless restricted as a result of securities laws or purchased or held by one of our affiliates, in which case the resale of such securities will generally be subject to volume limitations and other requirements under Rule 144 of the Securities Act.</w:t>
      </w:r>
    </w:p>
    <w:p>
      <w:pPr>
        <w:spacing w:after="0" w:line="13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have registered the offer and sale of all common stock that we may issue from time to time under our equity compensation plans. Once we register these shares, they will be freely tradable in the public market.</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drop significantly when we register the sale of our stockholders’ remaining shares of our common stock or if there is an expectation that such a registration of shares will occur. A decline in the trading price of our common stock might impede our ability to raise capital through the issuance of additional shares of our common stock or other equity securities and may impair your ability to sell shares of our common stock at a price higher than the price you paid for them or at all.</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ownership and voting power may be diluted by the issuance of additional shares of our common stock in connection with financings, acquisitions, investments, our equity incentive plans or otherwise.</w:t>
      </w:r>
    </w:p>
    <w:p>
      <w:pPr>
        <w:spacing w:after="0" w:line="5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have 845,861,732 shares of common stock authorized but unissued, based on the number of shares of our common stock outstanding as of February 13, 2025. Subject to compliance with applicable rules and regulations, we may issue common stock or securities convertible into common stock from time to time for the consideration and on the terms and conditions established by our board of directors in its sole discretion, whether in connection with a financing, acquisition, investment, our equity incentive plans or otherwise.</w:t>
      </w:r>
    </w:p>
    <w:p>
      <w:pPr>
        <w:spacing w:after="0" w:line="12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As of December 31, 2024, we had 16,321,014 shares of our common stock issuable upon the exercise of outstanding options at a weighted average exercise price of $3.29 per share, 16,302,264 of which were vested as of such date, 12,331,745 shares of our common stock issuable upon the vesting of restricted stock units and 4,423,347 additional shares of our common stock reserved for future issuance under our 2021 Incentive Award Plan. Any additional shares of common stock that we issue, including under our 2021 Incentive Award Plan or other equity incentive plans that we may adopt in the future, or in connection with the exercise of outstanding warrants, would dilute the percentage ownership and voting power held by existing stockholders. In the future, we may also issue additional securities if we need to raise capital, including, but not limited to, in connection with acquisitions, which could constitute a material portion of our then-outstanding shares of common stock. Any such issuance could substantially dilute the ownership and voting power of our existing stockholders and cause the market price of our common stock to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we will conduct share repurchases in any specified amounts or particular frequency.</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June 11, 2024, we announced that our Board has authorized a share repurchase program of up to $5.0 million of our common stock. Under the program, we may make repurchases, from time to time, through open market purchases, block trades, in privately negotiated transactions, accelerated stock repurchase transactions, or by other means. The volume, timing, and manner of any repurchases will be determined at our discretion, subject to general market conditions, as well as the our management of capital, general business conditions, other investment opportunities, regulatory requirements and other factors. The repurchase program does not obligate us to repurchase any specific amount of common stock, has no time limit, and may be modified, suspended, or discontinued at any time without notice at the discretion of the Board of Directors. Repurchases under this authorization could affect our stock price and increase its volatility, and the existence of this authorization could cause our stock price to be higher than it would be in the absence of such authorization and could potentially reduce the market liquidity for our stock. There can be no assurance that any stock repurchases will enhance stockholder value because the market price of our common stock may decline below the levels at which we repurchased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5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of directors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our company, discouraging bids for our common stock at a premium to the market price, and materially and adversely affect the market price and the voting and other rights of the holders of our common stock.</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our Certificate of Incorporation and Bylaws contain provisions that could have the effect of rendering more difficult, delaying or preventing an acquisition deemed undesirable by our board of directors, including transactions in which stockholders might otherwise receive a premium for their shares. Among others, our Certificate of Incorporation and Bylaws include the following provisions:</w:t>
      </w:r>
    </w:p>
    <w:p>
      <w:pPr>
        <w:spacing w:after="0" w:line="129" w:lineRule="exact"/>
        <w:rPr>
          <w:sz w:val="20"/>
          <w:szCs w:val="20"/>
          <w:color w:val="auto"/>
        </w:rPr>
      </w:pPr>
    </w:p>
    <w:p>
      <w:pPr>
        <w:jc w:val="both"/>
        <w:ind w:left="660" w:right="2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with each class serving staggered three-year terms, which may delay the ability of stockholders to change the membership of a majority of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convening special stockholder meetings, which could make it difficult for our stockholders to adopt desired governance changes;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our stockholders will only be able to take action at a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forum selection clause, which means 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of cumulative voting,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will only be able to be removed for cause and only by the affirmative vote of two-thirds of the then outstanding voting power of our capital stock;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and Bylaws will require the approval of two-thirds of the then outstanding voting power of our capital stock;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two-thirds of the then-outstanding voting power of our capital stock, voting as a single class, will be required for stockholders to amend or adopt any provision of our Bylaws;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w:t>
      </w:r>
    </w:p>
    <w:p>
      <w:pPr>
        <w:spacing w:after="0" w:line="3" w:lineRule="exact"/>
        <w:rPr>
          <w:sz w:val="20"/>
          <w:szCs w:val="20"/>
          <w:color w:val="auto"/>
        </w:rPr>
      </w:pPr>
    </w:p>
    <w:p>
      <w:pPr>
        <w:ind w:firstLine="8"/>
        <w:spacing w:after="0" w:line="260"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board approval, the business combination receives the approval of the holders of at least two-thirds of our outstanding common stock not held by such interested stockholder.</w:t>
      </w:r>
    </w:p>
    <w:p>
      <w:pPr>
        <w:spacing w:after="0" w:line="12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common stock at a price greater than the price you paid for them or at all.</w:t>
      </w:r>
    </w:p>
    <w:p>
      <w:pPr>
        <w:spacing w:after="0" w:line="1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employees or other agents to us or to our stockholders; (c) any action asserting a claim arising pursuant to the DGCL, our Certificate of Incorporation or Bylaws (as either may be amended and/or restated), or as to which the DGCL confers exclusive jurisdiction on the Court of Chancery of the State of Delaware; or (d) any action asserting a claim governed by the internal affairs doctrine. Under our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employees, or other agents, which may discourage such lawsuits against us and our directors, officers, employees, and other agents. Alternatively, if a court were to find the choice of forum provisions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doctrine of “corporate opportunity” will not apply with respect to any director or stockholder who is not employed by us or our subsidiaries.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Certificate of Incorporation, to the fullest extent permitted from time to time by Delaware law, renounces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and growth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 and the requirements of being a public company may strain our resources, divert management’s attention, and affect our ability to attract and retain qualified board members.</w:t>
      </w:r>
    </w:p>
    <w:p>
      <w:pPr>
        <w:spacing w:after="0" w:line="5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Most members of our management team have little experience managing a publicly traded company, interacting with public company investors, and complying with the increasingly complex laws pertaining to public companies.</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management team may not successfully or efficiently manage our operation as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revenue-generating activities to compliance activities, which may prevent us from implementing our business strategy and growing our business. Moreover, we may not be successful in implementing these requirements. If we do not effectively and efficiently manage our operation as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spacing w:after="0" w:line="13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Additionally, as a public company, we may from time to time be subject to proposals by stockholders urging us to take certain corporate actions. If activist stockholder activity ensues, we may be required to incur additional costs to retain the services of professional advisors, management time and attention will be diverted from our core business operations, and perceived uncertainties as to our future direction, strategy or leadership may cause us to lose potential business opportunities and impair our brand and reputation, any of which could materially and adversely affect our business, financial condition, and results of operations.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addition to increasing our legal and financial compliance costs, the additional rules and regulations described above might also make it more difficult for us to obtain certain types of insurance, including director and officer liability insurance, and we might be forced to accept reduced policy limits and coverage or incur substantially higher costs to obtain the same or similar coverage. As a result, it may be more difficult for us to attract and retain qualified persons to serve on our board of directors, on committees of our board of directors or as members of our senior management team.</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and we cannot be certain if the reduced disclosure requirements applicable to us will make our common stock less attractive to investors.</w:t>
      </w:r>
    </w:p>
    <w:p>
      <w:pPr>
        <w:spacing w:after="0" w:line="5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These provisions include, among other exemptions, that:</w:t>
      </w:r>
    </w:p>
    <w:p>
      <w:pPr>
        <w:spacing w:after="0" w:line="10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have only two years of Management’s Discussion and Analysis of Financial Condition and Results of Operations disclosure;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engage an auditor to report on our internal controls over financial reporting pursuant to Section 404(b) of the Sarbanes-Oxley Act;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submit certain executive compensation matters to stockholder advisory votes, such as “say-on-pay,” “say-on-frequency” and “say-on-golden parachutes;”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0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last day of our fiscal year following the fifth anniversary of the closing of our IPO or such earlier time that we are no longer an emerging growth company. We will cease to be an emerging growth company if (i) we have $1.235 billion or more in annual revenue in any fiscal year, (ii) the market value of our common stock held by non-affiliates is at least $700 million as of the end of our most recently completed second fiscal quarter, or (iii) we issue more than $1.0 billion of non-convertible debt over a three-year period. We have elected to take advantage of certain of the reduced reporting and other obligations described above and intend to take advantage of reduced reporting requirements in the future for so long as we are able to do so. The JOBS Act also permits an emerging growth company like us to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140"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2024, we are a “smaller reporting company” as defined under the rules promulgated under the Exchange Act. We will remain a smaller reporting company until the fiscal year following the determination that either (i) the value of our voting and non-voting common shares held by non-affiliates is $250 million or more measured on the last business day of our second fiscal quarter, or (ii) if our annual revenues for the full fiscal year are less than $100 million, the value of our voting and non-voting common shares held by non-affiliates is $700 million or more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disclosures about market risks.</w:t>
      </w:r>
    </w:p>
    <w:p>
      <w:pPr>
        <w:spacing w:after="0" w:line="13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 As a result, your ability to achieve a return on your investment will depend on appreciation in the price of our common stock.</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the repayment of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 Consequently, investors who purchase shares of our common stock may be unable to realize a return on their investment except by selling sell such shares after price appreciation, which may never occur. Our inability or decision not to pay dividends, particularly when others in our industry have elected to do so, could also adversely affect the market price of our common stock.</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uncertainty in the global economy and financial and stock markets may depress our stock price, which may cause stockholders, activists and others to take advantage of the distressed stock price and pursue aggressive actions that may not be in the interests of all stockholders.</w:t>
      </w:r>
    </w:p>
    <w:p>
      <w:pPr>
        <w:spacing w:after="0" w:line="5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current uncertainty in the global economy and financial and stock markets, by itself or coupled with our dependency on existing customers' demand and exposure to change in demand by our customers, including as a result of reasons beyond our control, as well as other risk factors described herein, may have an adverse effect on our business, operations, financial results and prospects. As a result of this or any of the other factors described above, investors’ perceptions of our business and the market price of our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Those circumstances may encourage certain stockholders, activists and others to take advantage of the distressed stock price and market conditions to pursue aggressive or hostile actions that may not be in the interests of all of our stockholders.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5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and the global economy on us and our customers. Current or future economic uncertainties or downturns could adversely affect our business, financial condition and results of operations. Negative conditions in the general economy both in the United States and abroad, including conditions resulting from changes in gross domestic product growth, financial, and credit market fluctuations, political turmoil, natural catastrophes, any pandemic, epidemic or outbreak of infectious disease, warfare, protests and riots, and terrorist attacks on the United States, Europe, Middle East, the Asia Pacific region, or elsewhere, could cause a decrease in business investments by our customers and potential customers, including spending on information technology, and negatively affect the growth of our business. Any limitations on travel and doing business in person may negatively affect our customer success efforts, sales and marketing efforts, challenge our ability to enter into customer contracts in a timely manner, slow down our recruiting efforts, or create operational or other challenges, any of which could adversely affect our business, financial condition and results of operations. A disruption in the operations of our customers and technology partners, including as a result of travel restrictions and/or business shutdowns, such as the disruptions experienced in connection with the COVID-19 pandemic, could negatively impact our business, financial condition, and results of operations. To the extent our offerings are perceived by customers and potential customers as discretionary, our revenue may be disproportionately affected by delays or reductions in general information technology spending. Also, customers may choose to develop in-house software as an alternative to using our offerings.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financial condition and results of operations could be adversely affected.</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provide estimates of market opportunity and forecasts of market growth. These estimates may prove to be inaccurate, and even if the markets in which we compete achieve the forecasted growth, our business could fail to grow at similar rates, or at all.</w:t>
      </w:r>
    </w:p>
    <w:p>
      <w:pPr>
        <w:spacing w:after="0" w:line="5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Any estimates of market opportunity and forecasts of market growth that we provide may prove to be inaccurate. Market opportunity estimates and growth forecasts are subject to significant uncertainty and are based on assumptions and estimates that may not prove to be accurate, including as a result of any of the risks described in this Annual Report on Form 10-K.</w:t>
      </w:r>
    </w:p>
    <w:p>
      <w:pPr>
        <w:spacing w:after="0" w:line="12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the variables that go into the calculation of our market opportunity are subject to change over time, and there is no guarantee that any particular number or percentage of addressable users or companies covered by our market opportunity estimates will purchase our offerings or generate any particular level of revenue for us. In addition, our ability to expand in any of our target markets depends on a number of factors, including the cost, performance, and perceived value associated with our platform and those of our competitors. Even if the markets in which we compete meet our size estimates and growth forecasts, our business could fail to grow at similar rates, or at all. Our growth is subject to many factors, including our success in implementing our business strategy, which is subject to many risks and uncertainties. Accordingly, any forecasts of market growth that we provide should not be taken as indicative of our future growth.</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common stock, the market price and trading volume of our common stock could decline.</w:t>
      </w:r>
    </w:p>
    <w:p>
      <w:pPr>
        <w:spacing w:after="0" w:line="10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financial analysts publish about us and our business. We do not control these analysts or the content and opinions included in their reports. As a recently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company, the market price of our common stock would likely decline. In addition, the share prices of many companies in the technology industry have declined significantly after those companies have failed to meet, or significantly exceed, the financial guidance they have publicly announced or the expectations of analysts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our financial results fail to meet, or significantly exceed, our announced guidance or the expectations of analysts or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the market price or trading volume of our common stock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common stock.</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revenue, and expenses that are not readily apparent from other sources.</w:t>
      </w:r>
    </w:p>
    <w:p>
      <w:pPr>
        <w:spacing w:after="0" w:line="1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environmental, social and governance (“ESG”) matters may require us to incur additional costs or otherwise adversely impact our business.</w:t>
      </w:r>
    </w:p>
    <w:p>
      <w:pPr>
        <w:spacing w:after="0" w:line="5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Increased attention to climate change; diversity, equity, and inclusion; and other ESG issues, as well as societal expectations regarding voluntary ESG initiatives and disclosures, may result in increased costs (including but not limited to increased costs related to compliance, stakeholder engagement, and contracting), impact our reputation, or otherwise affect our business performance. In addition, organizations that provide information to investors on corporate governance and related matters have developed ratings processes for evaluating companies on ESG matters. Such ratings are used by some investors to inform their investment or voting decisions. Unfavorable or lack of ESG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take certain actions, including the establishment of ESG-related goals or targets, to improve the ESG profile of our Company and/or offerings and/or respond to stakeholder demand; however, such actions may be costly, lengthy, or be subject to numerous conditions that are outside our control, and we cannot guarantee that such actions will have the desired effect. Moreover,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Such disclosures may also be at least partially reliant on third-party information that we have not independently verified or cannot be independently verified. In addition, we expect there will likely be increasing levels of regulation, disclosure-related and otherwise, with respect to ESG matters, and increased regulation will likely lead to increased compliance costs as well as scrutiny that could heighten all of the risks identified in this risk factor.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Such ESG matters may also impact our suppliers or customers, which may adversely impact our business, financial condition, or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84"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Kaltura has developed and implemented a cybersecurity risk management program, intended to protect the confidentiality, integrity, and availability of our critical systems and information.</w:t>
      </w:r>
    </w:p>
    <w:p>
      <w:pPr>
        <w:spacing w:after="0" w:line="10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aim to be proactive in our approach to cybersecurity, with our practices informed by the National Institute of Standards and Technology Cybersecurity Framework (NIST CSF). This approach aids us in identifying and managing cyber risks in a manner that aligns with our business operations. While the NIST CSF serves as a guiding framework to help us identify, assess, and manage cybersecurity risks, this does not imply we adopt a blanket adherence to its standards and requirements in all respects. Our cybersecurity risk management program is further informed by the industry-recognized certifications we have obtained through comprehensive third-party evaluations, including ISO/IEC 27001:2022, ISO 27701, ISO 27799, ISO 22301, SOC 2 Type 2, and SOC 3.</w:t>
      </w:r>
    </w:p>
    <w:p>
      <w:pPr>
        <w:spacing w:after="0" w:line="13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the broader scope of Kaltura's enterprise risk management framework, including processes for managing risks, from legal and compliance to strategic, operational, and financial threats, through shared methodologies, reporting channels, and governance processes.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encompass:</w:t>
      </w:r>
    </w:p>
    <w:p>
      <w:pPr>
        <w:spacing w:after="0" w:line="171" w:lineRule="exact"/>
        <w:rPr>
          <w:sz w:val="20"/>
          <w:szCs w:val="20"/>
          <w:color w:val="auto"/>
        </w:rPr>
      </w:pPr>
    </w:p>
    <w:p>
      <w:pPr>
        <w:ind w:left="660" w:hanging="328"/>
        <w:spacing w:after="0" w:line="282" w:lineRule="auto"/>
        <w:tabs>
          <w:tab w:leader="none" w:pos="6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A risk assessment process to identify and evaluate material cybersecurity threats to our systems, data, products, services, and overall IT environment.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Team Expertise: Our security team, led by our Chief Information Security Officer (CISO), who oversees our cybersecurity risk assessments, the implementation of security controls, and the coordination of our incident response efforts.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Collaboration: We engage with external service providers, where appropriate, for assessing and testing our security processes and controls.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Security awareness and training programs for our employees.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Preparedness: Our incident response plan outlines our approach to addressing and responding to cybersecurity incidents and to findings, vulnerabilities and incidents that could lead to or allegedly be suspected as cybersecurity incidents.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A process for evaluating and managing the risks associated with our service providers, suppliers, and vendors who access our critical systems and data.</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or are reasonably likely to materially affect us.</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face risks from cybersecurity threats that, if realized, are reasonably likely to materially affect us, including our operations, business strategy, results of operations, or financial condition.</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See “Risk Factors – Risks Related to Information Technology, Intellectual Property and Data Privacy and Security” - “A real or perceived bug, defect, security vulnerability, error, or other performance failure involving our platform, products or solutions could cause us to lose revenue, damage our reputation, and expose us to liability.” and “If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Cybersecurity risk is a critical aspect of our Board of Directors' risk oversight function. The Board has entrusted the Audit Committee with the oversight of cybersecurity and other IT-related risks. This committee monitors the execution of our cybersecurity risk management program.</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Regular briefings are provided to the Audit Committee by management, regarding the cybersecurity risk landscape and any significant cybersecurity incidents. These updates are then relayed to the full Board as deemed necessary by the Audit Committee. Our management team also receives regular internal briefings.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Board members are regularly educated on cybersecurity issues through presentations from our Chief Information Security Officer (CISO) and internal security team. External experts may also be consulted to provide additional insights or reports when necessary.</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management team, including the CISO, Data Privacy Officer (DPO), CCO (Chief Customer Officer) and Chief Product Officer (CPO), is responsible for the assessment and mitigation of cybersecurity threats and overseeing both our internal security personnel and external cybersecurity consultants. Our management team’s cumulative experience includes decades working in cybersecurity and information security, including in the government and public and private companies, and overseeing risk management generally. Among other things, our CISO is a graduate of the Technion’s Information Security Program as a Technion Certified CISO and brings vast experience as former Security Specialist in the U.S. Department of State, Senior Lead Information Security Architect at one of the Israeli leading banks, and Head of Cyber Architecture, Engineering and Research Group at one of the leading Israeli Aerospace and Defense companies. The team reporting to our CISO further includes experienced specialists in the area of Cyber Forensics and Counterterrorism and Network Security Engineers holding B.S. Computer Science Degrees and other relevant certifications.</w:t>
      </w:r>
    </w:p>
    <w:p>
      <w:pPr>
        <w:spacing w:after="0" w:line="138"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8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headquarters are located in New York, NY, where we lease approximately 13,815 square feet of office space. The lease expires in July 2027. We also lease approximately 5,926 square meters (approximately 63,784 square feet) of office space in Bnei-Brak, Israel, where our primary research and development, human resources, and certain other finance and administrative activities, among others, are based. The lease for our Israeli center expires in November 2027 with two extension options of five years each. We also subscribe for co-working office spaces in Singapore and London.</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lease all of our current facilities and do not own real estate property. We believe that our current facilities are adequate to meet our current needs for the immediate future.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7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may receive unfavorable preliminary or interim rulings in the course of litigation, and there can be no assurances that favorable final outcomes will be obtained.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8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July 21, 2021, our common stock began trading on the Nasdaq Global Select Market under the symbol “KLTR.” Prior to that time, there was no public market for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84" w:lineRule="exact"/>
        <w:rPr>
          <w:sz w:val="20"/>
          <w:szCs w:val="20"/>
          <w:color w:val="auto"/>
        </w:rPr>
      </w:pPr>
    </w:p>
    <w:p>
      <w:pPr>
        <w:ind w:right="340" w:firstLine="198"/>
        <w:spacing w:after="0" w:line="297" w:lineRule="auto"/>
        <w:rPr>
          <w:sz w:val="20"/>
          <w:szCs w:val="20"/>
          <w:color w:val="auto"/>
        </w:rPr>
      </w:pPr>
      <w:r>
        <w:rPr>
          <w:rFonts w:ascii="Times New Roman" w:cs="Times New Roman" w:eastAsia="Times New Roman" w:hAnsi="Times New Roman"/>
          <w:sz w:val="18"/>
          <w:szCs w:val="18"/>
          <w:color w:val="auto"/>
        </w:rPr>
        <w:t>As of February 13, 2025, there were 1,385 holders of record of our common stock. The number of record holders does not include persons who hold shares of our common stock in nominee or “street name” accounts through brokers.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8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to make payments on our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 Purchases of Equity Securities by the Issuer or Affiliated Purchaser</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the Company’s purchases of its common stock during the three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Purchased (1)</w:t>
            </w:r>
          </w:p>
        </w:tc>
        <w:tc>
          <w:tcPr>
            <w:tcW w:w="420" w:type="dxa"/>
            <w:vAlign w:val="bottom"/>
          </w:tcPr>
          <w:p>
            <w:pPr>
              <w:spacing w:after="0"/>
              <w:rPr>
                <w:sz w:val="17"/>
                <w:szCs w:val="17"/>
                <w:color w:val="auto"/>
              </w:rPr>
            </w:pPr>
          </w:p>
        </w:tc>
        <w:tc>
          <w:tcPr>
            <w:tcW w:w="1620" w:type="dxa"/>
            <w:vAlign w:val="bottom"/>
            <w:gridSpan w:val="2"/>
          </w:tcPr>
          <w:p>
            <w:pPr>
              <w:jc w:val="center"/>
              <w:ind w:right="5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Share</w:t>
            </w:r>
          </w:p>
        </w:tc>
        <w:tc>
          <w:tcPr>
            <w:tcW w:w="24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 Part of Publicly</w:t>
            </w:r>
          </w:p>
        </w:tc>
        <w:tc>
          <w:tcPr>
            <w:tcW w:w="100" w:type="dxa"/>
            <w:vAlign w:val="bottom"/>
          </w:tcPr>
          <w:p>
            <w:pPr>
              <w:spacing w:after="0"/>
              <w:rPr>
                <w:sz w:val="17"/>
                <w:szCs w:val="17"/>
                <w:color w:val="auto"/>
              </w:rPr>
            </w:pPr>
          </w:p>
        </w:tc>
        <w:tc>
          <w:tcPr>
            <w:tcW w:w="18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7"/>
                <w:szCs w:val="17"/>
                <w:color w:val="auto"/>
              </w:rPr>
            </w:pPr>
          </w:p>
        </w:tc>
        <w:tc>
          <w:tcPr>
            <w:tcW w:w="18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17"/>
                <w:szCs w:val="17"/>
                <w:color w:val="auto"/>
              </w:rPr>
            </w:pPr>
          </w:p>
        </w:tc>
        <w:tc>
          <w:tcPr>
            <w:tcW w:w="18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Programs (in</w:t>
            </w: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October 1, 2024 to October</w:t>
            </w:r>
          </w:p>
        </w:tc>
        <w:tc>
          <w:tcPr>
            <w:tcW w:w="80" w:type="dxa"/>
            <w:vAlign w:val="bottom"/>
          </w:tcPr>
          <w:p>
            <w:pPr>
              <w:spacing w:after="0"/>
              <w:rPr>
                <w:sz w:val="16"/>
                <w:szCs w:val="16"/>
                <w:color w:val="auto"/>
              </w:rPr>
            </w:pPr>
          </w:p>
        </w:tc>
        <w:tc>
          <w:tcPr>
            <w:tcW w:w="1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388,596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388,596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w:t>
            </w:r>
          </w:p>
        </w:tc>
        <w:tc>
          <w:tcPr>
            <w:tcW w:w="80" w:type="dxa"/>
            <w:vAlign w:val="bottom"/>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November 1, 2024 to</w:t>
            </w:r>
          </w:p>
        </w:tc>
        <w:tc>
          <w:tcPr>
            <w:tcW w:w="80" w:type="dxa"/>
            <w:vAlign w:val="bottom"/>
          </w:tcPr>
          <w:p>
            <w:pPr>
              <w:spacing w:after="0"/>
              <w:rPr>
                <w:sz w:val="17"/>
                <w:szCs w:val="17"/>
                <w:color w:val="auto"/>
              </w:rPr>
            </w:pPr>
          </w:p>
        </w:tc>
        <w:tc>
          <w:tcPr>
            <w:tcW w:w="1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86,544</w:t>
            </w:r>
          </w:p>
        </w:tc>
        <w:tc>
          <w:tcPr>
            <w:tcW w:w="100" w:type="dxa"/>
            <w:vAlign w:val="bottom"/>
          </w:tcPr>
          <w:p>
            <w:pPr>
              <w:spacing w:after="0"/>
              <w:rPr>
                <w:sz w:val="17"/>
                <w:szCs w:val="17"/>
                <w:color w:val="auto"/>
              </w:rPr>
            </w:pPr>
          </w:p>
        </w:tc>
        <w:tc>
          <w:tcPr>
            <w:tcW w:w="42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7"/>
                <w:szCs w:val="17"/>
                <w:color w:val="auto"/>
              </w:rPr>
            </w:pPr>
          </w:p>
        </w:tc>
        <w:tc>
          <w:tcPr>
            <w:tcW w:w="2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86,544</w:t>
            </w:r>
          </w:p>
        </w:tc>
        <w:tc>
          <w:tcPr>
            <w:tcW w:w="10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1, 2024 to</w:t>
            </w:r>
          </w:p>
        </w:tc>
        <w:tc>
          <w:tcPr>
            <w:tcW w:w="80" w:type="dxa"/>
            <w:vAlign w:val="bottom"/>
            <w:vMerge w:val="continue"/>
          </w:tcPr>
          <w:p>
            <w:pPr>
              <w:spacing w:after="0"/>
              <w:rPr>
                <w:sz w:val="17"/>
                <w:szCs w:val="17"/>
                <w:color w:val="auto"/>
              </w:rPr>
            </w:pPr>
          </w:p>
        </w:tc>
        <w:tc>
          <w:tcPr>
            <w:tcW w:w="19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61"/>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479,640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479,640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94"/>
        <w:spacing w:after="0"/>
        <w:tabs>
          <w:tab w:leader="none" w:pos="7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2024, the Company’s board of directors authorized a stock repurchase program of the Company’s outstanding common stock for up to $5 million of the Company’s common stock (the “Repurchase Program”). Under the Repurchase Program, the Company may make repurchases, from time to time, through open market purchases, block trades, in privately negotiated transactions, accelerated stock repurchase transactions, or by other means.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Repurchase Program does not obligate the Company to repurchase any specific amount of common stock, has no time limit, and may be modified, suspended, or discontinued at any time without notice at the discretion of the Board of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graph and table illustrate the total return from July 21, 2021 through December 31, 2024 for (i) our common stock, (ii) the Nasdaq Composite Index, and (iii) the Nasdaq Computer &amp; Data Processing Index. The graph and the table assume that $100 was invested on July 21, 2021 in each of our common stock, the Nasdaq Composite Index, and the Nasdaq Computer &amp; Data Processing Index, and that any dividends were reinvested.</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graph uses the closing market price on July 21, 2021 of $12.00 per share as the initial value of our common stock. The stock price performance of the following graph is not necessarily indicative of future stock price performance.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88900</wp:posOffset>
            </wp:positionV>
            <wp:extent cx="5443220" cy="2991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4322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184"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On July 23, 2021, we completed our IPO, in which we issued and sold 15,000,000 shares of our common stock at a price to the public of $10.00 per share. On August 6, 2021, we issued and sold an additional 2,250,000 shares of our common stock at a price of $10.00 per share in connection with the underwriters’ exercise in full of their option to purchase additional shares of our common stock. All shares sold were registered pursuant to a registration statement on Form S-1 (File No. 333- 253699), as amended (the “Registration Statement”), declared effective by the SEC on July 20, 2021. We used $22.5 million of our net proceeds from the IPO to repay the outstanding principal balance under our Revolving Credit Facility. Such payment was not made directly or indirectly to (i) any of our officers or directors or their associates, (ii) any persons owning 10% or more of any class of our equity securities or</w:t>
      </w:r>
    </w:p>
    <w:p>
      <w:pPr>
        <w:spacing w:after="0" w:line="5" w:lineRule="exact"/>
        <w:rPr>
          <w:sz w:val="20"/>
          <w:szCs w:val="20"/>
          <w:color w:val="auto"/>
        </w:rPr>
      </w:pPr>
    </w:p>
    <w:p>
      <w:pPr>
        <w:ind w:firstLine="8"/>
        <w:spacing w:after="0" w:line="260"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Other than the foregoing, there has been no material change in the expected use of the net proceeds from our IPO as described in the Prospectus.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8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other parts of this Annual Report on Form 10-K.</w:t>
      </w:r>
    </w:p>
    <w:p>
      <w:pPr>
        <w:spacing w:after="0" w:line="1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of our Annual Report on Form 10-K discusses our financial condition and results of operations for the fiscal years ended December 31, 2024 and 2023, and year-to-year comparisons between fiscal 2024 and fiscal 2023. A discussion of our financial condition and results of operations for the fiscal year ended December 31, 2022 and year-to-year comparisons between fiscal 2023 and fiscal 2022 can be found in “Management’s Discussion and Analysis of Financial Condition and Results of Operations” in Part II, Item 7 of our Annual Report on Form 10-K for the fiscal year ended December 31, 2023, filed on February 22,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Kaltura, Inc. (“Kaltura,” “we,” “us,” or “our”), a market-leading provider of live, real-time, and on-demand video offerings for enterprises, with a mission to “create and power AI-infused hyper-personalized video experiences for organizations, that boost customer and employee engagement and success”.</w:t>
      </w:r>
    </w:p>
    <w:p>
      <w:pPr>
        <w:spacing w:after="0" w:line="358"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Founded in 2006, we pioneered the concept of leveraging video as a core data type within organizational workflows. Today, our Video Experience Cloud includes our platforms for Enterprise Video Content Management System (including Real-Time Conferencing, Live Streaming and Lecture Capture) and TV Content Management System. These platforms power our AI-infused, video-first products: Video Portals, LMS &amp; CMS Video Extensions, Virtual Events &amp; Webinars, Virtual Classroom, and TV Streaming Applications.</w:t>
      </w:r>
    </w:p>
    <w:p>
      <w:pPr>
        <w:spacing w:after="0" w:line="12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As video usage continues to accelerate across communication, work, and learning environments, organizations are increasingly deploying sophisticated video solutions to further engage with their customers, partners, and employees. The introduction of generative AI (“Gen AI”) further amplifies this demand and is expected to have a substantial impact on our business by enabling the automatic production of hyper-personalized and contextually relevant video experiences in real time. We believe this powerful new tool will expand opportunities for increased video creation, consumption, and monetization, and drives a need for advanced video content management solutions.</w:t>
      </w:r>
    </w:p>
    <w:p>
      <w:pPr>
        <w:spacing w:after="0" w:line="1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the sale of Software-as-a-Service (“SaaS”) subscriptions, and we also derive revenue from platform usage license subscriptions and associated professional services. Our sales typically target medium to large enterprises, educational institutions, technology providers, and media and telecom companies. Our professional services revenue is generally driven by implementation and support services for new and existing customers.</w:t>
      </w:r>
    </w:p>
    <w:p>
      <w:pPr>
        <w:spacing w:after="0" w:line="12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organize our business into two reporting segments: (i) Enterprise, Education, and Technology (“EE&amp;T”); and (ii) Media and Telecom (“M&amp;T”). Accordingly, our financial reporting distinguishes between revenue and gross profit from Subscription and Professional Services from customers who use our products and services to address Entertainment &amp; Monetization use cases, reported in our M&amp;T segment, and those that are attained from customers who are using us to address all other use cases, reported in our “EE&amp;T segment“. These segments share a common underlying platform consisting of our API-based architecture, as well as unified product development, operations, and administrative resources.</w:t>
      </w:r>
    </w:p>
    <w:p>
      <w:pPr>
        <w:spacing w:after="0" w:line="89" w:lineRule="exact"/>
        <w:rPr>
          <w:sz w:val="20"/>
          <w:szCs w:val="20"/>
          <w:color w:val="auto"/>
        </w:rPr>
      </w:pPr>
    </w:p>
    <w:p>
      <w:pPr>
        <w:jc w:val="both"/>
        <w:ind w:left="660" w:hanging="328"/>
        <w:spacing w:after="0" w:line="228" w:lineRule="exact"/>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Education and Technology (“EE&amp;T”): </w:t>
      </w:r>
      <w:r>
        <w:rPr>
          <w:rFonts w:ascii="Times New Roman" w:cs="Times New Roman" w:eastAsia="Times New Roman" w:hAnsi="Times New Roman"/>
          <w:sz w:val="18"/>
          <w:szCs w:val="18"/>
          <w:color w:val="auto"/>
        </w:rPr>
        <w:t>In the EE&amp;T segment, subscription revenue is primarily generated on a per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or platform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basis for all of our products, in addition to revenue derived from associated professional services. This segment encompasses customers utilizing Kaltura’s solutions across Customer Experience and Employee Experience and use cases - including Marketing, Sales &amp; Customer Success; Teaching, Learning, Training &amp; Certification; and Communication &amp; Collaboration. Contracts in this segment typically range from 12 to 24 months, with billing generally executed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60" w:hanging="328"/>
        <w:spacing w:after="0" w:line="222" w:lineRule="exact"/>
        <w:tabs>
          <w:tab w:leader="none" w:pos="655"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Media &amp; Telecom (“M&amp;T”): </w:t>
      </w:r>
      <w:r>
        <w:rPr>
          <w:rFonts w:ascii="Times New Roman" w:cs="Times New Roman" w:eastAsia="Times New Roman" w:hAnsi="Times New Roman"/>
          <w:sz w:val="18"/>
          <w:szCs w:val="18"/>
          <w:color w:val="auto"/>
        </w:rPr>
        <w:t>The M&amp;T segment includes revenue from our Entertainment &amp; Monetization use cases, along with the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For customers of our telecom TV Content Management System (TVCMS) and TV Streaming Applications, revenue is recognized primarily on a per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subscriber basis, while media customers leveraging our Online Video Platform (OVP) are billed on a platform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basis. Contracts in this segment generally extend for two to five years, with billing performed on either a quarterly or annual basis. Implementation of TV offerings typically requires six to 12 months, with upfront resource requirements generally higher than those for our other offerings. Consequently, there is an extended period from initial booking to go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 accompanied by a higher proportion of professional services revenue relative to overall revenue. Additionally, a greater share of revenue in this segment is derived from customers licensing our offerings through private cloud and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 deployments, which has an impact on our gross margin.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Reflected below is a summary of reportable segment revenue and reportable segment gross profit for the years ended December 31, 2024,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58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8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120,190</w:t>
            </w:r>
          </w:p>
        </w:tc>
      </w:tr>
      <w:tr>
        <w:trPr>
          <w:trHeight w:val="22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&amp; Telecom</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48,621</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168,811</w:t>
            </w: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83,812</w:t>
            </w:r>
          </w:p>
        </w:tc>
      </w:tr>
      <w:tr>
        <w:trPr>
          <w:trHeight w:val="22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&amp; Telecom</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w:t>
            </w:r>
          </w:p>
        </w:tc>
      </w:tr>
      <w:tr>
        <w:trPr>
          <w:trHeight w:val="22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106,940</w:t>
            </w:r>
          </w:p>
        </w:tc>
      </w:tr>
    </w:tbl>
    <w:p>
      <w:pPr>
        <w:spacing w:after="0" w:line="23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employ a “land and expand” strategy with the aim of having our customers increase their usage of our offerings and/or purchase additional offerings over time. For the years ended December 31, 2024 and 2023, our Net Dollar Retention Rate was 100% and 101%, respectively. We also grew our Annualized Recurring Revenue (as defined below), by 6% in the year ended December 31, 2024, compared to the year ended December 31, 2023, demonstrating our ability to land new customers with higher spending levels and increase revenue from our existing customers.</w:t>
      </w:r>
    </w:p>
    <w:p>
      <w:pPr>
        <w:spacing w:after="0" w:line="12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For any given year, a large majority of our revenue comes from existing customers, with whom we are in active dialogue and tend to have visibility into their expected usage of our offerings.</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part of our go-to-market strategy, we focus on direct sales to larger enterprise, education, and media &amp; telecom customers while also investing in channel partnerships, and in 'inside sales' for smaller customers. We believe ongoing demand for secure, scalable, and deeply integrated video solutions— further amplified by the rise of Gen AI—positions us for future growth. Our strategy remains centered on broadening our product suite, expanding our customer base across industries, and increasing recurring revenue from existing clients.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Platform</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believe our platform is ideally suited for expansion across solutions, industries, and use cases. For example, in 2020, we entered the real-time conferencing market with the introduction of our Virtual and Hybrid Events, Webinars, and Online Learning products, focusing on learning, training, events, and marketing. Since then, we expanded the capabilities of our Virtual &amp; Hybrid Events product to support a broader range of event types and use cases, fitted them to also address low-touch and self-serve sales and introduced a set of Gen AI-powered capabilities designed to increase productivity in creating content and setting up events and to foster user engagement. We plan to continue enhancing our platform’s capabilities—including by further integrating Gen AI features that enable automatic video creation, advanced personalization, and real-time analytics. Our robust API-first architecture supports deep integration into multiple workflows, which we believe is critical for driving adoption and delivering enhanced value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remain focused on acquiring customers across our key verticals (technology, education, regulated industries, professional and commercial services, and media &amp; telecom). Our approach includes direct enterprise sales for larger customers, as well as channel partnerships and more self-serve or inside sales–led motions to capture small and medium enterprises (“SMEs”). We believe that increasing brand awareness and continued product innovation will help us attract new customers across geographies and industries. We also continue to provide our self-serve offering that can be purchased completely online, which also serves as a demand generation engine for our low-touch and enterprise offerings. We believe this will enable us to efficiently acquire smaller customers across all industries over time – expanding beyond enterprises into SMEs, beyond universities into K-12 schools, beyond tier 1 media and telecom companies to tier 2 and 3 media and telecom companies, and beyond providing Media Services to large technology companies to also addressing smaller technology firms and startups.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Revenue from Existing Customers</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Many of our customers run multiple Kaltura products for various use cases, ranging from employee training and collaboration to external marketing and virtual events. By cross-selling and upselling additional solutions—such as our newly introduced Gen AI-powered capabilities and expanded application suites—we aim to drive higher usage and expand overall revenue. Sustained customer adoption and usage growth are also supported by strong integration, ongoing support, and a commitment to evolving security and compliance requirements. We are focused on increasing sales within our existing customer base through increased usage of our platform and the cross-selling of additional products and solutions. For the year ended December 31, 2024, our Net Dollar Retention Rate was 100%. In order for us to increase revenue within our customer base, we will need to maintain engineering-level customer support and continue to introduce new products and features as well as innovative new use cases that are tailored to our customers'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Growth</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Although we have invested significantly in our business to date, we believe that we still have a significant market opportunity ahead of us. We intend to continue to make investments to support the growth and expansion of our business and to increase revenue. We believe there is a significant opportunity to continue our growth. We expect that our cost of revenue and operating expenses will fluctuate.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and Operating Metrics</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420" w:type="dxa"/>
            <w:vAlign w:val="bottom"/>
            <w:tcBorders>
              <w:bottom w:val="single" w:sz="8" w:color="auto"/>
            </w:tcBorders>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7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1420" w:type="dxa"/>
            <w:vAlign w:val="bottom"/>
            <w:tcBorders>
              <w:bottom w:val="single" w:sz="8" w:color="auto"/>
            </w:tcBorders>
          </w:tcPr>
          <w:p>
            <w:pPr>
              <w:spacing w:after="0"/>
              <w:rPr>
                <w:sz w:val="19"/>
                <w:szCs w:val="19"/>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Recurring Revenue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5"/>
              </w:rPr>
              <w:t>173,900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164,723</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159,238</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Dollar Retention Rate</w:t>
            </w:r>
          </w:p>
        </w:tc>
        <w:tc>
          <w:tcPr>
            <w:tcW w:w="1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tcPr>
          <w:p>
            <w:pPr>
              <w:spacing w:after="0"/>
              <w:rPr>
                <w:sz w:val="19"/>
                <w:szCs w:val="19"/>
                <w:color w:val="auto"/>
              </w:rPr>
            </w:pPr>
          </w:p>
        </w:tc>
        <w:tc>
          <w:tcPr>
            <w:tcW w:w="14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3"/>
                <w:szCs w:val="23"/>
                <w:color w:val="auto"/>
                <w:vertAlign w:val="superscript"/>
              </w:rPr>
              <w:t>(a)</w:t>
            </w:r>
          </w:p>
        </w:tc>
        <w:tc>
          <w:tcPr>
            <w:tcW w:w="6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5"/>
              </w:rPr>
              <w:t>203,379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185,305</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171,660</w:t>
            </w:r>
          </w:p>
        </w:tc>
      </w:tr>
    </w:tbl>
    <w:p>
      <w:pPr>
        <w:spacing w:after="0" w:line="211" w:lineRule="exact"/>
        <w:rPr>
          <w:sz w:val="20"/>
          <w:szCs w:val="20"/>
          <w:color w:val="auto"/>
        </w:rPr>
      </w:pPr>
    </w:p>
    <w:p>
      <w:pPr>
        <w:jc w:val="both"/>
        <w:ind w:left="820" w:right="100" w:hanging="488"/>
        <w:spacing w:after="0" w:line="250" w:lineRule="auto"/>
        <w:tabs>
          <w:tab w:leader="none" w:pos="81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Dollar Retention Rate for the year ended December 31, 2023 has been recast to reflect the update to our customer count methodology, as discussed further below, which has resulted in an adjustment of 1 percentage point to the reported Net Dollar Retention Rate for such period. The Net Dollar Retention Rate for the year ended December 31, 2022 was not impacted by this update.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components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 Recurring revenue excludes revenue from one-time professional services and setup fees. ARR is not adjusted for the impact of any known or projected future customer cancellations, upgrades or downgrades, or price increases or decreases.</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foreign exchange rate fluctuations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Net Dollar Retention Rate, which we use to measure our success in retaining and growing 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w:t>
      </w:r>
    </w:p>
    <w:p>
      <w:pPr>
        <w:spacing w:after="0" w:line="13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As previously disclosed, in 2024 we updated our customer count methodology, which is used to calculate our Net Dollar Retention Rate, to treat subdivisions of the same legal entity (for example, divisions of a parent company or separate campuses that are part of the same state university system), as well as Value-add Resellers (“VARs”) (meaning resellers that directly manage the relationship with the customer) and the customers they manage, to be a single customer.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December 31, 2024, our Remaining Performance Obligations was $203.4 million, which consists of both billed consideration in the amount of $63.2 million and unbilled consideration in the amount of $140.2 million that we expect to invoice and recognize in future periods. We expect to recognize 58% of our Remaining Performance Obligations as revenue over the next 12 months and the remainder over the next four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84"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EBITDA and Adjusted EBITDA, non-GAAP financial measures, are useful in evaluating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define EBITDA as net profit (loss) before interest expense, net, provision for income taxes and depreciation and amortization expenses. Adjusted EBITDA is defined as EBITDA (as defined above), adjusted for the impact of certain non-cash and other items that we believe are not indicative of our core operating performance, such as non-cash stock-based compensation expenses, facility exit and transition costs, restructuring charges, other non-recurring operating expenses and costs related to conflicts in Israel.</w:t>
      </w:r>
    </w:p>
    <w:p>
      <w:pPr>
        <w:spacing w:after="0" w:line="12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EBITDA and Adjusted EBITDA are supplemental measures of our performance, are not defined by or presented in accordance with GAAP, and should not be considered in isolation or as an alternative to net profit (loss) or any other performance measure prepared in accordance with GAAP. EBITDA and Adjusted EBITDA are presented because we believe that they provide useful supplemental information to investors and analysts regarding our operating performance and are frequently used by these parties in evaluating companies in our industry. By presenting EBITDA and Adjusted EBITDA,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as a supplemental measure of our performance because it assists us in comparing the operating performance of our business on a consistent basis between periods, as described above.</w:t>
      </w:r>
    </w:p>
    <w:p>
      <w:pPr>
        <w:spacing w:after="0" w:line="13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Although we use EBITDA and Adjusted EBITDA, as described above, EBITDA and Adjusted EBITDA, have significant limitations as analytical tools. Some of these limitations include:</w:t>
      </w:r>
    </w:p>
    <w:p>
      <w:pPr>
        <w:spacing w:after="0" w:line="108"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cash expenditures, or future requirements for capital expenditures or contractual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changes in, or cash requirements for, our working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the interest expense, or the cash requirements necessary to service interest or principal payments on our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tax expense or the cash requirements to pay our taxes;</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thereby further limiting their usefulness as comparative measures.</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Due to these limitations, EBITDA and Adjusted EBITDA should not be considered as measures of discretionary cash available to us to invest in the growth of our business. We compensate for these limitations by relying primarily on our GAAP results and using these non-GAAP measures only supplementally. Adjusted EBITDA includes an adjustment for non-cash stock-based compensation expenses.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above help to provide management with a measure of our core operating performance over time by removing items that are not related to day-to-day operations. Nevertheless, because of the limitations described above, management does not view EBITDA, or Adjusted EBITDA in isolation and also uses other measures, such as revenue, operating loss, and net loss, to measure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financial performance measure, which is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56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(68,495)</w:t>
            </w: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Financial expenses (income), net </w:t>
            </w:r>
            <w:r>
              <w:rPr>
                <w:rFonts w:ascii="Times New Roman" w:cs="Times New Roman" w:eastAsia="Times New Roman" w:hAnsi="Times New Roman"/>
                <w:sz w:val="23"/>
                <w:szCs w:val="23"/>
                <w:color w:val="auto"/>
                <w:vertAlign w:val="superscript"/>
              </w:rPr>
              <w:t>(a)</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(53,672)</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23,645</w:t>
            </w: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Facility exit and transition costs </w:t>
            </w:r>
            <w:r>
              <w:rPr>
                <w:rFonts w:ascii="Times New Roman" w:cs="Times New Roman" w:eastAsia="Times New Roman" w:hAnsi="Times New Roman"/>
                <w:sz w:val="23"/>
                <w:szCs w:val="23"/>
                <w:color w:val="auto"/>
                <w:vertAlign w:val="superscript"/>
              </w:rPr>
              <w:t>(b)</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1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 related costs </w:t>
            </w:r>
            <w:r>
              <w:rPr>
                <w:rFonts w:ascii="Times New Roman" w:cs="Times New Roman" w:eastAsia="Times New Roman" w:hAnsi="Times New Roman"/>
                <w:sz w:val="23"/>
                <w:szCs w:val="23"/>
                <w:color w:val="auto"/>
                <w:vertAlign w:val="superscript"/>
              </w:rPr>
              <w:t>(d)</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r>
      <w:tr>
        <w:trPr>
          <w:trHeight w:val="21"/>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820" w:right="120" w:hanging="488"/>
        <w:spacing w:after="0" w:line="288" w:lineRule="auto"/>
        <w:tabs>
          <w:tab w:leader="none" w:pos="8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2024, 2023 and 2022 includes $2.7 million, $3.2 million and $2.3 million, respectively, of interest expenses ,and $3.4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$2.7 million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8"/>
          <w:szCs w:val="18"/>
          <w:color w:val="auto"/>
        </w:rPr>
        <w:t xml:space="preserve"> $1.0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respectively, of interest income.</w:t>
      </w:r>
    </w:p>
    <w:p>
      <w:pPr>
        <w:spacing w:after="0" w:line="96" w:lineRule="exact"/>
        <w:rPr>
          <w:rFonts w:ascii="Times New Roman" w:cs="Times New Roman" w:eastAsia="Times New Roman" w:hAnsi="Times New Roman"/>
          <w:sz w:val="18"/>
          <w:szCs w:val="18"/>
          <w:color w:val="auto"/>
        </w:rPr>
      </w:pPr>
    </w:p>
    <w:p>
      <w:pPr>
        <w:ind w:left="820" w:right="340" w:hanging="488"/>
        <w:spacing w:after="0" w:line="282" w:lineRule="auto"/>
        <w:tabs>
          <w:tab w:leader="none" w:pos="8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exit and transition costs for the years ended December 31, 2023 and December 31, 2022 include losses from sale of fixed assets and other costs associated with moving to our temporary office in Israel.</w:t>
      </w:r>
    </w:p>
    <w:p>
      <w:pPr>
        <w:spacing w:after="0" w:line="188" w:lineRule="exact"/>
        <w:rPr>
          <w:rFonts w:ascii="Times New Roman" w:cs="Times New Roman" w:eastAsia="Times New Roman" w:hAnsi="Times New Roman"/>
          <w:sz w:val="18"/>
          <w:szCs w:val="18"/>
          <w:color w:val="auto"/>
        </w:rPr>
      </w:pPr>
    </w:p>
    <w:p>
      <w:pPr>
        <w:ind w:left="820" w:right="160" w:hanging="488"/>
        <w:spacing w:after="0" w:line="282" w:lineRule="auto"/>
        <w:tabs>
          <w:tab w:leader="none" w:pos="8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2023, includes employee termination benefits incurred in connection with the 2023 Reorganization Plan and the year ended December 31, 2022 includes employee termination benefits incurred in connection with the 2022 Restructuring Plan.</w:t>
      </w:r>
    </w:p>
    <w:p>
      <w:pPr>
        <w:spacing w:after="0" w:line="188" w:lineRule="exact"/>
        <w:rPr>
          <w:rFonts w:ascii="Times New Roman" w:cs="Times New Roman" w:eastAsia="Times New Roman" w:hAnsi="Times New Roman"/>
          <w:sz w:val="18"/>
          <w:szCs w:val="18"/>
          <w:color w:val="auto"/>
        </w:rPr>
      </w:pPr>
    </w:p>
    <w:p>
      <w:pPr>
        <w:jc w:val="both"/>
        <w:ind w:left="820" w:right="20" w:hanging="488"/>
        <w:spacing w:after="0" w:line="266" w:lineRule="auto"/>
        <w:tabs>
          <w:tab w:leader="none" w:pos="8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2024 and 2023 include costs related to conflicts in Israel. These costs are attributable to the temporary relocation of key employees from Israel for business continuity purposes, the purchase of emergency equipment for key employees, charitable donations to communities directly impacted by the war, and office fixes and modifications.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w:t>
      </w:r>
    </w:p>
    <w:p>
      <w:pPr>
        <w:spacing w:after="0" w:line="6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term license to software installed on the customer's premises.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(“PCS”) included in On-Prem deals is recognized ratably over the period of the PCS.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6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of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Cost of subscription revenue consists primarily of employee-related costs including payroll, benefits and stock-based compensation expense for operations and customer support teams, costs of cloud hosting providers and other third-party service providers, amortization of capitalized software development costs and acquired technology and allocated overhead costs.</w:t>
      </w:r>
    </w:p>
    <w:p>
      <w:pPr>
        <w:spacing w:after="0" w:line="12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Cost of professional services consists primarily of personnel costs of our professional services organization, including payroll, benefits, and stock-based compensation expense, allocated overhead costs and other third-party service providers.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Cost of revenue decreased in absolute dollars from the year ended December 31, 2023 to the year ended December 31, 2024. For the years ended December 31, 2024 and 2023, our cost of revenue was $59,611 and $62,938,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Gross margin has improved year-over-year since 2020, and while it has and will continue to vacillate between quarters, we expect it to continue the growth trend in the coming years. Gross margins have been, and will continue to be, affected by a variety of factors, including the average sales price of our products and services, volume growth, the mix of revenue between software licenses, maintenance and support, professional services, onboarding of new media and telecom customers, hosting of major virtual events, and changes in cloud infrastructure and personnel costs. In particular, the gross margins in the M&amp;T segment are lower than in the EE&amp;T segment because of resources required for implementing solutions for TV experiences, which generally exceed those of other offerings. This results in a longer period for M&amp;T from initial booking to go-live and a higher proportion of professional services revenue as a percentage of overall revenue. Additionally, a higher proportion of M&amp;T revenue comes from customers who choose to license our offerings through private cloud and on-premise deployments, which also impacts our M&amp;T gross margin. Going forward, we expect to see a gradual improvement in gross margins for both EE&amp;T and M&amp;T, driven by enhanced efficiencies in both production and professional services costs.</w:t>
      </w:r>
    </w:p>
    <w:p>
      <w:pPr>
        <w:spacing w:after="0" w:line="13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our gross margins were 67% (75% for subscription and (55)% for professional services), 64% (73% for subscription and (51)% for professional services) and 63% (74% for subscription and (33)% for professional services), respectively.</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For our EE&amp;T segment, gross margins for the years ended December 31, 2024, 2023 and 2022 were 75% (82% for subscription and (97)% for professional services), 73% (79% for subscription and (78)% for professional services) and 70% (78% for subscription and (63)% for professional services), respectively.</w:t>
      </w:r>
    </w:p>
    <w:p>
      <w:pPr>
        <w:spacing w:after="0" w:line="12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For our M&amp;T segment, gross margins for the years ended December 31, 2024, 2023 and 2022 were 44% (55% for subscription and (25)% for professional services), 41% (55% for subscription and (35)% for professional services) and 48% (63% for subscription and (13)% for professional services),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and software subscriptions. We expect our research and development expenses to gradually decrease as a percentage of revenue.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consist primarily of personnel related costs for our sales and marketing functions, including salaries and other direct personnel-related costs, such as sales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Additional expenses include marketing program costs and amortization of acquired customer relationships intangible assets. We expect our sales and marketing expenses to be relatively stable as a percentage of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costs for our executive, finance, human resources, information technology, and legal functions, including salaries and other direct personnel-related costs. We expect our general and administrative expenses to gradually decrease as a percentage of revenue.</w:t>
      </w:r>
    </w:p>
    <w:p>
      <w:pPr>
        <w:spacing w:after="0" w:line="122" w:lineRule="exact"/>
        <w:rPr>
          <w:sz w:val="20"/>
          <w:szCs w:val="20"/>
          <w:color w:val="auto"/>
        </w:rPr>
      </w:pPr>
    </w:p>
    <w:p>
      <w:pPr>
        <w:ind w:right="340" w:firstLine="441"/>
        <w:spacing w:after="0" w:line="406" w:lineRule="auto"/>
        <w:rPr>
          <w:sz w:val="20"/>
          <w:szCs w:val="20"/>
          <w:color w:val="auto"/>
        </w:rPr>
      </w:pPr>
      <w:r>
        <w:rPr>
          <w:rFonts w:ascii="Times New Roman" w:cs="Times New Roman" w:eastAsia="Times New Roman" w:hAnsi="Times New Roman"/>
          <w:sz w:val="18"/>
          <w:szCs w:val="18"/>
          <w:color w:val="auto"/>
        </w:rPr>
        <w:t xml:space="preserve">We allocate overhead costs such as rent, utilities, and supplies to all departments based on relative headcount to each operating expense category. </w:t>
      </w:r>
      <w:r>
        <w:rPr>
          <w:rFonts w:ascii="Times New Roman" w:cs="Times New Roman" w:eastAsia="Times New Roman" w:hAnsi="Times New Roman"/>
          <w:sz w:val="18"/>
          <w:szCs w:val="18"/>
          <w:b w:val="1"/>
          <w:bCs w:val="1"/>
          <w:i w:val="1"/>
          <w:iCs w:val="1"/>
          <w:color w:val="auto"/>
        </w:rPr>
        <w:t>Financial Expenses (Income), Net</w:t>
      </w:r>
    </w:p>
    <w:p>
      <w:pPr>
        <w:spacing w:after="0" w:line="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Financial expenses (income), net consists of interest expense accrued or paid on our indebtedness, net of interest income earned on our cash balances and marketable securities. Financial expenses (income), net also includes foreign exchange gains and losses and bank fees.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interest expenses to vary each reporting period depending on the amount of outstanding indebtedness and prevailing interest rates.</w:t>
      </w:r>
    </w:p>
    <w:p>
      <w:pPr>
        <w:spacing w:after="0" w:line="17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expect interest income will vary in each reporting period depending on our average cash and marketable securities balances during the period and applicable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presented. The period-to-period comparisons of our historical results are not necessarily indicative of the results that may be expected in the future.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2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2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5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Education &amp;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Media &amp; Telecom</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currently manage and report operating results through two reportable segments.</w:t>
      </w:r>
    </w:p>
    <w:p>
      <w:pPr>
        <w:spacing w:after="0" w:line="181" w:lineRule="exact"/>
        <w:rPr>
          <w:sz w:val="20"/>
          <w:szCs w:val="20"/>
          <w:color w:val="auto"/>
        </w:rPr>
      </w:pPr>
    </w:p>
    <w:p>
      <w:pPr>
        <w:jc w:val="both"/>
        <w:ind w:left="660" w:hanging="328"/>
        <w:spacing w:after="0" w:line="261" w:lineRule="auto"/>
        <w:tabs>
          <w:tab w:leader="none" w:pos="648" w:val="left"/>
        </w:tabs>
        <w:numPr>
          <w:ilvl w:val="0"/>
          <w:numId w:val="6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b w:val="1"/>
          <w:bCs w:val="1"/>
          <w:color w:val="auto"/>
        </w:rPr>
        <w:t xml:space="preserve">Enterprise, Education &amp; Technology </w:t>
      </w:r>
      <w:r>
        <w:rPr>
          <w:rFonts w:ascii="Times New Roman" w:cs="Times New Roman" w:eastAsia="Times New Roman" w:hAnsi="Times New Roman"/>
          <w:sz w:val="18"/>
          <w:szCs w:val="18"/>
          <w:color w:val="auto"/>
        </w:rPr>
        <w:t>(72% and 71% of revenue for the year ended December 31, 2024 and 2023, respectively): Our EE&amp;T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represents revenues from all of our products, industry solutions for education customers, and Media Services (except for M&amp;T customers), as well as associated professional services for those offerings.</w:t>
      </w:r>
    </w:p>
    <w:p>
      <w:pPr>
        <w:spacing w:after="0" w:line="136" w:lineRule="exact"/>
        <w:rPr>
          <w:rFonts w:ascii="Times New Roman" w:cs="Times New Roman" w:eastAsia="Times New Roman" w:hAnsi="Times New Roman"/>
          <w:sz w:val="20"/>
          <w:szCs w:val="20"/>
          <w:b w:val="1"/>
          <w:bCs w:val="1"/>
          <w:i w:val="1"/>
          <w:iCs w:val="1"/>
          <w:color w:val="auto"/>
        </w:rPr>
      </w:pPr>
    </w:p>
    <w:p>
      <w:pPr>
        <w:ind w:left="660" w:hanging="328"/>
        <w:spacing w:after="0" w:line="260" w:lineRule="auto"/>
        <w:tabs>
          <w:tab w:leader="none" w:pos="648" w:val="left"/>
        </w:tabs>
        <w:numPr>
          <w:ilvl w:val="0"/>
          <w:numId w:val="6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b w:val="1"/>
          <w:bCs w:val="1"/>
          <w:color w:val="auto"/>
        </w:rPr>
        <w:t xml:space="preserve">Media &amp; Telecom </w:t>
      </w:r>
      <w:r>
        <w:rPr>
          <w:rFonts w:ascii="Times New Roman" w:cs="Times New Roman" w:eastAsia="Times New Roman" w:hAnsi="Times New Roman"/>
          <w:sz w:val="18"/>
          <w:szCs w:val="18"/>
          <w:color w:val="auto"/>
        </w:rPr>
        <w:t>(28% and 29% of revenue for the year ended December 31, 2024 and 2023, respectively): Our M&amp;T segment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revenues from our TV Solution and Media Services sold to media and telecom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Education &amp; Technology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our EE&amp;T segment revenue and gross profit (loss) for the years indicated:</w:t>
      </w:r>
    </w:p>
    <w:p>
      <w:pPr>
        <w:spacing w:after="0" w:line="200" w:lineRule="exact"/>
        <w:rPr>
          <w:sz w:val="20"/>
          <w:szCs w:val="20"/>
          <w:color w:val="auto"/>
        </w:rPr>
      </w:pPr>
    </w:p>
    <w:p>
      <w:pPr>
        <w:spacing w:after="0" w:line="359"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1"/>
                <w:szCs w:val="21"/>
                <w:color w:val="auto"/>
              </w:rPr>
            </w:pPr>
          </w:p>
        </w:tc>
        <w:tc>
          <w:tcPr>
            <w:tcW w:w="2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29"/>
        </w:trPr>
        <w:tc>
          <w:tcPr>
            <w:tcW w:w="5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3"/>
        </w:trPr>
        <w:tc>
          <w:tcPr>
            <w:tcW w:w="5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160" w:type="dxa"/>
            <w:vAlign w:val="bottom"/>
            <w:tcBorders>
              <w:bottom w:val="single" w:sz="8" w:color="auto"/>
            </w:tcBorders>
          </w:tcPr>
          <w:p>
            <w:pPr>
              <w:spacing w:after="0"/>
              <w:rPr>
                <w:sz w:val="19"/>
                <w:szCs w:val="19"/>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Education &amp; Technology revenue: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124,215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3,615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Enterprise, Education &amp; Technology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128,704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3,550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0"/>
        </w:trPr>
        <w:tc>
          <w:tcPr>
            <w:tcW w:w="5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Enterprise, Education &amp; Technology gross profit (loss):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101,284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6,116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5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(812)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Enterprise, Education &amp; Technology 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5,304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Education &amp; Technology Revenue</w:t>
      </w:r>
    </w:p>
    <w:p>
      <w:pPr>
        <w:spacing w:after="0" w:line="6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Total EE&amp;T revenue increased by $3.6 million , or 3%, to $128.7 million for the year ended December 31, 2024, from $125.2 million for the year ended December 31, 2023. The increase is mainly attributable to a $2.1 million increase in revenue from new customers, and a $1.5 million increase from existing customers.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EE&amp;T subscription revenue increased by $3.6 million, or 3%, to $124.2 million for the year ended December 31, 2024, from $120.6 million for the year ended December 31, 2023.</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EE&amp;T professional services revenue decreased by $0.1 million, or 1%, to $4.5 million for the year ended December 31, 2024, from $4.6 million for the year ended December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Education &amp; Technology Gross Profit</w:t>
      </w:r>
    </w:p>
    <w:p>
      <w:pPr>
        <w:spacing w:after="0" w:line="6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EE&amp;T gross profit increased by $5.3 million, or 6%, to $96.9 million for the year ended December 31, 2024, from $91.6 million for the year ended December 31, 2023. This increase was mainly due to a $3.6 million increase in revenue, and reduction in production costs, which is a result of improved efficiency.</w:t>
      </w:r>
    </w:p>
    <w:p>
      <w:pPr>
        <w:spacing w:after="0" w:line="12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EE&amp;T subscription gross profit increased by $6.1 million, or 6%, to $101.3 million for the year ended December 31, 2024, from $95.2 million for the year ended December 31, 2023.</w:t>
      </w:r>
    </w:p>
    <w:p>
      <w:pPr>
        <w:spacing w:after="0" w:line="108" w:lineRule="exact"/>
        <w:rPr>
          <w:sz w:val="20"/>
          <w:szCs w:val="20"/>
          <w:color w:val="auto"/>
        </w:rPr>
      </w:pPr>
    </w:p>
    <w:p>
      <w:pPr>
        <w:jc w:val="both"/>
        <w:ind w:firstLine="441"/>
        <w:spacing w:after="0" w:line="288" w:lineRule="auto"/>
        <w:rPr>
          <w:sz w:val="20"/>
          <w:szCs w:val="20"/>
          <w:color w:val="auto"/>
        </w:rPr>
      </w:pPr>
      <w:r>
        <w:rPr>
          <w:rFonts w:ascii="Times New Roman" w:cs="Times New Roman" w:eastAsia="Times New Roman" w:hAnsi="Times New Roman"/>
          <w:sz w:val="18"/>
          <w:szCs w:val="18"/>
          <w:color w:val="auto"/>
        </w:rPr>
        <w:t>EE&amp;T professional services gross loss increased by $0.8 million, or 23%, to $4.4 million for the year ended December 31, 2024, from a gross loss of $3.5 million for the year ended December 31, 2023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&amp; Telecom</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73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The following table presents our M&amp;T segment revenue and gross profit for the periods indicated:</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26"/>
        </w:trPr>
        <w:tc>
          <w:tcPr>
            <w:tcW w:w="4280" w:type="dxa"/>
            <w:vAlign w:val="bottom"/>
          </w:tcPr>
          <w:p>
            <w:pPr>
              <w:spacing w:after="0"/>
              <w:rPr>
                <w:sz w:val="24"/>
                <w:szCs w:val="24"/>
                <w:color w:val="auto"/>
              </w:rPr>
            </w:pPr>
          </w:p>
        </w:tc>
        <w:tc>
          <w:tcPr>
            <w:tcW w:w="30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25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29"/>
        </w:trPr>
        <w:tc>
          <w:tcPr>
            <w:tcW w:w="4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4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360" w:type="dxa"/>
            <w:vAlign w:val="bottom"/>
            <w:tcBorders>
              <w:bottom w:val="single" w:sz="8" w:color="auto"/>
            </w:tcBorders>
          </w:tcPr>
          <w:p>
            <w:pPr>
              <w:spacing w:after="0"/>
              <w:rPr>
                <w:sz w:val="19"/>
                <w:szCs w:val="19"/>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 &amp; Telecom revenue: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Subscription</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&amp; Telecom revenue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0"/>
        </w:trPr>
        <w:tc>
          <w:tcPr>
            <w:tcW w:w="4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Media &amp; Telecom gross profit (loss):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Subscription</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Professional services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Media &amp; Telecom gross profit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&amp; Telecom Revenue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M&amp;T revenue remained unchanged, totaling $50.0 million for both the year ended December 31, 2024 and the year ended December 31, 2023.</w:t>
      </w:r>
    </w:p>
    <w:p>
      <w:pPr>
        <w:spacing w:after="0" w:line="17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M&amp;T subscription revenue increased by $1.3 million, or 3%, to $43.5 million for the year ended December 31, 2024, from $42.2 million for the year ended December 31, 2023 the increase is mainly attributable to $1.3 million increase in revenue from existing customers.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M&amp;T professional services revenue decreased by $1.3 million, or 17%, to $6.5 million for the year ended December 31, 2024, from $7.9 million for the year ended December 31, 2023. The decrease is mainly attributable to the completion of setup for certain customers in the year ended December 31, 2023, for which professional services revenue was recognized at that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&amp; Telecom Gross Profit</w:t>
      </w:r>
    </w:p>
    <w:p>
      <w:pPr>
        <w:spacing w:after="0" w:line="6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M&amp;T gross profit increased by $1.6 million, or 8%, to $22.2 million for the year ended December 31, 2024, from $20.6 million for the year ended December 31, 2023. The increase is primarily driven by reduced compensation costs resulting from improved efficiency in production and operations, as well as an increase in subscription revenue, which typically carries higher gross margins.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M&amp;T subscription gross profit increased by $0.5 million, or 2%, to $23.8 million for the year ended December 31, 2024, from $23.4 million for the year ended December 31, 2023.</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M&amp;T professional services gross loss decreased by $1.1 million, or 39%, to a gross loss of $1.7 million for the year ended December 31, 2024, from a gross loss of $2.7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8"/>
        </w:trPr>
        <w:tc>
          <w:tcPr>
            <w:tcW w:w="4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25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29"/>
        </w:trPr>
        <w:tc>
          <w:tcPr>
            <w:tcW w:w="4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420" w:type="dxa"/>
            <w:vAlign w:val="bottom"/>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60" w:type="dxa"/>
            <w:vAlign w:val="bottom"/>
            <w:tcBorders>
              <w:bottom w:val="single" w:sz="8" w:color="auto"/>
            </w:tcBorders>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2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Subcontractors and consultants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20" w:type="dxa"/>
            <w:vAlign w:val="bottom"/>
          </w:tcPr>
          <w:p>
            <w:pPr>
              <w:spacing w:after="0"/>
              <w:rPr>
                <w:sz w:val="19"/>
                <w:szCs w:val="19"/>
                <w:color w:val="auto"/>
              </w:rPr>
            </w:pPr>
          </w:p>
        </w:tc>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 related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20" w:type="dxa"/>
            <w:vAlign w:val="bottom"/>
          </w:tcPr>
          <w:p>
            <w:pPr>
              <w:spacing w:after="0"/>
              <w:rPr>
                <w:sz w:val="19"/>
                <w:szCs w:val="19"/>
                <w:color w:val="auto"/>
              </w:rPr>
            </w:pPr>
          </w:p>
        </w:tc>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20" w:type="dxa"/>
            <w:vAlign w:val="bottom"/>
          </w:tcPr>
          <w:p>
            <w:pPr>
              <w:spacing w:after="0"/>
              <w:rPr>
                <w:sz w:val="19"/>
                <w:szCs w:val="19"/>
                <w:color w:val="auto"/>
              </w:rPr>
            </w:pPr>
          </w:p>
        </w:tc>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$3.0 million, or 6%, to $49.4 million for the year ended December 31, 2024, from $52.4 million for the year ended December 31, 2023. The decrease was primarily due to a $2.3 million decrease in compensation expenses which mainly related to lower headcount, and a $1.0 million decrease in IT related expenses, partially offset by a $0.4 million increase in subcontractors and consultants expenses mainly as a result of outsourcing part of the efforts related to specific projects.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7"/>
        </w:trPr>
        <w:tc>
          <w:tcPr>
            <w:tcW w:w="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25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30"/>
        </w:trPr>
        <w:tc>
          <w:tcPr>
            <w:tcW w:w="5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50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60" w:type="dxa"/>
            <w:vAlign w:val="bottom"/>
            <w:tcBorders>
              <w:bottom w:val="single" w:sz="8" w:color="auto"/>
            </w:tcBorders>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 &amp; commission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50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00" w:type="dxa"/>
            <w:vAlign w:val="bottom"/>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sales and marketing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0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$1.0 million, or 2%, to $47.8 million for the year ended December 31, 2024, from $48.8 million for the year ended December 31, 2023. The decrease was primarily due to a $0.6 million decrease in other marketing expenses mainly due to improved efficiency in managing the marketing budget and a $0.4 million decrease in travel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8"/>
        </w:trPr>
        <w:tc>
          <w:tcPr>
            <w:tcW w:w="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4"/>
                <w:szCs w:val="24"/>
                <w:color w:val="auto"/>
              </w:rPr>
            </w:pPr>
          </w:p>
        </w:tc>
        <w:tc>
          <w:tcPr>
            <w:tcW w:w="26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29"/>
        </w:trPr>
        <w:tc>
          <w:tcPr>
            <w:tcW w:w="5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50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40" w:type="dxa"/>
            <w:vAlign w:val="bottom"/>
            <w:tcBorders>
              <w:bottom w:val="single" w:sz="8" w:color="auto"/>
            </w:tcBorders>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0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 and insurance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 related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0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Human resources related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Subcontractors and consultants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50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Unused cloud hosting commitment expense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00" w:type="dxa"/>
            <w:vAlign w:val="bottom"/>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0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7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$2.7 million or 6% , to $46.0 million for the year ended December 31, 2024, from $48.7 million for the year ended December 31, 2023. The decrease was primarily due to a $3.6 million decrease in compensation expense mainly resulting from the departure of several senior executives whose market-based equity awards were canceled. The cancellation of these equity awards led to a reversal and reduction in stock-based compensation expenses. This decrease was partially offset by the cancellation of the CEO's market-based equity awards, which resulted in an acceleration of expenses, and $1.3 million of unused one-time expense associated with terminating commitments with a cloud hosting service provider.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restructuring expenses during the 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Expenses (Income), net</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Financial income, net decreased by $0.8 million, or 64%, to $0.4 million, for the year ended December 31, 2024, from $1.2 million for the year ended December 31, 2023. The change was mainly related to lower income attributed to foreign currency translation adjustments, net, partially offset by higher interest income on our marketable securities and money market funds and lower interest expenses on our Credit Facilities (see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Provision for income taxes decreased by $1.3 million, or 14%, to $7.7 million for the year ended December 31, 2024, from $8.9 million for the year ended December 31, 2023, primarily due to a decreased tax liability related to income generated by our subsidiaries organized under the laws of Israel and the United Kingdom.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net cash provided by operating activities, equity issuances, and borrowings under our long-term debt arrangements. Our primary requirements for liquidity and capital are to finance working capital, capital expenditures and general corporate purposes. Our principal sources of liquidity are expected to be our cash on hand and borrowings available under our Revolving Credit Facility. As of December 31, 2024, we had no balance outstanding under the Revolving Credit Facility and the total revolving commitment of $25.0 million is available for future borrowings.</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believe that our net cash provided by operating activities, cash on hand, and availability under our Revolving Credit Facility will be adequate to meet our operating, investing, and financing needs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Part I, Item 1A. “Risk Factors” and “—Key Factors Affecting Our Performance.” In addition, our cash and cash equivalents are maintained at financial institutions in amounts that exceed federally insured limits.</w:t>
      </w:r>
    </w:p>
    <w:p>
      <w:pPr>
        <w:spacing w:after="0" w:line="12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 the event of failure of any of the financial institutions where we maintain our cash and cash equivalents, there can be no assurance that we will be able to access uninsured funds in a timely manner or at all.</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global economic volatility, rising inflation and interest rates, price increases, decrease in our customers' spend or available budget, and the ongoing conflict between Russia and Ukraine, have resulted in, and may continue to result in, significant disruption of global financial markets, reducing our ability to access capital. Our ability to access capital may also be impacted by political, economic, and military conditions in Israel, including the current security situation or any escalation of conflicts with Israel, and in other regions in which we operate, or changes in the business environment in those regions. If we are unable to raise additional funds when desired, our business, financial condition and results of operations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June 11, 2024, the Company’s board of directors authorized a stock repurchase program of the Company’s outstanding common stock for up to $5.0 million of the Company’s common stock (the “Repurchase Program”). Under the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the Board of Directors.</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2,238,569 shares of common stock at an weighted average price of $1.27 per share (excluding broker and transaction fees of $67,157). As of December 31, 2024, the Company had remaining authorization under the Repurchase Program to repurchase common stock up to an aggregate amount of $2,148,055, subject to satisfying required conditions under the Companies Law and Companies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January 2021, we entered into a new credit agreement (as amended, the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which thereafter were extended and amended to align our business needs and other developments. In December 2023, we refinanced all amounts outstanding under the then-existing Credit Agreement, and entered into a new amendment to the credit agreement (the “Fifth Amendment”) with an existing lender, which provides for an additional term loan facility of $3.5 million in addition to the existing $31.5 million in term loans outstanding immediately prior to the Fifth Amendment. Commitments under the Revolving Credit Facility decreased to $25.0 million.</w:t>
      </w:r>
    </w:p>
    <w:p>
      <w:pPr>
        <w:spacing w:after="0" w:line="13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July 2024, we entered into an amendment to the Credit Agreement with an existing lender, in connection with our Repurchase Program, which updated the aggregate amount of permitted Restricted Payments (as defined in the Credit Agreement, which term includes, among others, the repurchase of the Company’s outstanding common stock) and conditions for making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amount available for borrowing under the Revolving Credit Facility is limited to a borrowing base, which is equal to the product of (a) 500% (which will automatically reduce to 350% on the date the Term Loan Facility is repaid in full), multiplied by (b) monthly Recurring Revenue for the most recently ended monthly period, multiplied by (c) the Retention Rate (in each case, as defined in the Credit Agreement).</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a sub-facility for letters of credit in the aggregate availability amount of $10.0 million and a swingline sub-facility in the aggregate availability amount of $5.0 million, each of which reduces borrowing availability under the Revolving Credit Facility.</w:t>
      </w:r>
    </w:p>
    <w:p>
      <w:pPr>
        <w:spacing w:after="0" w:line="108"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Facilities bear interest, determined as follows: (a) SOFR loans accrue interest at a rate per annum equal to Term SOFR (as defined in the Credit Agreement) plus 0.10% per annum plus a margin of 2.50% (the Adjusted Term SOFR (as defined in the Credit Agreement) is subject to a 1.00% floor), and (b) ABR loans accrue interest at a rate per annum equal to the ABR plus a margin of 1.50% (ABR is equal to the highest of</w:t>
      </w:r>
    </w:p>
    <w:p>
      <w:pPr>
        <w:spacing w:after="0" w:line="1" w:lineRule="exact"/>
        <w:rPr>
          <w:sz w:val="20"/>
          <w:szCs w:val="20"/>
          <w:color w:val="auto"/>
        </w:rPr>
      </w:pPr>
    </w:p>
    <w:p>
      <w:pPr>
        <w:jc w:val="both"/>
        <w:ind w:right="20" w:firstLine="8"/>
        <w:spacing w:after="0" w:line="255" w:lineRule="auto"/>
        <w:tabs>
          <w:tab w:leader="none" w:pos="2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and (ii) the Federal Funds Effective Rate plus 0.50%, subject to a 2.00% floor). As of December 31, 2024, the current rate of interest under the Credit Facilities was equal to a rate per annum of 6.93%, consisting of 4.33% (the 3-month SOFR rate as of December 31, 2024), 0.10% credit spread adjustment and the margin of 2.50%.</w:t>
      </w:r>
    </w:p>
    <w:p>
      <w:pPr>
        <w:spacing w:after="0" w:line="13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Amounts outstanding under the Credit Facilities may be voluntarily prepaid at any time and from time to time, in whole or in part, without premium or penalty.</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All voluntary prepayments (other than ABR loans borrowed under the Revolving Credit Facility) must be accompanied by accrued and unpaid interest on the principal amount being prepaid and customary “breakage” costs, if any, with respect to prepayments of SOFR loans.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Term Loan Facility is payable in consecutive quarterly installments on the last day of each fiscal quarter in an amount equal to (i) $0.4 million for installments payable on December 31, 2023 (deferred to January 9, 2024), through September 30, 2024 (ii) $0.7 million for installments payable on December 31, 2024 ($0.2 million of the amount deferred to January 2025), through September 30, 2025, (iii) $1.3 million for installments payable on and after December 31, 2025. The remaining unpaid balance on the Term Loan Facility is due and payable on December 21, 2026, together with accrued and unpaid interest on the principal amount to be paid to, but excluding, the payment date.</w:t>
      </w:r>
    </w:p>
    <w:p>
      <w:pPr>
        <w:spacing w:after="0" w:line="1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spacing w:after="0" w:line="12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and subject to certain exceptions, restrict our ability, and the ability of our subsidiaries, to:</w:t>
      </w:r>
    </w:p>
    <w:p>
      <w:pPr>
        <w:spacing w:after="0" w:line="10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issue, incur, assume, become liable in respect of or suffer to exist any debt or liens;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any merger, consolidation or amalgamation, or liquidate, wind up or dissolve, or dispose of all or substantially all of our or their respective property or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property or, in the case of our subsidiaries, issue or sell any shares of such subsidiary’s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prepay, redeem, purchase, retire or defease subordinated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certain other restricted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lines of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financial covenants that require us to maintain (i) a minimum amount of Consolidated Adjusted EBITDA (as defined in the Credit Agreement) as of the last day of each fiscal quarter (which minimum amount increased through the fiscal quarter ended December 31, 2024) (the “Adjusted EBITDA Covenant”), and (ii) Liquidity (as defined in the Credit Agreement) of at least $20 million as of the last day of any calendar month.</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22, 2024, we revised the Credit Agreement to modify the definition of “Liquidity” to include certain additional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these covenants as of December 31, 2024.</w:t>
      </w:r>
    </w:p>
    <w:p>
      <w:pPr>
        <w:spacing w:after="0" w:line="15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(as defined in the Credit Agreement).</w:t>
      </w:r>
    </w:p>
    <w:p>
      <w:pPr>
        <w:spacing w:after="0" w:line="13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2024, we had no balance outstanding under the Revolving Credit Facility and the total revolving commitment of $25.0 million remains available for future borrowings. As of December 31, 2024, we had approximately $32.3 million of borrowings outstanding under the Term Loan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Net cash flows provided by operating activities increased by $20.5 million for the year ended December 31, 2024, as compared to the year ended December 31, 2023.</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of $12.2 million for the year ended December 31, 2024, was primarily due to $31.3 million in incremental net loss, adjusted for non-cash charges of $41.6 million, and net cash of $2.1 million due to changes in our operating assets and liabilities. Non-cash charges primarily consisted of depreciation and amortization of $5.1 million, stock-based compensation expenses of $26.3 million and amortization of deferred contract acquisitions and fulfillment costs of $11.4 million. The main drivers of net cash inflows that were derived from the changes in operating assets and liabilities were related to an increase of $5.4 million in accrued expenses and other current liabilities, a decrease in trade receivables of $3.3 million, an increase of $2.7 million in employees and payroll accruals and an increase of $0.5 million in deferred revenue, partially offset by an increase in deferred contract acquisition costs of $7.5 million, an increase of $1 million in prepaid expenses and other current assets and a decrease in trade payables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$8.3 million for the year ended December 31, 2023, was primarily due to $46.4 million in incremental net loss, adjusted for non-cash charges of $45.3 million, and net cash of $6.6 million due to changes in our operating assets and liabilities. Non-cash charges primarily consisted of depreciation and amortization of $4.7 million, stock-based compensation expenses of $30.0 million and amortization of deferred contract acquisitions and fulfillment costs of $11.7 million. The main drivers of net cash outflows that were derived from the changes in operating assets and liabilities were related to an addition to deferred contract acquisition costs of $6.6 million, decrease in trade payables of $5.9 million and an aggregate decrease of $1.8 million in employees accruals, accrued expenses and other current liabilities, partially offset by a decrease in trade receivables of $5.5 million, increase in deferred revenue of $1.6 million, and an increase in prepaid expenses and other assets of $0.6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increased by $10.8 million to $12.4 million for the year ended December 31, 2024 as compared to the year ended December 31, 2023.</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$12.4 million for the year ended December 31, 2024 was related to investment in available-for-sale marketable securities of $50.9 million and $0.5 million in capital expenditures, offset by maturities of available-for-sale marketable securities of $39.0 million.</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$1.6 million for the year ended December 31, 2023 was related to investment in available-for-sale marketable securities of $47.7 million, $2.6 million in capital expenditures, $1.5 million of capitalized internal use software and investment in restricted bank deposits of $1.8 million, partially offset by maturities of available-for-sale marketable securities of $52.0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Net cash flows used in financing activities increased by $3.6 million for the year ended December 31, 2024 as compared to the year ended December 31, 2023.</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$3.5 million for the year ended December 31, 2024 was primarily due to repurchase of common stock of $2.9 million and $2.2 million of loan repayments partially offset by proceeds from the exercise of stock options of $1.6 million.</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$0.1 million for the year ended December 31, 2023 was primarily due to proceeds from long-term loans, net of debt issuance cost of $3.5 million and proceeds from option exercises of $1.4 million, partially offset by $4.5 million of loan repayments.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December 31, 2024:</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r>
      <w:tr>
        <w:trPr>
          <w:trHeight w:val="223"/>
        </w:trPr>
        <w:tc>
          <w:tcPr>
            <w:tcW w:w="3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60" w:type="dxa"/>
            <w:vAlign w:val="bottom"/>
          </w:tcPr>
          <w:p>
            <w:pPr>
              <w:spacing w:after="0"/>
              <w:rPr>
                <w:sz w:val="19"/>
                <w:szCs w:val="19"/>
                <w:color w:val="auto"/>
              </w:rPr>
            </w:pP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60" w:type="dxa"/>
            <w:vAlign w:val="bottom"/>
          </w:tcPr>
          <w:p>
            <w:pPr>
              <w:spacing w:after="0"/>
              <w:rPr>
                <w:sz w:val="19"/>
                <w:szCs w:val="19"/>
                <w:color w:val="auto"/>
              </w:rPr>
            </w:pPr>
          </w:p>
        </w:tc>
        <w:tc>
          <w:tcPr>
            <w:tcW w:w="2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More than 3 years</w:t>
            </w:r>
          </w:p>
        </w:tc>
      </w:tr>
      <w:tr>
        <w:trPr>
          <w:trHeight w:val="223"/>
        </w:trPr>
        <w:tc>
          <w:tcPr>
            <w:tcW w:w="38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r>
      <w:tr>
        <w:trPr>
          <w:trHeight w:val="230"/>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0"/>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firstLine="449"/>
        <w:spacing w:after="0" w:line="282" w:lineRule="auto"/>
        <w:tabs>
          <w:tab w:leader="none" w:pos="7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borrowings outstanding under our Term Loan Facility as of December 31, 2024, together with estimated interest payments thereon based on the interest rates in effect for such indebtedness as of December 31, 2024. See “—Liquidity and Capital Resources - Credit Facilities.”</w:t>
      </w:r>
    </w:p>
    <w:p>
      <w:pPr>
        <w:spacing w:after="0" w:line="107" w:lineRule="exact"/>
        <w:rPr>
          <w:rFonts w:ascii="Times New Roman" w:cs="Times New Roman" w:eastAsia="Times New Roman" w:hAnsi="Times New Roman"/>
          <w:sz w:val="18"/>
          <w:szCs w:val="18"/>
          <w:color w:val="auto"/>
        </w:rPr>
      </w:pPr>
    </w:p>
    <w:p>
      <w:pPr>
        <w:jc w:val="both"/>
        <w:ind w:firstLine="449"/>
        <w:spacing w:after="0" w:line="266"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lease payments under our operating leases in the U.S. and Israel. The operating lease payments for our lease in Israel assume our exercise of the first extension option for an additional five years. See Note 7, Leases, to the audited consolidated financial statements included elsewhere in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449"/>
        <w:spacing w:after="0" w:line="282" w:lineRule="auto"/>
        <w:tabs>
          <w:tab w:leader="none" w:pos="7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minimum purchase commitments mainly for our use of certain cloud and other services with third-party providers with a term of 12 months or longer. Obligations under contracts that we can cancel without a significant penalty are not included in the table above.</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reported other liabilities of $12.8 million in our consolidated balance sheet at December 31, 2024, which principally consists of unrecognized tax benefits. See Note 11, Income Taxes, to our consolidated financial statements included elsewhere in this Annual Report on Form 10-K for further information. We have excluded these liabilities from the contractual obligations table above. A variety of factors could affect the timing of payments for the liabilities related to unrecognized tax benefits. Therefore, we cannot reasonably estimate the timing of such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8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Significant Accounting Policies, to the audited consolidated financial statements included elsewhere in this Annual Report on Form 10-K for additional information regarding these and our other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Revenue is recognized when the customer obtains control of promised goods or services in an amount that reflects the consideration that we expect to receive in exchange for those goods or services. We apply judgment in identifying and evaluating terms and conditions in contracts that may impact revenue recognition. Contracts that contain multiple performance obligations require an allocation of the transaction price to each performance obligation based on a relative standalone selling price (“SSP”). When applicable, we allocate the transaction price between the separate performance obligations according to their SSP, which is based on the price at which the performance obligation is sold separately. If the SSP is not observable through past transactions, we estimate the SSP taking into account available information, including, but not limited to, pricing practices, market conditions, and the economic life of the software.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Israel, the U.S., and other foreign jurisdictions. Significant judgement is required in determining the provision for income taxes, including evaluating uncertainties in the application of accounting principles and complex tax laws. We recognize and measure benefits for uncertain tax positions using a two-step approach. The first step is to determine whether it is more likely than not that a tax position will be sustained upon examination, including the resolution of any related appeals or litigation based on the technical merits of that position. The second step is to measure a tax position that meets the more-likely-than-not threshold to determine the amount of benefit to be recognized in the financial statements. We evaluate uncertain tax positions on a quarterly basis, based upon a number of factors, including changes in facts or circumstances, changes in tax law, correspondence with tax authorities during the course of audits, and effective settlement of audit issues.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7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Please see Note 2, Significant Accounting Policies, to our consolidated financial statements included elsewhere in this Annual Report on Form 10-K for information regarding recent accounting pronouncements.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Jumpstart Our Business Startups Act of 2012</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meet the definition of an “emerging growth company” and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8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These foreign currency exposures give rise to market risk associated with exchange rate movements of the U.S. dollar against the NIS and Euros. Furthermore, we anticipate that a significant portion of our expenses will continue to be denominated in NIS as well as that a significant portion of our revenue will continue to be denominated in Euros.</w:t>
      </w:r>
    </w:p>
    <w:p>
      <w:pPr>
        <w:spacing w:after="0" w:line="12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To reduce the impact of foreign currency exchange risks associated with forecasted future cash flows and certain existing assets and liabilities and the volatility in our consolidated statements of operations, we established a hedging program in March 2022. Currently, our hedging activity relates to U.S. dollar/NIS exchange rate exposure. We do not intend to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are expected to reduce but not eliminate the impact of currency exchange rate movements.</w:t>
      </w:r>
    </w:p>
    <w:p>
      <w:pPr>
        <w:spacing w:after="0" w:line="13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 hypothetical 10% change in foreign currency exchange rates applicable to our business would have had an impact on our results for the year ended December 31, 2024, of $1.4 million due to NIS (after considering cash-flow hedges) and $5.1 million due to Euros.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As of December 31, 2024, we had outstanding floating rate debt obligations of $32.3 million (consisting of the outstanding principal balance under our credit facilities). Accordingly, fluctuations in market interest rates may increase or decrease our interest expense which will, in turn, increase or decrease our net income and cash flow. We seek to manage exposure to adverse interest rate changes through our normal operating and financing activities. At this time, we do not use derivative instruments to mitigate our interest rate risk. A hypothetical 10% change in interest rates during the periods presented would have resulted in a change to interest expense of $0.3 million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00" w:lineRule="exact"/>
        <w:rPr>
          <w:sz w:val="20"/>
          <w:szCs w:val="20"/>
          <w:color w:val="auto"/>
        </w:rPr>
      </w:pPr>
    </w:p>
    <w:p>
      <w:pPr>
        <w:spacing w:after="0" w:line="21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0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59"/>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 xml:space="preserve">Report of Independent Registered Public Accounting Firm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PCAOB ID: 1281)</w:t>
            </w:r>
          </w:p>
        </w:tc>
        <w:tc>
          <w:tcPr>
            <w:tcW w:w="2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95</w:t>
            </w:r>
          </w:p>
        </w:tc>
      </w:tr>
      <w:tr>
        <w:trPr>
          <w:trHeight w:val="507"/>
        </w:trPr>
        <w:tc>
          <w:tcPr>
            <w:tcW w:w="4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Consolidated Balance Sheets</w:t>
            </w:r>
          </w:p>
        </w:tc>
        <w:tc>
          <w:tcPr>
            <w:tcW w:w="3640" w:type="dxa"/>
            <w:vAlign w:val="bottom"/>
          </w:tcPr>
          <w:p>
            <w:pPr>
              <w:spacing w:after="0"/>
              <w:rPr>
                <w:sz w:val="24"/>
                <w:szCs w:val="24"/>
                <w:color w:val="auto"/>
              </w:rPr>
            </w:pPr>
          </w:p>
        </w:tc>
        <w:tc>
          <w:tcPr>
            <w:tcW w:w="2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96</w:t>
            </w:r>
          </w:p>
        </w:tc>
      </w:tr>
      <w:tr>
        <w:trPr>
          <w:trHeight w:val="20"/>
        </w:trPr>
        <w:tc>
          <w:tcPr>
            <w:tcW w:w="2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506"/>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Operations</w:t>
            </w:r>
          </w:p>
        </w:tc>
        <w:tc>
          <w:tcPr>
            <w:tcW w:w="2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98</w:t>
            </w:r>
          </w:p>
        </w:tc>
      </w:tr>
      <w:tr>
        <w:trPr>
          <w:trHeight w:val="20"/>
        </w:trPr>
        <w:tc>
          <w:tcPr>
            <w:tcW w:w="30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507"/>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Comprehensive Loss</w:t>
            </w:r>
          </w:p>
        </w:tc>
        <w:tc>
          <w:tcPr>
            <w:tcW w:w="2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99</w:t>
            </w:r>
          </w:p>
        </w:tc>
      </w:tr>
      <w:tr>
        <w:trPr>
          <w:trHeight w:val="20"/>
        </w:trPr>
        <w:tc>
          <w:tcPr>
            <w:tcW w:w="3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507"/>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Stockholders' Equity</w:t>
            </w:r>
          </w:p>
        </w:tc>
        <w:tc>
          <w:tcPr>
            <w:tcW w:w="250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560"/>
        </w:trPr>
        <w:tc>
          <w:tcPr>
            <w:tcW w:w="3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Consolidated Statements of Cash Flows</w:t>
            </w:r>
          </w:p>
        </w:tc>
        <w:tc>
          <w:tcPr>
            <w:tcW w:w="720" w:type="dxa"/>
            <w:vAlign w:val="bottom"/>
            <w:tcBorders>
              <w:top w:val="single" w:sz="8" w:color="0000FF"/>
            </w:tcBorders>
            <w:gridSpan w:val="3"/>
          </w:tcPr>
          <w:p>
            <w:pPr>
              <w:spacing w:after="0"/>
              <w:rPr>
                <w:sz w:val="24"/>
                <w:szCs w:val="24"/>
                <w:color w:val="auto"/>
              </w:rPr>
            </w:pPr>
          </w:p>
        </w:tc>
        <w:tc>
          <w:tcPr>
            <w:tcW w:w="4400" w:type="dxa"/>
            <w:vAlign w:val="bottom"/>
            <w:gridSpan w:val="2"/>
          </w:tcPr>
          <w:p>
            <w:pPr>
              <w:spacing w:after="0"/>
              <w:rPr>
                <w:sz w:val="24"/>
                <w:szCs w:val="24"/>
                <w:color w:val="auto"/>
              </w:rPr>
            </w:pPr>
          </w:p>
        </w:tc>
        <w:tc>
          <w:tcPr>
            <w:tcW w:w="250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507"/>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250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0"/>
        </w:trPr>
        <w:tc>
          <w:tcPr>
            <w:tcW w:w="2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8" w:right="8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To the Stockholders and the Board of Directors of Kaltura,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Kaltura, Inc. and subsidiaries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KOST FORER GABBAY &amp; KASIERER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 Member of EY Global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have served as the Company's auditor since 2007.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rPr>
          <w:sz w:val="20"/>
          <w:szCs w:val="20"/>
          <w:color w:val="auto"/>
        </w:rPr>
      </w:pPr>
      <w:r>
        <w:rPr>
          <w:rFonts w:ascii="Times New Roman" w:cs="Times New Roman" w:eastAsia="Times New Roman" w:hAnsi="Times New Roman"/>
          <w:sz w:val="18"/>
          <w:szCs w:val="18"/>
          <w:color w:val="333333"/>
        </w:rPr>
        <w:t>February 20, 2025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shd w:val="clear" w:color="auto" w:fill="CCEEFF"/>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w:t>
            </w:r>
          </w:p>
        </w:tc>
      </w:tr>
      <w:tr>
        <w:trPr>
          <w:trHeight w:val="229"/>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32,692</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receivables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r>
      <w:tr>
        <w:trPr>
          <w:trHeight w:val="229"/>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98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contract acquisition and fulfillment costs, current</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56"/>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79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121,558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111,734</w:t>
            </w:r>
          </w:p>
        </w:tc>
      </w:tr>
      <w:tr>
        <w:trPr>
          <w:trHeight w:val="257"/>
        </w:trPr>
        <w:tc>
          <w:tcPr>
            <w:tcW w:w="20" w:type="dxa"/>
            <w:vAlign w:val="bottom"/>
            <w:tcBorders>
              <w:top w:val="single" w:sz="8" w:color="CCEEFF"/>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6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w:t>
            </w:r>
          </w:p>
        </w:tc>
      </w:tr>
      <w:tr>
        <w:trPr>
          <w:trHeight w:val="230"/>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Other assets,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contract acquisition and fulfillment costs, noncurrent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w:t>
            </w:r>
          </w:p>
        </w:tc>
      </w:tr>
      <w:tr>
        <w:trPr>
          <w:trHeight w:val="229"/>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6"/>
        </w:trPr>
        <w:tc>
          <w:tcPr>
            <w:tcW w:w="20" w:type="dxa"/>
            <w:vAlign w:val="bottom"/>
            <w:tcBorders>
              <w:bottom w:val="single" w:sz="8" w:color="CCEEFF"/>
            </w:tcBorders>
          </w:tcPr>
          <w:p>
            <w:pPr>
              <w:spacing w:after="0"/>
              <w:rPr>
                <w:sz w:val="20"/>
                <w:szCs w:val="20"/>
                <w:color w:val="auto"/>
              </w:rPr>
            </w:pPr>
          </w:p>
        </w:tc>
        <w:tc>
          <w:tcPr>
            <w:tcW w:w="798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w:t>
            </w:r>
          </w:p>
        </w:tc>
      </w:tr>
      <w:tr>
        <w:trPr>
          <w:trHeight w:val="243"/>
        </w:trPr>
        <w:tc>
          <w:tcPr>
            <w:tcW w:w="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79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Total noncurrent assets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59,747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72,002</w:t>
            </w:r>
          </w:p>
        </w:tc>
      </w:tr>
      <w:tr>
        <w:trPr>
          <w:trHeight w:val="28"/>
        </w:trPr>
        <w:tc>
          <w:tcPr>
            <w:tcW w:w="20" w:type="dxa"/>
            <w:vAlign w:val="bottom"/>
            <w:tcBorders>
              <w:bottom w:val="single" w:sz="8" w:color="CCEEFF"/>
            </w:tcBorders>
          </w:tcPr>
          <w:p>
            <w:pPr>
              <w:spacing w:after="0"/>
              <w:rPr>
                <w:sz w:val="2"/>
                <w:szCs w:val="2"/>
                <w:color w:val="auto"/>
              </w:rPr>
            </w:pPr>
          </w:p>
        </w:tc>
        <w:tc>
          <w:tcPr>
            <w:tcW w:w="1400" w:type="dxa"/>
            <w:vAlign w:val="bottom"/>
            <w:tcBorders>
              <w:top w:val="single" w:sz="8" w:color="auto"/>
              <w:bottom w:val="single" w:sz="8" w:color="CCEEFF"/>
            </w:tcBorders>
          </w:tcPr>
          <w:p>
            <w:pPr>
              <w:spacing w:after="0"/>
              <w:rPr>
                <w:sz w:val="2"/>
                <w:szCs w:val="2"/>
                <w:color w:val="auto"/>
              </w:rPr>
            </w:pPr>
          </w:p>
        </w:tc>
        <w:tc>
          <w:tcPr>
            <w:tcW w:w="24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7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7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30"/>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w:t>
            </w:r>
          </w:p>
        </w:tc>
      </w:tr>
      <w:tr>
        <w:trPr>
          <w:trHeight w:val="230"/>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98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62,364</w:t>
            </w:r>
          </w:p>
        </w:tc>
      </w:tr>
      <w:tr>
        <w:trPr>
          <w:trHeight w:val="257"/>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79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101,663</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99,909</w:t>
            </w:r>
          </w:p>
        </w:tc>
      </w:tr>
      <w:tr>
        <w:trPr>
          <w:trHeight w:val="257"/>
        </w:trPr>
        <w:tc>
          <w:tcPr>
            <w:tcW w:w="20" w:type="dxa"/>
            <w:vAlign w:val="bottom"/>
            <w:tcBorders>
              <w:top w:val="single" w:sz="8" w:color="CCEEFF"/>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6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loans,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r>
      <w:tr>
        <w:trPr>
          <w:trHeight w:val="230"/>
        </w:trPr>
        <w:tc>
          <w:tcPr>
            <w:tcW w:w="20" w:type="dxa"/>
            <w:vAlign w:val="bottom"/>
          </w:tcPr>
          <w:p>
            <w:pPr>
              <w:spacing w:after="0"/>
              <w:rPr>
                <w:sz w:val="19"/>
                <w:szCs w:val="19"/>
                <w:color w:val="auto"/>
              </w:rPr>
            </w:pPr>
          </w:p>
        </w:tc>
        <w:tc>
          <w:tcPr>
            <w:tcW w:w="7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98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56"/>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79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noncurrent liabilities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55,255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53,507</w:t>
            </w:r>
          </w:p>
        </w:tc>
      </w:tr>
      <w:tr>
        <w:trPr>
          <w:trHeight w:val="256"/>
        </w:trPr>
        <w:tc>
          <w:tcPr>
            <w:tcW w:w="20" w:type="dxa"/>
            <w:vAlign w:val="bottom"/>
            <w:tcBorders>
              <w:top w:val="single" w:sz="8" w:color="CCEEFF"/>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6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ind w:left="8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ectPr>
          <w:pgSz w:w="11900" w:h="16838" w:orient="portrait"/>
          <w:cols w:equalWidth="0" w:num="1">
            <w:col w:w="11240"/>
          </w:cols>
          <w:pgMar w:left="240" w:top="11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340" w:right="140"/>
        <w:spacing w:after="0" w:line="242" w:lineRule="auto"/>
        <w:rPr>
          <w:sz w:val="20"/>
          <w:szCs w:val="20"/>
          <w:color w:val="auto"/>
        </w:rPr>
      </w:pPr>
      <w:r>
        <w:rPr>
          <w:rFonts w:ascii="Times New Roman" w:cs="Times New Roman" w:eastAsia="Times New Roman" w:hAnsi="Times New Roman"/>
          <w:sz w:val="18"/>
          <w:szCs w:val="18"/>
          <w:color w:val="auto"/>
        </w:rPr>
        <w:t>Preferred stock, $0.0001 par value per share, 20,000,000 shares authorized as of December 31, 2024, and 2023; 0 shares issued and outstanding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2320"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340"/>
        <w:spacing w:after="0" w:line="237" w:lineRule="auto"/>
        <w:rPr>
          <w:sz w:val="20"/>
          <w:szCs w:val="20"/>
          <w:color w:val="auto"/>
        </w:rPr>
      </w:pPr>
      <w:r>
        <w:rPr>
          <w:rFonts w:ascii="Times New Roman" w:cs="Times New Roman" w:eastAsia="Times New Roman" w:hAnsi="Times New Roman"/>
          <w:sz w:val="18"/>
          <w:szCs w:val="18"/>
          <w:color w:val="auto"/>
        </w:rPr>
        <w:t>Common stock $0.0001 par value per share, 1,000,000,000 shares authorized as of December 31, 2024 and</w:t>
      </w:r>
    </w:p>
    <w:p>
      <w:pPr>
        <w:spacing w:after="0" w:line="1" w:lineRule="exact"/>
        <w:rPr>
          <w:sz w:val="20"/>
          <w:szCs w:val="20"/>
          <w:color w:val="auto"/>
        </w:rPr>
      </w:pPr>
    </w:p>
    <w:p>
      <w:pPr>
        <w:ind w:left="340" w:right="500"/>
        <w:spacing w:after="0" w:line="226" w:lineRule="auto"/>
        <w:rPr>
          <w:sz w:val="20"/>
          <w:szCs w:val="20"/>
          <w:color w:val="auto"/>
        </w:rPr>
      </w:pPr>
      <w:r>
        <w:rPr>
          <w:rFonts w:ascii="Times New Roman" w:cs="Times New Roman" w:eastAsia="Times New Roman" w:hAnsi="Times New Roman"/>
          <w:sz w:val="18"/>
          <w:szCs w:val="18"/>
          <w:color w:val="auto"/>
        </w:rPr>
        <w:t>2023; 161,980,907 and 150,274,107, shares issued as of December 31, 2024 and 2023, respectively; 152,057,148 and 142,588,917 outstanding as of December 31, 2024 and 2023, respectively</w:t>
      </w:r>
    </w:p>
    <w:p>
      <w:pPr>
        <w:ind w:left="340"/>
        <w:spacing w:after="0" w:line="236" w:lineRule="auto"/>
        <w:rPr>
          <w:sz w:val="20"/>
          <w:szCs w:val="20"/>
          <w:color w:val="auto"/>
        </w:rPr>
      </w:pPr>
      <w:r>
        <w:rPr>
          <w:rFonts w:ascii="Times New Roman" w:cs="Times New Roman" w:eastAsia="Times New Roman" w:hAnsi="Times New Roman"/>
          <w:sz w:val="18"/>
          <w:szCs w:val="18"/>
          <w:color w:val="auto"/>
        </w:rPr>
        <w:t>Treasury stock –</w:t>
      </w:r>
    </w:p>
    <w:p>
      <w:pPr>
        <w:spacing w:after="0" w:line="1" w:lineRule="exact"/>
        <w:rPr>
          <w:sz w:val="20"/>
          <w:szCs w:val="20"/>
          <w:color w:val="auto"/>
        </w:rPr>
      </w:pPr>
    </w:p>
    <w:p>
      <w:pPr>
        <w:ind w:left="340" w:right="160"/>
        <w:spacing w:after="0" w:line="226" w:lineRule="auto"/>
        <w:rPr>
          <w:sz w:val="20"/>
          <w:szCs w:val="20"/>
          <w:color w:val="auto"/>
        </w:rPr>
      </w:pPr>
      <w:r>
        <w:rPr>
          <w:rFonts w:ascii="Times New Roman" w:cs="Times New Roman" w:eastAsia="Times New Roman" w:hAnsi="Times New Roman"/>
          <w:sz w:val="18"/>
          <w:szCs w:val="18"/>
          <w:color w:val="auto"/>
        </w:rPr>
        <w:t>9,923,759 and 7,685,190 shares of common stock, $0.0001 par value per share, as of December 31, 2024 and 2023, respectively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19685</wp:posOffset>
            </wp:positionV>
            <wp:extent cx="197167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167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0"/>
        <w:spacing w:after="0"/>
        <w:tabs>
          <w:tab w:leader="none" w:pos="2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680"/>
        <w:spacing w:after="0"/>
        <w:tabs>
          <w:tab w:leader="none" w:pos="22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14</w:t>
      </w:r>
    </w:p>
    <w:p>
      <w:pPr>
        <w:spacing w:after="0" w:line="387" w:lineRule="exact"/>
        <w:rPr>
          <w:sz w:val="20"/>
          <w:szCs w:val="20"/>
          <w:color w:val="auto"/>
        </w:rPr>
      </w:pPr>
    </w:p>
    <w:p>
      <w:pPr>
        <w:jc w:val="both"/>
        <w:ind w:left="380"/>
        <w:spacing w:after="0"/>
        <w:tabs>
          <w:tab w:leader="none" w:pos="1940" w:val="left"/>
        </w:tabs>
        <w:rPr>
          <w:sz w:val="20"/>
          <w:szCs w:val="20"/>
          <w:color w:val="auto"/>
        </w:rPr>
      </w:pPr>
      <w:r>
        <w:rPr>
          <w:rFonts w:ascii="Times New Roman" w:cs="Times New Roman" w:eastAsia="Times New Roman" w:hAnsi="Times New Roman"/>
          <w:sz w:val="18"/>
          <w:szCs w:val="18"/>
          <w:color w:val="auto"/>
        </w:rPr>
        <w:t>(7,801)</w:t>
      </w:r>
      <w:r>
        <w:rPr>
          <w:sz w:val="20"/>
          <w:szCs w:val="20"/>
          <w:color w:val="auto"/>
        </w:rPr>
        <w:tab/>
      </w:r>
      <w:r>
        <w:rPr>
          <w:rFonts w:ascii="Times New Roman" w:cs="Times New Roman" w:eastAsia="Times New Roman" w:hAnsi="Times New Roman"/>
          <w:sz w:val="18"/>
          <w:szCs w:val="18"/>
          <w:color w:val="auto"/>
        </w:rPr>
        <w:t>(4,881)</w:t>
      </w:r>
    </w:p>
    <w:p>
      <w:pPr>
        <w:spacing w:after="0" w:line="236" w:lineRule="exact"/>
        <w:rPr>
          <w:sz w:val="20"/>
          <w:szCs w:val="20"/>
          <w:color w:val="auto"/>
        </w:rPr>
      </w:pPr>
    </w:p>
    <w:p>
      <w:pPr>
        <w:sectPr>
          <w:pgSz w:w="11900" w:h="16838" w:orient="portrait"/>
          <w:cols w:equalWidth="0" w:num="2">
            <w:col w:w="8060" w:space="660"/>
            <w:col w:w="2520"/>
          </w:cols>
          <w:pgMar w:left="240" w:top="118" w:right="4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4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471,635</w:t>
            </w:r>
          </w:p>
        </w:tc>
      </w:tr>
      <w:tr>
        <w:trPr>
          <w:trHeight w:val="230"/>
        </w:trPr>
        <w:tc>
          <w:tcPr>
            <w:tcW w:w="14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29"/>
        </w:trPr>
        <w:tc>
          <w:tcPr>
            <w:tcW w:w="14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(437,495)</w:t>
            </w:r>
          </w:p>
        </w:tc>
      </w:tr>
      <w:tr>
        <w:trPr>
          <w:trHeight w:val="250"/>
        </w:trPr>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14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30,320</w:t>
            </w:r>
          </w:p>
        </w:tc>
      </w:tr>
      <w:tr>
        <w:trPr>
          <w:trHeight w:val="250"/>
        </w:trPr>
        <w:tc>
          <w:tcPr>
            <w:tcW w:w="140" w:type="dxa"/>
            <w:vAlign w:val="bottom"/>
            <w:tcBorders>
              <w:top w:val="single" w:sz="8" w:color="CCEEFF"/>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616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183,736</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65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167,681</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152,480</w:t>
            </w: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20" w:type="dxa"/>
            <w:vAlign w:val="bottom"/>
            <w:shd w:val="clear" w:color="auto" w:fill="CCEEFF"/>
          </w:tcPr>
          <w:p>
            <w:pPr>
              <w:spacing w:after="0"/>
              <w:rPr>
                <w:sz w:val="20"/>
                <w:szCs w:val="20"/>
                <w:color w:val="auto"/>
              </w:rPr>
            </w:pPr>
          </w:p>
        </w:tc>
        <w:tc>
          <w:tcPr>
            <w:tcW w:w="65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178,717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175,172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168,811</w:t>
            </w:r>
          </w:p>
        </w:tc>
      </w:tr>
      <w:tr>
        <w:trPr>
          <w:trHeight w:val="256"/>
        </w:trPr>
        <w:tc>
          <w:tcPr>
            <w:tcW w:w="2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476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Cost of revenue:</w:t>
            </w:r>
          </w:p>
        </w:tc>
        <w:tc>
          <w:tcPr>
            <w:tcW w:w="536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40,099</w:t>
            </w: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w:t>
            </w: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62,938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61,871</w:t>
            </w:r>
          </w:p>
        </w:tc>
      </w:tr>
      <w:tr>
        <w:trPr>
          <w:trHeight w:val="250"/>
        </w:trPr>
        <w:tc>
          <w:tcPr>
            <w:tcW w:w="20" w:type="dxa"/>
            <w:vAlign w:val="bottom"/>
            <w:tcBorders>
              <w:top w:val="single" w:sz="8" w:color="CCEEFF"/>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7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106,940</w:t>
            </w: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57,387</w:t>
            </w:r>
          </w:p>
        </w:tc>
      </w:tr>
      <w:tr>
        <w:trPr>
          <w:trHeight w:val="229"/>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59,280</w:t>
            </w: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45,414</w:t>
            </w: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70"/>
        </w:trPr>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65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143,205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150,889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163,319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56,379</w:t>
            </w:r>
          </w:p>
        </w:tc>
      </w:tr>
      <w:tr>
        <w:trPr>
          <w:trHeight w:val="270"/>
        </w:trPr>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50"/>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60,627</w:t>
            </w:r>
          </w:p>
        </w:tc>
      </w:tr>
      <w:tr>
        <w:trPr>
          <w:trHeight w:val="270"/>
        </w:trPr>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7,868</w:t>
            </w:r>
          </w:p>
        </w:tc>
      </w:tr>
      <w:tr>
        <w:trPr>
          <w:trHeight w:val="250"/>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147,925,797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138,237,017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130,366,385</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50"/>
        </w:trPr>
        <w:tc>
          <w:tcPr>
            <w:tcW w:w="6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68,495</w:t>
            </w:r>
          </w:p>
        </w:tc>
        <w:tc>
          <w:tcPr>
            <w:tcW w:w="10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available-for-sale marketable securities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68,796</w:t>
            </w:r>
          </w:p>
        </w:tc>
        <w:tc>
          <w:tcPr>
            <w:tcW w:w="100" w:type="dxa"/>
            <w:vAlign w:val="bottom"/>
          </w:tcPr>
          <w:p>
            <w:pPr>
              <w:spacing w:after="0"/>
              <w:rPr>
                <w:sz w:val="19"/>
                <w:szCs w:val="19"/>
                <w:color w:val="auto"/>
              </w:rPr>
            </w:pPr>
          </w:p>
        </w:tc>
      </w:tr>
      <w:tr>
        <w:trPr>
          <w:trHeight w:val="21"/>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4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03"/>
        </w:trPr>
        <w:tc>
          <w:tcPr>
            <w:tcW w:w="328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80" w:type="dxa"/>
            <w:vAlign w:val="bottom"/>
            <w:gridSpan w:val="3"/>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200" w:type="dxa"/>
            <w:vAlign w:val="bottom"/>
          </w:tcPr>
          <w:p>
            <w:pPr>
              <w:spacing w:after="0"/>
              <w:rPr>
                <w:sz w:val="5"/>
                <w:szCs w:val="5"/>
                <w:color w:val="auto"/>
              </w:rPr>
            </w:pPr>
          </w:p>
        </w:tc>
        <w:tc>
          <w:tcPr>
            <w:tcW w:w="940" w:type="dxa"/>
            <w:vAlign w:val="bottom"/>
            <w:gridSpan w:val="2"/>
          </w:tcPr>
          <w:p>
            <w:pPr>
              <w:ind w:left="80"/>
              <w:spacing w:after="0" w:line="68" w:lineRule="exact"/>
              <w:rPr>
                <w:sz w:val="20"/>
                <w:szCs w:val="20"/>
                <w:color w:val="auto"/>
              </w:rPr>
            </w:pPr>
            <w:r>
              <w:rPr>
                <w:rFonts w:ascii="Times New Roman" w:cs="Times New Roman" w:eastAsia="Times New Roman" w:hAnsi="Times New Roman"/>
                <w:sz w:val="7"/>
                <w:szCs w:val="7"/>
                <w:b w:val="1"/>
                <w:bCs w:val="1"/>
                <w:color w:val="auto"/>
              </w:rPr>
              <w:t>deficit</w:t>
            </w:r>
          </w:p>
        </w:tc>
        <w:tc>
          <w:tcPr>
            <w:tcW w:w="200" w:type="dxa"/>
            <w:vAlign w:val="bottom"/>
          </w:tcPr>
          <w:p>
            <w:pPr>
              <w:spacing w:after="0"/>
              <w:rPr>
                <w:sz w:val="5"/>
                <w:szCs w:val="5"/>
                <w:color w:val="auto"/>
              </w:rPr>
            </w:pPr>
          </w:p>
        </w:tc>
        <w:tc>
          <w:tcPr>
            <w:tcW w:w="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126,925,104</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7,685,190</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(4,881)</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412,776</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(322,634)</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7,026,070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stock options, and release of restricted</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 to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(68,495)</w:t>
            </w:r>
          </w:p>
        </w:tc>
        <w:tc>
          <w:tcPr>
            <w:tcW w:w="0" w:type="dxa"/>
            <w:vAlign w:val="bottom"/>
          </w:tcPr>
          <w:p>
            <w:pPr>
              <w:spacing w:after="0"/>
              <w:rPr>
                <w:sz w:val="1"/>
                <w:szCs w:val="1"/>
                <w:color w:val="auto"/>
              </w:rPr>
            </w:pPr>
          </w:p>
        </w:tc>
      </w:tr>
      <w:tr>
        <w:trPr>
          <w:trHeight w:val="230"/>
        </w:trPr>
        <w:tc>
          <w:tcPr>
            <w:tcW w:w="32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December 31,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134,564,429</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7,685,190</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(4,881)</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439,644</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(391,129)</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8,024,488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stock options, and release of restricted</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142,588,917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7,685,190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(4,881)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(2,238,569)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2,238,569</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11,706,800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stock options, and release of restricted</w:t>
            </w: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152,057,148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9,923,759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3"/>
        </w:trPr>
        <w:tc>
          <w:tcPr>
            <w:tcW w:w="20" w:type="dxa"/>
            <w:vAlign w:val="bottom"/>
            <w:shd w:val="clear" w:color="auto" w:fill="CCEEFF"/>
          </w:tcPr>
          <w:p>
            <w:pPr>
              <w:spacing w:after="0"/>
              <w:rPr>
                <w:sz w:val="15"/>
                <w:szCs w:val="15"/>
                <w:color w:val="auto"/>
              </w:rPr>
            </w:pPr>
          </w:p>
        </w:tc>
        <w:tc>
          <w:tcPr>
            <w:tcW w:w="80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5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(31,315)</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(46,366)</w:t>
            </w: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(68,495)</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23,645</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deferred contract acquisition and fulfillment costs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Losses (Gain) on foreign exchange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(Increase) in trade receivables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Decrease (Increase) in prepaid expenses and other current assets and other assets, noncurrent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in deferred contract acquisition and fulfillment costs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Increase (Decrease) in trade payables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accrued expenses and other current liabilities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Increase (Decrease) in employees and payroll accruals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other liabilities, noncurrent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Increase in deferred revenue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 net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56"/>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(46,828)</w:t>
            </w: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96"/>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56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available-for-sale marketable securities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(60,165)</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available-for-sale marketable 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18,985</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Capitalized internal-use software development costs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w:t>
            </w:r>
          </w:p>
        </w:tc>
      </w:tr>
      <w:tr>
        <w:trPr>
          <w:trHeight w:val="226"/>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restricted bank deposit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r>
      <w:tr>
        <w:trPr>
          <w:trHeight w:val="257"/>
        </w:trPr>
        <w:tc>
          <w:tcPr>
            <w:tcW w:w="20" w:type="dxa"/>
            <w:vAlign w:val="bottom"/>
            <w:tcBorders>
              <w:top w:val="single" w:sz="8" w:color="CCEEFF"/>
            </w:tcBorders>
          </w:tcPr>
          <w:p>
            <w:pPr>
              <w:spacing w:after="0"/>
              <w:rPr>
                <w:sz w:val="22"/>
                <w:szCs w:val="22"/>
                <w:color w:val="auto"/>
              </w:rPr>
            </w:pPr>
          </w:p>
        </w:tc>
        <w:tc>
          <w:tcPr>
            <w:tcW w:w="2400" w:type="dxa"/>
            <w:vAlign w:val="bottom"/>
            <w:tcBorders>
              <w:top w:val="single" w:sz="8" w:color="CCEEFF"/>
            </w:tcBorders>
          </w:tcPr>
          <w:p>
            <w:pPr>
              <w:spacing w:after="0"/>
              <w:rPr>
                <w:sz w:val="22"/>
                <w:szCs w:val="22"/>
                <w:color w:val="auto"/>
              </w:rPr>
            </w:pPr>
          </w:p>
        </w:tc>
        <w:tc>
          <w:tcPr>
            <w:tcW w:w="56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(49,757)</w:t>
            </w: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96"/>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56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long-term loans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Repayment of long-term loans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account of repurchase of common stock</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20" w:type="dxa"/>
            <w:vAlign w:val="bottom"/>
            <w:tcBorders>
              <w:top w:val="single" w:sz="8" w:color="CCEEFF"/>
            </w:tcBorders>
          </w:tcPr>
          <w:p>
            <w:pPr>
              <w:spacing w:after="0"/>
              <w:rPr>
                <w:sz w:val="22"/>
                <w:szCs w:val="22"/>
                <w:color w:val="auto"/>
              </w:rPr>
            </w:pPr>
          </w:p>
        </w:tc>
        <w:tc>
          <w:tcPr>
            <w:tcW w:w="2400" w:type="dxa"/>
            <w:vAlign w:val="bottom"/>
            <w:tcBorders>
              <w:top w:val="single" w:sz="8" w:color="CCEEFF"/>
            </w:tcBorders>
          </w:tcPr>
          <w:p>
            <w:pPr>
              <w:spacing w:after="0"/>
              <w:rPr>
                <w:sz w:val="22"/>
                <w:szCs w:val="22"/>
                <w:color w:val="auto"/>
              </w:rPr>
            </w:pPr>
          </w:p>
        </w:tc>
        <w:tc>
          <w:tcPr>
            <w:tcW w:w="56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53"/>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73"/>
        </w:trPr>
        <w:tc>
          <w:tcPr>
            <w:tcW w:w="20" w:type="dxa"/>
            <w:vAlign w:val="bottom"/>
            <w:shd w:val="clear" w:color="auto" w:fill="CCEEFF"/>
          </w:tcPr>
          <w:p>
            <w:pPr>
              <w:spacing w:after="0"/>
              <w:rPr>
                <w:sz w:val="23"/>
                <w:szCs w:val="23"/>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(98,538)</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year</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144,371</w:t>
            </w:r>
          </w:p>
        </w:tc>
      </w:tr>
      <w:tr>
        <w:trPr>
          <w:trHeight w:val="256"/>
        </w:trPr>
        <w:tc>
          <w:tcPr>
            <w:tcW w:w="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5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year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45,833</w:t>
            </w: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3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4174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 w:lineRule="exact"/>
        <w:rPr>
          <w:sz w:val="20"/>
          <w:szCs w:val="20"/>
          <w:color w:val="auto"/>
        </w:rPr>
      </w:pPr>
    </w:p>
    <w:p>
      <w:pPr>
        <w:ind w:left="7900"/>
        <w:spacing w:after="0"/>
        <w:tabs>
          <w:tab w:leader="none" w:pos="9220" w:val="left"/>
          <w:tab w:leader="none" w:pos="104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4174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140" w:type="dxa"/>
            <w:vAlign w:val="bottom"/>
            <w:tcBorders>
              <w:top w:val="single" w:sz="8" w:color="CCEEFF"/>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1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equipment, internal-use software, and intangible asset in credit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140" w:type="dxa"/>
            <w:vAlign w:val="bottom"/>
            <w:shd w:val="clear" w:color="auto" w:fill="CCEEFF"/>
          </w:tcPr>
          <w:p>
            <w:pPr>
              <w:spacing w:after="0"/>
              <w:rPr>
                <w:sz w:val="21"/>
                <w:szCs w:val="21"/>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right-of-use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stock-based compensation cost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 proceeds from option exercises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9"/>
        </w:trPr>
        <w:tc>
          <w:tcPr>
            <w:tcW w:w="140" w:type="dxa"/>
            <w:vAlign w:val="bottom"/>
            <w:shd w:val="clear" w:color="auto" w:fill="CCEEFF"/>
          </w:tcPr>
          <w:p>
            <w:pPr>
              <w:spacing w:after="0"/>
              <w:rPr>
                <w:sz w:val="21"/>
                <w:szCs w:val="21"/>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incentive recognized as leasehold improvements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3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70"/>
        </w:trPr>
        <w:tc>
          <w:tcPr>
            <w:tcW w:w="140" w:type="dxa"/>
            <w:vAlign w:val="bottom"/>
            <w:tcBorders>
              <w:top w:val="single" w:sz="8" w:color="CCEEFF"/>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1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5"/>
        </w:trPr>
        <w:tc>
          <w:tcPr>
            <w:tcW w:w="1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140" w:type="dxa"/>
            <w:vAlign w:val="bottom"/>
            <w:shd w:val="clear" w:color="auto" w:fill="CCEEFF"/>
          </w:tcPr>
          <w:p>
            <w:pPr>
              <w:spacing w:after="0"/>
              <w:rPr>
                <w:sz w:val="18"/>
                <w:szCs w:val="18"/>
                <w:color w:val="auto"/>
              </w:rPr>
            </w:pPr>
          </w:p>
        </w:tc>
        <w:tc>
          <w:tcPr>
            <w:tcW w:w="7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the consolidated balance sheet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70"/>
        </w:trPr>
        <w:tc>
          <w:tcPr>
            <w:tcW w:w="140" w:type="dxa"/>
            <w:vAlign w:val="bottom"/>
            <w:tcBorders>
              <w:top w:val="single" w:sz="8" w:color="CCEEFF"/>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140" w:type="dxa"/>
            <w:vAlign w:val="bottom"/>
            <w:tcBorders>
              <w:top w:val="single" w:sz="8" w:color="auto"/>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30"/>
        </w:trPr>
        <w:tc>
          <w:tcPr>
            <w:tcW w:w="14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44,625</w:t>
            </w:r>
          </w:p>
        </w:tc>
      </w:tr>
      <w:tr>
        <w:trPr>
          <w:trHeight w:val="236"/>
        </w:trPr>
        <w:tc>
          <w:tcPr>
            <w:tcW w:w="140" w:type="dxa"/>
            <w:vAlign w:val="bottom"/>
            <w:tcBorders>
              <w:bottom w:val="single" w:sz="8" w:color="CCEEFF"/>
            </w:tcBorders>
          </w:tcPr>
          <w:p>
            <w:pPr>
              <w:spacing w:after="0"/>
              <w:rPr>
                <w:sz w:val="20"/>
                <w:szCs w:val="20"/>
                <w:color w:val="auto"/>
              </w:rPr>
            </w:pPr>
          </w:p>
        </w:tc>
        <w:tc>
          <w:tcPr>
            <w:tcW w:w="73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Restricted cash included in other assets, noncurrent</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57"/>
        </w:trPr>
        <w:tc>
          <w:tcPr>
            <w:tcW w:w="14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140" w:type="dxa"/>
            <w:vAlign w:val="bottom"/>
          </w:tcPr>
          <w:p>
            <w:pPr>
              <w:spacing w:after="0"/>
              <w:rPr>
                <w:sz w:val="19"/>
                <w:szCs w:val="19"/>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45,833</w:t>
            </w:r>
          </w:p>
        </w:tc>
      </w:tr>
      <w:tr>
        <w:trPr>
          <w:trHeight w:val="20"/>
        </w:trPr>
        <w:tc>
          <w:tcPr>
            <w:tcW w:w="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GENERAL</w:t>
      </w:r>
    </w:p>
    <w:p>
      <w:pPr>
        <w:spacing w:after="0" w:line="184"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Kaltura, Inc. (together with its subsidiaries, the “Company”) was incorporated in October 2006 and commenced operations in January 2007. The Company’s business operations are allocated between two main segments, Enterprise, Education, and Technology (“EE&amp;T”) and Media and Telecom (“M&amp;T”). The Company has developed a platform for video creation, management, and collaboration. The Company's platform enables companies, educational institutions, and other organizations to cost-effectively launch advanced online video experiences, including for Over-the-top (“OTT”) Television, Cloud TV, web video publishing, video-based teaching, learning, and training, video-based marketing, and video-based collaboration. The Company’s core offerings consist of various Software-as-a-Service (“SaaS”) products and solutions and a Platform-as-a-Service (“PaaS”).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incremental borrowing rate for operating leases, fair value of financial assets and liabilities, including fair value of derivatives, fair value and useful life of intangible assets, as well as in estimates used in applying the revenue recognition policy.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Kaltura Inc. and its subsidiaries are conducted is the U.S. dollar; thus, the dollar is the functional currency of Kaltura Inc. and its subsidiaries.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Accordingly, monetary accounts maintained in currencies other than the U.S. dollar are remeasured into U.S. dollars in accordance with Statement of the Accounting Standard Codification (“ASC”) 830 “Foreign Currency Matters” (“ASC 830”). All transaction gains and losses of the remeasured monetary balance sheet items are reflected in the statements of operations as financial income or expenses, as appropriate.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Intercompany transactions and balances have been eliminated upon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Cash equivalents are short term, highly liquid investments that are readily convertible to cash with original maturities of three months or less, at the date acquired.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Restricted cash is primarily invested in deposits held to maturity, stated at cost, which also approximates their fair value, and are used as security for the Company's liabilities. These deposits are used mainly as security for rent payments, and the Company's credit cards. Restricted cash is presented in the balance sheet as part of other assets, noncurrent.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accounts for investments in marketable securities in accordance with ASC No. 320, “Investments - Debt Securities”. Management determines the appropriate classification of its investments at the time of purchase and reevaluates such determinations at each balance sheet date. The Company classifies all of its debt securities as available-for-sale. Available-for-sale debt securities are carried at fair value, with the unrealized gains and losses, net of tax, reported in accumulated other comprehensive income (loss)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Realized gains and losses on sale of investments are included in financial expenses (income), net and are derived using the specific identification method for determining the cost of securities sold.</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amortized cost of debt securities is adjusted for amortization of premiums and accretion of discounts to maturity. Such amortization together with interest on securities is included in financial income, net.</w:t>
      </w:r>
    </w:p>
    <w:p>
      <w:pPr>
        <w:spacing w:after="0" w:line="10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available-for-sale debt securities for impairment.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financial expenses (income), net in the Consolidated Statements of Operations. If neither of these criteria are met, the Company determines whether credit loss exists. Credit loss is estimated by considering changes to the rating of the security by a rating agency, any adverse conditions specifically related to the security, as well as other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Trade receivables are recorded at the invoiced amount and includes also amounts for which revenue has been recognized but not invoiced. The allowance for credit losses is based on the Company's assessments of factors that may affect a customer's ability to pay. The Company regularly reviews the adequacy of the allowance for credit losses based on a combination of factors, including an assessment of the current customer's aging balance, the nature and size of the customer, the financial condition of the customer, and the amount of any receivables in dispute. There were no material write-offs for allowance of doubtful accounts recognized in the periods presented. The Company does not have any off-balance sheet credit exposure related to its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Derivatives are recognized at fair value as either assets or liabilities in the consolidated balance sheets in accordance with ASC Topic 815, “Derivatives and Hedging.” The gain or loss of derivatives that are designated and qualify as hedging instruments in a cash flow hedge, is recorded under accumulated other comprehensive income (loss) and reclassified into earnings in the same period or periods during which the hedged transaction affects earnings. Derivatives are classified within Level 2 of the fair value hierarchy as the valuation inputs are based on quoted prices and market observable data of similar instruments.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51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189"/>
        </w:trPr>
        <w:tc>
          <w:tcPr>
            <w:tcW w:w="6120" w:type="dxa"/>
            <w:vAlign w:val="bottom"/>
          </w:tcPr>
          <w:p>
            <w:pPr>
              <w:spacing w:after="0"/>
              <w:rPr>
                <w:sz w:val="16"/>
                <w:szCs w:val="16"/>
                <w:color w:val="auto"/>
              </w:rPr>
            </w:pPr>
          </w:p>
        </w:tc>
        <w:tc>
          <w:tcPr>
            <w:tcW w:w="5120" w:type="dxa"/>
            <w:vAlign w:val="bottom"/>
            <w:tcBorders>
              <w:bottom w:val="single" w:sz="8" w:color="auto"/>
            </w:tcBorders>
          </w:tcPr>
          <w:p>
            <w:pPr>
              <w:spacing w:after="0"/>
              <w:rPr>
                <w:sz w:val="16"/>
                <w:szCs w:val="16"/>
                <w:color w:val="auto"/>
              </w:rPr>
            </w:pPr>
          </w:p>
        </w:tc>
      </w:tr>
      <w:tr>
        <w:trPr>
          <w:trHeight w:val="250"/>
        </w:trPr>
        <w:tc>
          <w:tcPr>
            <w:tcW w:w="6120" w:type="dxa"/>
            <w:vAlign w:val="bottom"/>
          </w:tcPr>
          <w:p>
            <w:pPr>
              <w:spacing w:after="0"/>
              <w:rPr>
                <w:sz w:val="21"/>
                <w:szCs w:val="21"/>
                <w:color w:val="auto"/>
              </w:rPr>
            </w:pPr>
          </w:p>
        </w:tc>
        <w:tc>
          <w:tcPr>
            <w:tcW w:w="5120" w:type="dxa"/>
            <w:vAlign w:val="bottom"/>
          </w:tcPr>
          <w:p>
            <w:pPr>
              <w:spacing w:after="0"/>
              <w:rPr>
                <w:sz w:val="21"/>
                <w:szCs w:val="21"/>
                <w:color w:val="auto"/>
              </w:rPr>
            </w:pPr>
          </w:p>
        </w:tc>
      </w:tr>
      <w:tr>
        <w:trPr>
          <w:trHeight w:val="250"/>
        </w:trPr>
        <w:tc>
          <w:tcPr>
            <w:tcW w:w="6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5120" w:type="dxa"/>
            <w:vAlign w:val="bottom"/>
            <w:tcBorders>
              <w:bottom w:val="single" w:sz="8" w:color="CCEEFF"/>
            </w:tcBorders>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1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7-15</w:t>
            </w:r>
          </w:p>
        </w:tc>
      </w:tr>
      <w:tr>
        <w:trPr>
          <w:trHeight w:val="189"/>
        </w:trPr>
        <w:tc>
          <w:tcPr>
            <w:tcW w:w="612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25"/>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Leasehold improvements</w:t>
            </w:r>
          </w:p>
        </w:tc>
        <w:tc>
          <w:tcPr>
            <w:tcW w:w="51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Over the shorter of the related lease period or the life of the</w:t>
            </w:r>
          </w:p>
        </w:tc>
      </w:tr>
      <w:tr>
        <w:trPr>
          <w:trHeight w:val="234"/>
        </w:trPr>
        <w:tc>
          <w:tcPr>
            <w:tcW w:w="6120" w:type="dxa"/>
            <w:vAlign w:val="bottom"/>
            <w:shd w:val="clear" w:color="auto" w:fill="CCEEFF"/>
          </w:tcPr>
          <w:p>
            <w:pPr>
              <w:spacing w:after="0"/>
              <w:rPr>
                <w:sz w:val="20"/>
                <w:szCs w:val="20"/>
                <w:color w:val="auto"/>
              </w:rPr>
            </w:pPr>
          </w:p>
        </w:tc>
        <w:tc>
          <w:tcPr>
            <w:tcW w:w="512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asset</w:t>
            </w:r>
          </w:p>
        </w:tc>
      </w:tr>
      <w:tr>
        <w:trPr>
          <w:trHeight w:val="27"/>
        </w:trPr>
        <w:tc>
          <w:tcPr>
            <w:tcW w:w="612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long-lived assets of the Company are reviewed for impairment in accordance with ASC 360, “Property, Plant and Equipment” (“ASC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There were no impairment charges to long-lived assets during the periods presented.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technology and trade name. The intangible assets are amortized over their estimated useful lives in proportion to the economic benefits realized. Intangible assets consist primarily of customer relationships, technology, and trade name.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for the intangible assets was recognized over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7"/>
        </w:trPr>
        <w:tc>
          <w:tcPr>
            <w:tcW w:w="74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50"/>
        </w:trPr>
        <w:tc>
          <w:tcPr>
            <w:tcW w:w="744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243"/>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38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7-9</w:t>
            </w:r>
          </w:p>
        </w:tc>
      </w:tr>
      <w:tr>
        <w:trPr>
          <w:trHeight w:val="189"/>
        </w:trPr>
        <w:tc>
          <w:tcPr>
            <w:tcW w:w="744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r>
      <w:tr>
        <w:trPr>
          <w:trHeight w:val="24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Technology</w:t>
            </w:r>
          </w:p>
        </w:tc>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5-8</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business combinations using the acquisition method of accounting, which requires that the assets acquired and liabilities assumed be recorded at the date of acquisition at their respective fair values.</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Goodwill is subject to an impairment test at the reporting unit level at least annually in the fourth quarter, or more frequently if events or changes in circumstances indicate that goodwill may be impaired. The Company identified two reporting units - EE&amp;T and M&amp;T. Goodwill impairment is deemed to exist if the net book value of a reporting unit exceeds its estimated fair value. An impairment loss is recognized in an amount equal to the excess. There were no impairment charges to goodwill during the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currently does not have any finance leases.</w:t>
      </w:r>
    </w:p>
    <w:p>
      <w:pPr>
        <w:spacing w:after="0" w:line="17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Operating lease right-of-use (“ROU”) assets and liabilities are recognized at the present value of the future lease payments at the lease commencement date. The Company combines its lease payments and fixed payments for non-lease components and account for them together as a single lease component. Operating lease ROU assets also include any prepaid lease payments and lease incentives. Certain lease agreements include rental payments adjusted periodically for the consumer price index (“CPI”). The ROU and lease liability were calculated using the initial CPI and will not be subsequently adjusted, unless the liability is reassessed for other reasons. Payments for variable lease costs are expensed as incurred and not included in the operating lease ROU assets and liabilities. For short-term leases with a term of 12 months or less, operating lease ROU assets and liabilities are not recognized and the Company records lease payments in the Consolidated Statements of Operations on a straight-line basis over the lease term.</w:t>
      </w:r>
    </w:p>
    <w:p>
      <w:pPr>
        <w:spacing w:after="0" w:line="13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Company’s incremental borrowing rate is estimated to approximate the interest rate on a collateralized basis with similar terms and payments, and in economic environments where the leased asset is located. Many of the Company’s lease agreements provide one or more options to renew. When determining lease terms, the Company uses the non-cancellable period of the leases and do not assume renewals unless it is reasonably certain that the Company will exercise that option. Operating lease expense is recognized on a straight-line basis over the lease term.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Pay</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majority of Kaltura Israel's agreements with its employees in Israel are in accordance with section 14 of the Israeli Severance Pay Law. Upon contribution of the full amount of the employee's monthly salary and release of the policy to the employee, no additional legal obligation exists between the parties and no additional payments are made by the Company to the employee; therefore, related assets and liabilities are not presented in the balance sheet.</w:t>
      </w:r>
    </w:p>
    <w:p>
      <w:pPr>
        <w:spacing w:after="0" w:line="12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 Kaltura Israel employees who are not subject to section 14, the Company calculated the liability for severance pay pursuant to the Severance Pay Law based on the most recent salary of these employees multiplied by the number of years of employment as of the balance sheet date. Kaltura Israel's liability for these employees is fully provided for via monthly deposits with severance pay funds, insurance policies and an accrual. The value of these deposits is recorded as an asset on the Company's balance sheet in other assets,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Severance expenses recorded in Kaltura Israel for the years ended December 31, 2024, 2023 and 2022 amounted to $2,902, $3,194 and $3,976, respectively.</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Company's employees in the U.S. receive severance benefits in the event of an involuntary termination that increase in accordance with their tenure and base salary. The Company accounts for post-employment benefits in accordance with ASC Topic No. 712, Compensation – Nonretirement Post-employment Benefits. These benefits, primarily severance, are not accrued until the amount can be reasonably estimated.</w:t>
      </w:r>
    </w:p>
    <w:p>
      <w:pPr>
        <w:spacing w:after="0" w:line="122" w:lineRule="exact"/>
        <w:rPr>
          <w:sz w:val="20"/>
          <w:szCs w:val="20"/>
          <w:color w:val="auto"/>
        </w:rPr>
      </w:pPr>
    </w:p>
    <w:p>
      <w:pPr>
        <w:ind w:right="240" w:firstLine="441"/>
        <w:spacing w:after="0" w:line="406" w:lineRule="auto"/>
        <w:rPr>
          <w:sz w:val="20"/>
          <w:szCs w:val="20"/>
          <w:color w:val="auto"/>
        </w:rPr>
      </w:pPr>
      <w:r>
        <w:rPr>
          <w:rFonts w:ascii="Times New Roman" w:cs="Times New Roman" w:eastAsia="Times New Roman" w:hAnsi="Times New Roman"/>
          <w:sz w:val="18"/>
          <w:szCs w:val="18"/>
          <w:color w:val="auto"/>
        </w:rPr>
        <w:t xml:space="preserve">Severance expenses recorded in Kaltura U.S. for the years ended December 31, 2024, 2023 and 2022, amounted to $343, $2 and $71, respectively. </w:t>
      </w:r>
      <w:r>
        <w:rPr>
          <w:rFonts w:ascii="Times New Roman" w:cs="Times New Roman" w:eastAsia="Times New Roman" w:hAnsi="Times New Roman"/>
          <w:sz w:val="18"/>
          <w:szCs w:val="18"/>
          <w:b w:val="1"/>
          <w:bCs w:val="1"/>
          <w:i w:val="1"/>
          <w:iCs w:val="1"/>
          <w:color w:val="auto"/>
        </w:rPr>
        <w:t>Israeli Employees Defined Contribution Plan</w:t>
      </w:r>
    </w:p>
    <w:p>
      <w:pPr>
        <w:spacing w:after="0" w:line="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Company has established a pension contribution plan with respect to Kaltura Israel's employees. Under the plan, Kaltura Israel contributed up to 6.5% of each employee's monthly salary toward the plan. Employees are entitled to amounts accumulated in the plan upon reaching retirement age, subject to any applicable law.</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Defined contribution pension plan expenses for the years ended December 31, 2024, 2023 and 2022 amounted to $2,316, $2,397 and $3,099,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recognizes revenue under Accounting Standards Codification Topic 606, Revenue from Contracts with Customers (“ASC 606”). Under ASC 606, the Company recognizes revenue when its customer obtains control of promised goods or services in an amount that reflects the consideration that the Company expects to receive in exchange for those goods or services. The Company applies judgment in identifying and evaluating terms and conditions in contracts which may impact revenue recognition. To determine the appropriate amount of revenue to be recognized as it fulfills its obligations under each of its agreements, the Company performs the following steps: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6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The Company engages in formal, written, and binding contracts with its customers that create enforceable rights and obligations between the parties and state each party’s rights regarding the license and services to be transferred and the terms of payment. The Company evaluates the probability of collection of the consideration that it is entitled to receive in exchange for the subscriptions and professional services it transfers to the customer. The Company records trade receivables and related contract liabilities for non-cancelable contracts with customers when the right to consideration is unconditional.</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6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or services that will be transferred to the customer that are both capable of being distinct, whereby the customer can benefit from the goods or service either on its own or together with other resources that are readily available from the Company or from third-parties, and are distinct in the context of the contract, whereby the transfer of the goods or services is separately identifiable from other promises in the contract.</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provides subscriptions and post-contract services (“PCS”) to its Video Experience Cloud, which powers live, real-time, and on-demand video experiences. The Company provides access to its platform either as a cloud-based service (“SaaS” or “PaaS”) or, less commonly, as a license to software installed on the customer's premises (“On-Prem”) all together defined as subscriptions in the statement of operations.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Professional Services (“PS”) consist of integration, configuration and customization activities. In some of the Company's arrangements, PS are accounted for as a separate performance obligation. However, in some of the Company’s SaaS and PaaS arrangements the Company determined that the PS are solely set up activities that do not transfer goods or services to the customer and therefore are not accounted for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6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which the Company is expected to be entitled to in exchange for transferring the promised goods or services to the customer. This transaction price is exclusive of amounts collected on behalf of third parties, such as sales tax and value-added tax. The Company rarely provides its customers with price concessions.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Company's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w:t>
      </w:r>
    </w:p>
    <w:p>
      <w:pPr>
        <w:spacing w:after="0" w:line="33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rarely has contracts for which the difference between the payment date and the revenue recognition timing is more than 12 months. The primary purpose of the Company’s payment terms is to provide customers with a simple and predictable way to purchase the Company’s subscriptions, not to provide customers with financing.</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the Company has elected to apply the practical expedient for financing component for transactions in which the difference between the payment date and the revenue recognition timing is up to 12 months.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performance obligations in the contract</w:t>
      </w:r>
    </w:p>
    <w:p>
      <w:pPr>
        <w:spacing w:after="0" w:line="6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When applicable, the Company allocates the transaction price between the separate performance obligations according to their SSP, which is based on the price at which the performance obligation is sold separately. If the SSP is not observable through past transactions, the Company estimates the SSP taking into account available information, including, but not limited to, pricing practices, market conditions, and the economic life of the software.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6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promised good or service to the customer. Revenue is recognized when control of the good or services is transferred to the customer, in an amount that reflects the consideration expected to be received in exchange for those services. A customer obtains control of a good or service if it has the ability to direct the use of and obtain substantially all of the remaining benefits from the good or service.</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Revenue from SaaS and PaaS subscriptions is recognized ratably over the time of the subscription, beginning from the date in which the customer is granted access to the subscription. Revenue from the sale of a term license in On-Prem deals is recognized at a point in time in which the license is delivered to the customer.</w:t>
      </w:r>
    </w:p>
    <w:p>
      <w:pPr>
        <w:spacing w:after="0" w:line="122" w:lineRule="exact"/>
        <w:rPr>
          <w:sz w:val="20"/>
          <w:szCs w:val="20"/>
          <w:color w:val="auto"/>
        </w:rPr>
      </w:pPr>
    </w:p>
    <w:p>
      <w:pPr>
        <w:ind w:left="440" w:right="2140"/>
        <w:spacing w:after="0" w:line="438" w:lineRule="auto"/>
        <w:rPr>
          <w:sz w:val="20"/>
          <w:szCs w:val="20"/>
          <w:color w:val="auto"/>
        </w:rPr>
      </w:pPr>
      <w:r>
        <w:rPr>
          <w:rFonts w:ascii="Times New Roman" w:cs="Times New Roman" w:eastAsia="Times New Roman" w:hAnsi="Times New Roman"/>
          <w:sz w:val="18"/>
          <w:szCs w:val="18"/>
          <w:color w:val="auto"/>
        </w:rPr>
        <w:t xml:space="preserve">Revenue from post-contract services included in On-Prem projects is recognized ratably over the time of the PCS. Revenue from PS that is accounted for as a separate performance obligation is recognized upon rendering of the service. </w:t>
      </w:r>
      <w:r>
        <w:rPr>
          <w:rFonts w:ascii="Times New Roman" w:cs="Times New Roman" w:eastAsia="Times New Roman" w:hAnsi="Times New Roman"/>
          <w:sz w:val="18"/>
          <w:szCs w:val="18"/>
          <w:u w:val="single" w:color="auto"/>
          <w:color w:val="auto"/>
        </w:rPr>
        <w:t>Contract Costs</w:t>
      </w:r>
    </w:p>
    <w:p>
      <w:pPr>
        <w:spacing w:after="0" w:line="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Some of the sales commissions and bonuses earned by the Company's employees and management are considered incremental and recoverable costs of obtaining a contract with a customer. Sales commissions and bonuses for new contracts are deferred and then amortized consistently with the pattern of revenue recognition for each performance obligation for contracts for which the commissions were earned, mainly on a straight-line basis, over a period of benefit that the Company has estimated to be mainly five years. This period of benefit was determined by taking into consideration the technology's useful life.</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Sales bonuses for renewal contracts are deferred and then amortized on a straight-line basis over the related contractual renewal period.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classifies deferred costs as current or noncurrent based on the timing of when the Company expects to recognize the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Amortization of sales commissions are consistent with the pattern of revenue recognition of each performance obligation and are included in sales and marketing expense in the consolidated statements of operations.</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capitalizes costs incurred to fulfill its contracts when the costs relate directly to a contract and are expected to generate resources that will be used to satisfy the performance obligation under the contract and are expected to be recovered through revenues generated under the contract. Costs to fulfill contracts are expensed to cost of revenue on a straight-line basis over a period of five years which reflects the technological useful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7"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7"/>
          <w:szCs w:val="17"/>
          <w:color w:val="auto"/>
        </w:rPr>
        <w:t>ost of subscription revenue consists primarily of employee-related costs including payroll, benefits and stock-based compensation expense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operations and customer support teams, production costs mainly consist of cloud hosting providers and other third-party service providers, amortization of capitalized software development costs and acquired technology and allocated overhead costs.</w:t>
      </w:r>
    </w:p>
    <w:p>
      <w:pPr>
        <w:spacing w:after="0" w:line="10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Cost of professional services consists primarily of personnel costs of our professional services organization, including payroll, benefits, and stock-based compensation expense, allocated overhead costs and other third-party service providers.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the statements of operations as incurred, except to the extent that such costs are associated with internal-use software that qualifies for capitalization.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Costs incurred to develop internal-use software are capitalized and amortized over the estimated useful life of the software, which is generally five years. In accordance with ASC Topic, 350-40, “Internal-Use Software,” capitalization of costs to develop internal-use software begins when preliminary development efforts are successfully completed, the Company has committed project funding and it is probable that the project will be completed and the software will be used as intended. Costs related to the maintenance of internal-use software are expensed as incurred.</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 Capitalized internal-use software costs are recorded under property and equipment, net.</w:t>
      </w:r>
    </w:p>
    <w:p>
      <w:pPr>
        <w:spacing w:after="0" w:line="12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When events or changes in circumstances require, the Company assesses the likelihood of recovering the cost of internal-use software. If the net book value is not expected to be fully recoverable, internal-use software would be impaired to its fair value. During the year ended December 31, 2024 the Company did not capitalize software development costs. During the years ended December 31, 2023 and 2022, the Company capitalized $1,660 and $5,115 of software development costs, respectively. No impairment was recorded for the years ended December 31, 2024,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include marketing activities, demand generation, events, public relations and brand-building activities. Advertising costs for the years ended December 31, 2024, 2023 and 2022, amounted to $3,366, $3,951 and $5,767, respectively, and are included in sales and marketing expenses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718,“Compensation - Stock Compensation” (“ASC 718”). ASC 718 requires companies to estimate the fair value of equity-based payment awards on the date of grant using an option-pricing model. The value of the portion of the award is recognized as an expense over the requisite service periods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Service-Based Awards</w:t>
      </w:r>
    </w:p>
    <w:p>
      <w:pPr>
        <w:spacing w:after="0" w:line="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grants stock option awards and restricted stock units (“RSUs”), that vest only based upon the satisfaction of a service condition. For RSUs with performance conditions, expenses are recognized when it is probable that the performance condition will be achieved. The probability of achievement is assessed periodically to determine whether the performance metric continues to be probable. When there is a change in the probability of achievement, any cumulative effect of the change is recognized in the period of the change and the remaining unrecognized compensation will be amortized prospectively over the respective vesting period. The Company selected the Black-Scholes option-pricing model as the most appropriate fair value method for its option awards. The option-pricing model requires a number of assumptions, of which the most significant are the fair value of its common stock, the expected stock price volatility, expected option term, risk-free interest rates and expected dividend yield.</w:t>
      </w:r>
    </w:p>
    <w:p>
      <w:pPr>
        <w:spacing w:after="0" w:line="13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assumptions used to determine the fair value of the option awards represent management’s best estimates. These estimates involve inherent uncertainties and the application of management’s judgment. For RSUs, the Company determines the grant-date fair value of the RSUs as the fair value of the Company’s common stock on the grant date.</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for options and stock awards that have a graded vesting schedule and contain only service condition on a straight-line basis over the requisite service period for the entire award. Forfeitures are accounted for as they occur instead of estimating the number of awards expected to be forfeited.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Market-Based Awards</w:t>
      </w:r>
    </w:p>
    <w:p>
      <w:pPr>
        <w:spacing w:after="0" w:line="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has granted three of its executives stock options that vest only upon the satisfaction of market-based conditions. The market-based conditions reflect specific prices for the Company’s common stock, which must be exceeded for each tranche of the grant to vest.</w:t>
      </w:r>
    </w:p>
    <w:p>
      <w:pPr>
        <w:spacing w:after="0" w:line="1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For market-based awards, the Company determined the grant-date fair value utilizing a Monte Carlo simulation model, which incorporates various assumptions including expected stock price volatility, risk-free interest rates, expected exercise behavior for vested options, expected date of a qualifying event and expected form and timing of a liquidity event. The Company estimated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spacing w:after="0" w:line="13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expenses for the value of its market-based awards based on the accelerated attribution method over the estimated requisite service period of each of the awards. The Company has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accounted for business combination in accordance with ASC 805, “Business combinations”. ASC 805 requires recognition of assets acquired, liabilities assumed, and any non-controlling interest at the acquisition date, measured at fair values as of that date. Any excess of the fair value of net assets acquired over purchase price and any subsequent changes in estimated contingencies are to be recorded in earnings.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Acquisition related costs are expensed to the statement of operations in the period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This codification prescribes the use of the asset and liability method whereby deferred tax asset and liability account balances are determined based on differences between financial reporting and tax bases of assets and liabilities and for carry-forward tax losses.</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Deferred taxes are measured using the enacted tax rates and laws that will be in effect when the differences are expected to reverse. The Company provides a valuation allowance, if necessary, to reduce deferred tax assets to their estimated realizable value if it is more likely than not that some portion or all of the deferred tax asset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tax benefits recognized in the consolidated financial statements from such a position should be measured based on the largest benefit that has a greater than fifty percent likelihood of being realized upon ultimate settlement. Accordingly, the Company reports a liability for unrecognized tax benefits resulting from uncertain tax positions taken or expected to be taken in a tax return (see also Note 11).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Company's basic net loss per share is calculated by dividing net loss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common stock are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marketable securities, restricted cash and trade receivables.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trade receivables are geographically dispersed and derived from sales to customers mainly in the United States, Europe and Asia.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 of credit risk with respect to trade receivables is limited by credit limits, ongoing credit evaluation and account monitoring procedures.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customer data as a percentage of total revenues: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customer that represented 10% or more of the Company’s total revenue in each of the periods set forth below:</w:t>
      </w:r>
    </w:p>
    <w:p>
      <w:pPr>
        <w:spacing w:after="0" w:line="235"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tbl>
      <w:tblPr>
        <w:tblLayout w:type="fixed"/>
        <w:tblInd w:w="260" w:type="dxa"/>
        <w:tblCellMar>
          <w:top w:w="0" w:type="dxa"/>
          <w:left w:w="0" w:type="dxa"/>
          <w:bottom w:w="0" w:type="dxa"/>
          <w:right w:w="0" w:type="dxa"/>
        </w:tblCellMar>
      </w:tblPr>
      <w:tr>
        <w:trPr>
          <w:trHeight w:val="270"/>
        </w:trPr>
        <w:tc>
          <w:tcPr>
            <w:tcW w:w="6100" w:type="dxa"/>
            <w:vAlign w:val="bottom"/>
          </w:tcPr>
          <w:p>
            <w:pPr>
              <w:spacing w:after="0"/>
              <w:rPr>
                <w:sz w:val="23"/>
                <w:szCs w:val="23"/>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6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7"/>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 A (Media and Telecom)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10.73 %</w:t>
            </w:r>
          </w:p>
        </w:tc>
        <w:tc>
          <w:tcPr>
            <w:tcW w:w="10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10.22 %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6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Represents an amount that is lower than 10% of the Company’s total revenue.</w:t>
            </w: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Unobservable inputs are inputs that reflect the Company's assumptions about the assumptions market participants would use in pricing the asset or liability developed based on the best information available in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a basis for considering such assumptions, ASC 820 establishes a three-tier value hierarchy, which prioritizes the inputs used in the valuation methodologies in measuring fair value:</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Level 1 - 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Level 2 - Valuations based on one or more quoted prices in markets that are not active or for which all significant inputs are observable, either directly or indirectly.</w:t>
      </w:r>
    </w:p>
    <w:p>
      <w:pPr>
        <w:spacing w:after="0" w:line="108" w:lineRule="exact"/>
        <w:rPr>
          <w:sz w:val="20"/>
          <w:szCs w:val="20"/>
          <w:color w:val="auto"/>
        </w:rPr>
      </w:pPr>
    </w:p>
    <w:p>
      <w:pPr>
        <w:ind w:left="440"/>
        <w:spacing w:after="0"/>
        <w:tabs>
          <w:tab w:leader="none" w:pos="126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Valuations based on inputs that are unobservable and significant to the overall fair value measurement.</w:t>
      </w:r>
    </w:p>
    <w:p>
      <w:pPr>
        <w:spacing w:after="0" w:line="17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trade receivables, prepaid expenses and other current assets, employees and payroll accruals, trade payables, accrued expenses and other current liabilities, current portion of long-term loans and current portion of long-term lease approximate their fair value due to the short-term maturities of such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the Company or one of its subsidiaries become involved in legal proceedings or is subject to claims arising in its ordinary course of business. Such matters are generally subject to many uncertainties and outcomes and are not predictable with assurance. Specifically, the Company might be subject to contractual penalties, including liquidated damages, as well as breach of contract claims, which could result in litigation and cause the Company to incur additional costs, including in the form of additional damages or settlement payments. The Company accrues for contingencies when the loss is probable and it can reasonably estimate the amount of any such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to disclose significant segment expenses and other segment items on an annual and interim basis and provide in interim periods all disclosures about a reportable segment’s profit or loss and assets that are currently required annually.</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new standard is effective for fiscal years beginning after December 15, 2023, and interim periods within fiscal years beginning after December 15, 2024, with early adoption permitted. The Company adopted this guidance during the year ended December 31, 2024. See Note 13 Reportable Segments and Geographical Information in the accompanying notes to the consolidated financial statements for further detail.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2023-09, “Income Taxes - Improvements to Income Tax Disclosures”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The Company is currently evaluating the impact of the adoption of this standard.</w:t>
      </w:r>
    </w:p>
    <w:p>
      <w:pPr>
        <w:spacing w:after="0" w:line="12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 Reporting Comprehensive Income — Expense Disaggregation Disclosures”, which requires disclosure, on an annual and interim basis, of disaggregated information about certain income statement expense line items. The ASU does not change the expense captions presented on the face of the income statement; rather, it mandates the disaggregation of certain expense captions into specified categories within the footnotes to the financial statements. This ASU is effective for fiscal years beginning after December 15, 2026, and for interim periods within fiscal years beginning after December 15, 2027. The Company is currently evaluating the impact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REVENUES FROM CONTRACTS WITH CUSTOMERS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disaggregated revenue by category:</w:t>
      </w:r>
    </w:p>
    <w:p>
      <w:pPr>
        <w:spacing w:after="0" w:line="200" w:lineRule="exact"/>
        <w:rPr>
          <w:sz w:val="20"/>
          <w:szCs w:val="20"/>
          <w:color w:val="auto"/>
        </w:rPr>
      </w:pPr>
    </w:p>
    <w:p>
      <w:pPr>
        <w:spacing w:after="0" w:line="251"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80" w:type="dxa"/>
            <w:vAlign w:val="bottom"/>
            <w:tcBorders>
              <w:bottom w:val="single" w:sz="8" w:color="auto"/>
            </w:tcBorders>
          </w:tcPr>
          <w:p>
            <w:pPr>
              <w:spacing w:after="0"/>
              <w:rPr>
                <w:sz w:val="20"/>
                <w:szCs w:val="20"/>
                <w:color w:val="auto"/>
              </w:rPr>
            </w:pPr>
          </w:p>
        </w:tc>
      </w:tr>
      <w:tr>
        <w:trPr>
          <w:trHeight w:val="230"/>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Enterprise, Education and Technology</w:t>
            </w:r>
          </w:p>
        </w:tc>
        <w:tc>
          <w:tcPr>
            <w:tcW w:w="320" w:type="dxa"/>
            <w:vAlign w:val="bottom"/>
          </w:tcPr>
          <w:p>
            <w:pPr>
              <w:spacing w:after="0"/>
              <w:rPr>
                <w:sz w:val="20"/>
                <w:szCs w:val="20"/>
                <w:color w:val="auto"/>
              </w:rPr>
            </w:pPr>
          </w:p>
        </w:tc>
        <w:tc>
          <w:tcPr>
            <w:tcW w:w="338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Media and Telecom</w:t>
            </w:r>
          </w:p>
        </w:tc>
      </w:tr>
      <w:tr>
        <w:trPr>
          <w:trHeight w:val="237"/>
        </w:trPr>
        <w:tc>
          <w:tcPr>
            <w:tcW w:w="3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r>
      <w:tr>
        <w:trPr>
          <w:trHeight w:val="257"/>
        </w:trPr>
        <w:tc>
          <w:tcPr>
            <w:tcW w:w="3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80" w:type="dxa"/>
            <w:vAlign w:val="bottom"/>
            <w:tcBorders>
              <w:top w:val="single" w:sz="8" w:color="auto"/>
            </w:tcBorders>
            <w:shd w:val="clear" w:color="auto" w:fill="CCEEFF"/>
          </w:tcPr>
          <w:p>
            <w:pPr>
              <w:spacing w:after="0"/>
              <w:rPr>
                <w:sz w:val="22"/>
                <w:szCs w:val="22"/>
                <w:color w:val="auto"/>
              </w:rPr>
            </w:pPr>
          </w:p>
        </w:tc>
      </w:tr>
      <w:tr>
        <w:trPr>
          <w:trHeight w:val="229"/>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86.9 %</w:t>
            </w:r>
          </w:p>
        </w:tc>
      </w:tr>
      <w:tr>
        <w:trPr>
          <w:trHeight w:val="23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4"/>
        </w:trPr>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80" w:type="dxa"/>
            <w:vAlign w:val="bottom"/>
            <w:tcBorders>
              <w:bottom w:val="single" w:sz="8" w:color="auto"/>
            </w:tcBorders>
          </w:tcPr>
          <w:p>
            <w:pPr>
              <w:spacing w:after="0"/>
              <w:rPr>
                <w:sz w:val="20"/>
                <w:szCs w:val="20"/>
                <w:color w:val="auto"/>
              </w:rPr>
            </w:pPr>
          </w:p>
        </w:tc>
      </w:tr>
      <w:tr>
        <w:trPr>
          <w:trHeight w:val="230"/>
        </w:trPr>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Enterprise, Education and Technology</w:t>
            </w:r>
          </w:p>
        </w:tc>
        <w:tc>
          <w:tcPr>
            <w:tcW w:w="320" w:type="dxa"/>
            <w:vAlign w:val="bottom"/>
          </w:tcPr>
          <w:p>
            <w:pPr>
              <w:spacing w:after="0"/>
              <w:rPr>
                <w:sz w:val="20"/>
                <w:szCs w:val="20"/>
                <w:color w:val="auto"/>
              </w:rPr>
            </w:pPr>
          </w:p>
        </w:tc>
        <w:tc>
          <w:tcPr>
            <w:tcW w:w="338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Media and Telecom</w:t>
            </w:r>
          </w:p>
        </w:tc>
      </w:tr>
      <w:tr>
        <w:trPr>
          <w:trHeight w:val="237"/>
        </w:trPr>
        <w:tc>
          <w:tcPr>
            <w:tcW w:w="3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r>
      <w:tr>
        <w:trPr>
          <w:trHeight w:val="257"/>
        </w:trPr>
        <w:tc>
          <w:tcPr>
            <w:tcW w:w="31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80" w:type="dxa"/>
            <w:vAlign w:val="bottom"/>
            <w:tcBorders>
              <w:top w:val="single" w:sz="8" w:color="auto"/>
            </w:tcBorders>
            <w:shd w:val="clear" w:color="auto" w:fill="CCEEFF"/>
          </w:tcPr>
          <w:p>
            <w:pPr>
              <w:spacing w:after="0"/>
              <w:rPr>
                <w:sz w:val="22"/>
                <w:szCs w:val="22"/>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84.3 %</w:t>
            </w:r>
          </w:p>
        </w:tc>
      </w:tr>
      <w:tr>
        <w:trPr>
          <w:trHeight w:val="23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4"/>
        </w:trPr>
        <w:tc>
          <w:tcPr>
            <w:tcW w:w="3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880" w:type="dxa"/>
            <w:vAlign w:val="bottom"/>
            <w:tcBorders>
              <w:bottom w:val="single" w:sz="8" w:color="auto"/>
            </w:tcBorders>
          </w:tcPr>
          <w:p>
            <w:pPr>
              <w:spacing w:after="0"/>
              <w:rPr>
                <w:sz w:val="20"/>
                <w:szCs w:val="20"/>
                <w:color w:val="auto"/>
              </w:rPr>
            </w:pPr>
          </w:p>
        </w:tc>
      </w:tr>
      <w:tr>
        <w:trPr>
          <w:trHeight w:val="230"/>
        </w:trPr>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Enterprise, Education and Technology</w:t>
            </w:r>
          </w:p>
        </w:tc>
        <w:tc>
          <w:tcPr>
            <w:tcW w:w="320" w:type="dxa"/>
            <w:vAlign w:val="bottom"/>
          </w:tcPr>
          <w:p>
            <w:pPr>
              <w:spacing w:after="0"/>
              <w:rPr>
                <w:sz w:val="20"/>
                <w:szCs w:val="20"/>
                <w:color w:val="auto"/>
              </w:rPr>
            </w:pPr>
          </w:p>
        </w:tc>
        <w:tc>
          <w:tcPr>
            <w:tcW w:w="338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Media and Telecom</w:t>
            </w:r>
          </w:p>
        </w:tc>
      </w:tr>
      <w:tr>
        <w:trPr>
          <w:trHeight w:val="236"/>
        </w:trPr>
        <w:tc>
          <w:tcPr>
            <w:tcW w:w="3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r>
      <w:tr>
        <w:trPr>
          <w:trHeight w:val="257"/>
        </w:trPr>
        <w:tc>
          <w:tcPr>
            <w:tcW w:w="31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80" w:type="dxa"/>
            <w:vAlign w:val="bottom"/>
            <w:tcBorders>
              <w:top w:val="single" w:sz="8" w:color="auto"/>
            </w:tcBorders>
            <w:shd w:val="clear" w:color="auto" w:fill="CCEEFF"/>
          </w:tcPr>
          <w:p>
            <w:pPr>
              <w:spacing w:after="0"/>
              <w:rPr>
                <w:sz w:val="22"/>
                <w:szCs w:val="22"/>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w:t>
            </w:r>
          </w:p>
        </w:tc>
      </w:tr>
      <w:tr>
        <w:trPr>
          <w:trHeight w:val="229"/>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5"/>
        </w:trPr>
        <w:tc>
          <w:tcPr>
            <w:tcW w:w="3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the Company invoices in advance of performance under a contract. The current portion of the deferred revenue balance is recognized as revenue during the 12-month period after the balance sheet date.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noncurrent portion of the deferred revenue balance is recognized as revenue following the 12-month period after the balance sheet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Substantially all the revenue that was included in the deferred revenue, current as of January 1, 2024, was recognized as revenue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that has not yet been recognized, including both deferred revenue and contracted amounts that will be invoiced and recognized as revenue in future periods. As of December 31, 2024, the aggregate amount of the transaction price allocated to remaining performance obligations was $203,379, which consists of both billed consideration in the amount of $63,190 and unbilled consideration in the amount of $140,189 that the Company expects to recognize as revenue and was not yet recognized on the balance sheet. The Company expects to recognize 58% of its remaining performance obligations as revenue in the year ending December 31, 2025, and the remainder over the next four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represents a roll forward of costs to obtain a contract:</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deferred contract acquisition costs during the period</w:t>
            </w: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(10,149)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1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0" w:type="dxa"/>
            <w:vAlign w:val="bottom"/>
          </w:tcPr>
          <w:p>
            <w:pPr>
              <w:spacing w:after="0"/>
              <w:rPr>
                <w:sz w:val="1"/>
                <w:szCs w:val="1"/>
                <w:color w:val="auto"/>
              </w:rPr>
            </w:pPr>
          </w:p>
        </w:tc>
      </w:tr>
      <w:tr>
        <w:trPr>
          <w:trHeight w:val="256"/>
        </w:trPr>
        <w:tc>
          <w:tcPr>
            <w:tcW w:w="5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costs to obtain a contract</w:t>
            </w:r>
          </w:p>
        </w:tc>
        <w:tc>
          <w:tcPr>
            <w:tcW w:w="10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a Contract</w:t>
            </w: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represents a roll forward of costs to fulfill a contract:</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deferred costs to fulfill a contract during the period</w:t>
            </w: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costs to fulfill a contract</w:t>
            </w:r>
          </w:p>
        </w:tc>
        <w:tc>
          <w:tcPr>
            <w:tcW w:w="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fulfillment costs, current</w:t>
            </w:r>
          </w:p>
        </w:tc>
        <w:tc>
          <w:tcPr>
            <w:tcW w:w="10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fulfillment costs, noncurrent</w:t>
            </w: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costs to fulfill a contract</w:t>
            </w:r>
          </w:p>
        </w:tc>
        <w:tc>
          <w:tcPr>
            <w:tcW w:w="10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MARKETABLE SECURITIES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as of December 31, 2024 and December 31, 2023,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1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1"/>
                <w:szCs w:val="21"/>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within one year:</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after one year:</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1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6"/>
                <w:szCs w:val="16"/>
                <w:color w:val="auto"/>
              </w:rPr>
            </w:pPr>
          </w:p>
        </w:tc>
        <w:tc>
          <w:tcPr>
            <w:tcW w:w="11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within one year:</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after one year:</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the Company did not record an allowance for credit losses for its available-for-sale marketable debt securities and all of the gross unrealized losses of the Company's marketable securities have been in a continuous loss position for less than 12 months. There were no gains or losses from available-for-sale marketable securities that were reclassified out of accumulated other comprehensive loss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FAIR VALUE MEASUREMENTS</w:t>
      </w:r>
    </w:p>
    <w:p>
      <w:pPr>
        <w:spacing w:after="0" w:line="18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accordance with ASC 820, the Company measures its cash equivalents and marketable securities at fair value using the market approach valuation technique. Cash equivalents and marketable securities are classified within Level 1 or Level 2 because these assets are valued using quoted market prices or alternative pricing sources and models utilizing market observable inputs. Foreign currency derivative contracts are classified within the Level 2 value hierarchy, as the valuation inputs are based on quoted prices and market observable data of similar instruments.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c>
          <w:tcPr>
            <w:tcW w:w="0" w:type="dxa"/>
            <w:vAlign w:val="bottom"/>
          </w:tcPr>
          <w:p>
            <w:pPr>
              <w:spacing w:after="0"/>
              <w:rPr>
                <w:sz w:val="1"/>
                <w:szCs w:val="1"/>
                <w:color w:val="auto"/>
              </w:rPr>
            </w:pPr>
          </w:p>
        </w:tc>
      </w:tr>
      <w:tr>
        <w:trPr>
          <w:trHeight w:val="169"/>
        </w:trPr>
        <w:tc>
          <w:tcPr>
            <w:tcW w:w="7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4"/>
                <w:szCs w:val="14"/>
                <w:color w:val="auto"/>
              </w:rPr>
            </w:pPr>
          </w:p>
        </w:tc>
        <w:tc>
          <w:tcPr>
            <w:tcW w:w="122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35"/>
        </w:trPr>
        <w:tc>
          <w:tcPr>
            <w:tcW w:w="7040" w:type="dxa"/>
            <w:vAlign w:val="bottom"/>
            <w:gridSpan w:val="2"/>
            <w:vMerge w:val="continue"/>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1"/>
                <w:szCs w:val="11"/>
                <w:color w:val="auto"/>
              </w:rPr>
            </w:pP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06"/>
        </w:trPr>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6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at fair value on a recurring basis: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bank deposits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forward contracts designated as hedging instruments  </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bank deposit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liability included in accrued expenses and other current liabilities: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and forward contracts designated as hedging instruments  </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DERIVATIVES AND HEDGING</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enters into forward contracts to hedge certain forecasted payroll costs denominated in NIS against exchange rate fluctuations of the U.S. dollar for a period of up to twelve months. The Company recorded the cash flows associated with these derivatives under operating activities. The Company does not use derivative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Notional Amount of Foreign Currency Contracts</w:t>
      </w:r>
    </w:p>
    <w:p>
      <w:pPr>
        <w:spacing w:after="0" w:line="121" w:lineRule="exact"/>
        <w:rPr>
          <w:sz w:val="20"/>
          <w:szCs w:val="20"/>
          <w:color w:val="auto"/>
        </w:rPr>
      </w:pPr>
    </w:p>
    <w:p>
      <w:pPr>
        <w:jc w:val="both"/>
        <w:ind w:right="80" w:firstLine="441"/>
        <w:spacing w:after="0" w:line="261" w:lineRule="auto"/>
        <w:rPr>
          <w:sz w:val="20"/>
          <w:szCs w:val="20"/>
          <w:color w:val="auto"/>
        </w:rPr>
      </w:pPr>
      <w:r>
        <w:rPr>
          <w:rFonts w:ascii="Times New Roman" w:cs="Times New Roman" w:eastAsia="Times New Roman" w:hAnsi="Times New Roman"/>
          <w:sz w:val="18"/>
          <w:szCs w:val="18"/>
          <w:color w:val="auto"/>
        </w:rPr>
        <w:t>The Company had outstanding contracts designated as hedging instruments in the aggregate notional amount of $35,718, $15,093 as of December 31, 2024 and December 31, 2023, respectively. The fair value of the Company’s outstanding contracts amounted to an asset of $960 and $998 as of December 31, 2024 and December 31, 2023, respectively and a liability of $24 as of December 31, 2024. These assets and liabilities were recorded under prepaid expenses and other current assets and accrued expenses and other current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Foreign Currency Contracts on the Consolidated Statements of Operations</w:t>
      </w:r>
    </w:p>
    <w:p>
      <w:pPr>
        <w:spacing w:after="0" w:line="121" w:lineRule="exact"/>
        <w:rPr>
          <w:sz w:val="20"/>
          <w:szCs w:val="20"/>
          <w:color w:val="auto"/>
        </w:rPr>
      </w:pPr>
    </w:p>
    <w:p>
      <w:pPr>
        <w:jc w:val="both"/>
        <w:ind w:right="80" w:firstLine="441"/>
        <w:spacing w:after="0" w:line="282" w:lineRule="auto"/>
        <w:rPr>
          <w:sz w:val="20"/>
          <w:szCs w:val="20"/>
          <w:color w:val="auto"/>
        </w:rPr>
      </w:pPr>
      <w:r>
        <w:rPr>
          <w:rFonts w:ascii="Times New Roman" w:cs="Times New Roman" w:eastAsia="Times New Roman" w:hAnsi="Times New Roman"/>
          <w:sz w:val="18"/>
          <w:szCs w:val="18"/>
          <w:color w:val="auto"/>
        </w:rPr>
        <w:t>The effect of foreign currency contracts on the consolidated statements of operations during the year ended December 31, 2024, 2023 and 2022 was as follows:</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Location:</w:t>
            </w:r>
          </w:p>
        </w:tc>
        <w:tc>
          <w:tcPr>
            <w:tcW w:w="1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17"/>
                <w:szCs w:val="17"/>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3"/>
        </w:trPr>
        <w:tc>
          <w:tcPr>
            <w:tcW w:w="43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0"/>
        </w:trPr>
        <w:tc>
          <w:tcPr>
            <w:tcW w:w="4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Gain of $832 and Losses of $2,241 and $1,418 was reclassified from accumulated other comprehensive income (loss) during the year ended December 31, 2024, 2023 and 2022, respectively. Such losses was reclassified from accumulated other comprehensive income (loss) when the related expenses were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LEASES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leases its office facilities under agreements that expire at various dates through July 2032.</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Components of operating lease expense were as follows: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2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6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50"/>
        </w:trPr>
        <w:tc>
          <w:tcPr>
            <w:tcW w:w="65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6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Supplementary cash flow information related to operating leases was as follows: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5"/>
        </w:trPr>
        <w:tc>
          <w:tcPr>
            <w:tcW w:w="4800" w:type="dxa"/>
            <w:vAlign w:val="bottom"/>
          </w:tcPr>
          <w:p>
            <w:pPr>
              <w:spacing w:after="0"/>
              <w:rPr>
                <w:sz w:val="24"/>
                <w:szCs w:val="24"/>
                <w:color w:val="auto"/>
              </w:rPr>
            </w:pPr>
          </w:p>
        </w:tc>
        <w:tc>
          <w:tcPr>
            <w:tcW w:w="2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 w:type="dxa"/>
            <w:vAlign w:val="bottom"/>
          </w:tcPr>
          <w:p>
            <w:pPr>
              <w:spacing w:after="0"/>
              <w:rPr>
                <w:sz w:val="24"/>
                <w:szCs w:val="24"/>
                <w:color w:val="auto"/>
              </w:rPr>
            </w:pPr>
          </w:p>
        </w:tc>
        <w:tc>
          <w:tcPr>
            <w:tcW w:w="1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1"/>
        </w:trPr>
        <w:tc>
          <w:tcPr>
            <w:tcW w:w="4800" w:type="dxa"/>
            <w:vAlign w:val="bottom"/>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2"/>
        </w:trPr>
        <w:tc>
          <w:tcPr>
            <w:tcW w:w="48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the weighted-average discount rate is 4.6% and the weighted-average remaining term is 7.2 years. Maturities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 liabilities as of December 31, 2024 were as follows: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50"/>
        </w:trPr>
        <w:tc>
          <w:tcPr>
            <w:tcW w:w="8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COMMITMENTS AND CONTINGENCIES </w:t>
      </w:r>
      <w:r>
        <w:rPr>
          <w:rFonts w:ascii="Times New Roman" w:cs="Times New Roman" w:eastAsia="Times New Roman" w:hAnsi="Times New Roman"/>
          <w:sz w:val="17"/>
          <w:szCs w:val="17"/>
          <w:b w:val="1"/>
          <w:bCs w:val="1"/>
          <w:i w:val="1"/>
          <w:iCs w:val="1"/>
          <w:color w:val="auto"/>
        </w:rPr>
        <w:t>Commitments</w:t>
      </w:r>
    </w:p>
    <w:p>
      <w:pPr>
        <w:spacing w:after="0" w:line="17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non-cancelable agreements with third-party providers for use of mainly cloud and other services, under which it committed to minimum and fixed purchases through the year ending December 31, 2026.</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details of the aggregate future non-cancelable purchase commitments under such agreements as of December 31, 2024:</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28,727</w:t>
            </w:r>
          </w:p>
        </w:tc>
      </w:tr>
      <w:tr>
        <w:trPr>
          <w:trHeight w:val="27"/>
        </w:trPr>
        <w:tc>
          <w:tcPr>
            <w:tcW w:w="7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28,576</w:t>
            </w:r>
          </w:p>
        </w:tc>
      </w:tr>
      <w:tr>
        <w:trPr>
          <w:trHeight w:val="250"/>
        </w:trPr>
        <w:tc>
          <w:tcPr>
            <w:tcW w:w="79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had accelerated expenses in the amount of $1,312 related to its minimum commitment with one of its cloud hosting service due to the Company's decision not to utilize the provider's cloud service. Such expenses were recorded under general and administrative expenses in the consolidated statement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is occasionally a party to claims or litigation in the normal course of the business. The Company does not believe that it is a party to any pending legal proceeding that is likely to have a material adverse effect on its business, financial condition, or results of operations.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CONSOLIDATED BALANCE SHEET COMPONENTS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bank deposits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71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Composition of property and equipment is as follows:</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1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4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Depreciated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8"/>
          <w:szCs w:val="18"/>
          <w:color w:val="auto"/>
        </w:rPr>
        <w:t>Depreciation expenses for the years ended December 31, 2024, 2023 and 2022 were $4,586, $4,162 and $2,042, respectively. In 2024, the Company disposed of fully depreciated fixed assets totaling $3,050.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7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Severance pay fund</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deposit</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0"/>
        </w:trPr>
        <w:tc>
          <w:tcPr>
            <w:tcW w:w="7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718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0"/>
        </w:trPr>
        <w:tc>
          <w:tcPr>
            <w:tcW w:w="7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taxes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17,279</w:t>
            </w:r>
          </w:p>
        </w:tc>
        <w:tc>
          <w:tcPr>
            <w:tcW w:w="0" w:type="dxa"/>
            <w:vAlign w:val="bottom"/>
          </w:tcPr>
          <w:p>
            <w:pPr>
              <w:spacing w:after="0"/>
              <w:rPr>
                <w:sz w:val="1"/>
                <w:szCs w:val="1"/>
                <w:color w:val="auto"/>
              </w:rPr>
            </w:pPr>
          </w:p>
        </w:tc>
      </w:tr>
      <w:tr>
        <w:trPr>
          <w:trHeight w:val="21"/>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72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taxes</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GOODWILL AND INTANGIBLE ASSETS, NET</w:t>
      </w:r>
    </w:p>
    <w:p>
      <w:pPr>
        <w:spacing w:after="0" w:line="184" w:lineRule="exact"/>
        <w:rPr>
          <w:sz w:val="20"/>
          <w:szCs w:val="20"/>
          <w:color w:val="auto"/>
        </w:rPr>
      </w:pPr>
    </w:p>
    <w:p>
      <w:pPr>
        <w:jc w:val="both"/>
        <w:ind w:right="80" w:firstLine="441"/>
        <w:spacing w:after="0" w:line="282" w:lineRule="auto"/>
        <w:rPr>
          <w:sz w:val="20"/>
          <w:szCs w:val="20"/>
          <w:color w:val="auto"/>
        </w:rPr>
      </w:pPr>
      <w:r>
        <w:rPr>
          <w:rFonts w:ascii="Times New Roman" w:cs="Times New Roman" w:eastAsia="Times New Roman" w:hAnsi="Times New Roman"/>
          <w:sz w:val="18"/>
          <w:szCs w:val="18"/>
          <w:color w:val="auto"/>
        </w:rPr>
        <w:t>The carrying amounts and accumulated amortization expenses of the intangible assets, as of December 31, 2024, and December 31, 2023,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 remaining</w:t>
            </w:r>
          </w:p>
        </w:tc>
        <w:tc>
          <w:tcPr>
            <w:tcW w:w="740" w:type="dxa"/>
            <w:vAlign w:val="bottom"/>
          </w:tcPr>
          <w:p>
            <w:pPr>
              <w:spacing w:after="0"/>
              <w:rPr>
                <w:sz w:val="14"/>
                <w:szCs w:val="14"/>
                <w:color w:val="auto"/>
              </w:rPr>
            </w:pPr>
          </w:p>
        </w:tc>
        <w:tc>
          <w:tcPr>
            <w:tcW w:w="15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7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 amount:</w:t>
            </w:r>
          </w:p>
        </w:tc>
        <w:tc>
          <w:tcPr>
            <w:tcW w:w="4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Accumulated amortization and impairments: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 remaining</w:t>
            </w:r>
          </w:p>
        </w:tc>
        <w:tc>
          <w:tcPr>
            <w:tcW w:w="740" w:type="dxa"/>
            <w:vAlign w:val="bottom"/>
          </w:tcPr>
          <w:p>
            <w:pPr>
              <w:spacing w:after="0"/>
              <w:rPr>
                <w:sz w:val="14"/>
                <w:szCs w:val="14"/>
                <w:color w:val="auto"/>
              </w:rPr>
            </w:pPr>
          </w:p>
        </w:tc>
        <w:tc>
          <w:tcPr>
            <w:tcW w:w="15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useful life (in years)</w:t>
            </w:r>
          </w:p>
        </w:tc>
        <w:tc>
          <w:tcPr>
            <w:tcW w:w="74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 amount:</w:t>
            </w:r>
          </w:p>
        </w:tc>
        <w:tc>
          <w:tcPr>
            <w:tcW w:w="47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Accumulated amortization and impairments</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2023 and 2022, the Company recorded amortization expenses in the amount of $477, $555 and $665, respectively, included in cost of revenue, sales and marketing expenses in the consolidated statements of operations.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2024,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9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9500" w:type="dxa"/>
            <w:vAlign w:val="bottom"/>
            <w:shd w:val="clear" w:color="auto" w:fill="CCEEFF"/>
          </w:tcPr>
          <w:p>
            <w:pPr>
              <w:jc w:val="right"/>
              <w:ind w:right="903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9500" w:type="dxa"/>
            <w:vAlign w:val="bottom"/>
          </w:tcPr>
          <w:p>
            <w:pPr>
              <w:jc w:val="right"/>
              <w:ind w:right="903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9500" w:type="dxa"/>
            <w:vAlign w:val="bottom"/>
            <w:shd w:val="clear" w:color="auto" w:fill="CCEEFF"/>
          </w:tcPr>
          <w:p>
            <w:pPr>
              <w:jc w:val="right"/>
              <w:ind w:right="9030"/>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9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9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Goodwill was $11,070 at December 31, 2024 and December 31, 2023 with $9,381 allocated to the M&amp;T segment and $1,689 to the EE&amp;T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year ended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INCOME TAXES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subsidiaries are separately taxed under the domestic tax laws of the jurisdiction of incorporation of each entity.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(income) before taxes on income is comprised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6"/>
              </w:rPr>
              <w:t>32,758</w:t>
            </w: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45,625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66,346</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98"/>
              </w:rPr>
              <w:t>(9,093)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23,665</w:t>
            </w:r>
          </w:p>
        </w:tc>
        <w:tc>
          <w:tcPr>
            <w:tcW w:w="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37,455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60,627</w:t>
            </w:r>
          </w:p>
        </w:tc>
        <w:tc>
          <w:tcPr>
            <w:tcW w:w="0" w:type="dxa"/>
            <w:vAlign w:val="bottom"/>
          </w:tcPr>
          <w:p>
            <w:pPr>
              <w:spacing w:after="0"/>
              <w:rPr>
                <w:sz w:val="1"/>
                <w:szCs w:val="1"/>
                <w:color w:val="auto"/>
              </w:rPr>
            </w:pPr>
          </w:p>
        </w:tc>
      </w:tr>
      <w:tr>
        <w:trPr>
          <w:trHeight w:val="21"/>
        </w:trPr>
        <w:tc>
          <w:tcPr>
            <w:tcW w:w="67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provision for income taxes is as follows:</w:t>
            </w: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6"/>
        </w:trPr>
        <w:tc>
          <w:tcPr>
            <w:tcW w:w="6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provision: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provision: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As of December 31, 2024 and 2023, the Company has provided a full valuation allowance in respect of deferred tax assets. Management currently believes that it is more likely than not that the deferred tax regarding the tax loss carry forwards and other temporary differences will not be realized in the foreseeable future in the U.S.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tcBorders>
              <w:bottom w:val="single" w:sz="8" w:color="auto"/>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62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 carryforward</w:t>
            </w:r>
          </w:p>
        </w:tc>
        <w:tc>
          <w:tcPr>
            <w:tcW w:w="158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60,192</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69,160</w:t>
            </w:r>
          </w:p>
        </w:tc>
        <w:tc>
          <w:tcPr>
            <w:tcW w:w="10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Disallowed business interest expense</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R&amp;D costs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&amp; accruals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payable</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shd w:val="clear" w:color="auto" w:fill="CCEEFF"/>
          </w:tcPr>
          <w:p>
            <w:pPr>
              <w:spacing w:after="0"/>
              <w:rPr>
                <w:sz w:val="19"/>
                <w:szCs w:val="19"/>
                <w:color w:val="auto"/>
              </w:rPr>
            </w:pPr>
          </w:p>
        </w:tc>
      </w:tr>
      <w:tr>
        <w:trPr>
          <w:trHeight w:val="237"/>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0"/>
                <w:szCs w:val="20"/>
                <w:color w:val="auto"/>
              </w:rPr>
            </w:pP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113,400</w:t>
            </w:r>
          </w:p>
        </w:tc>
        <w:tc>
          <w:tcPr>
            <w:tcW w:w="100" w:type="dxa"/>
            <w:vAlign w:val="bottom"/>
          </w:tcPr>
          <w:p>
            <w:pPr>
              <w:spacing w:after="0"/>
              <w:rPr>
                <w:sz w:val="19"/>
                <w:szCs w:val="19"/>
                <w:color w:val="auto"/>
              </w:rPr>
            </w:pP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58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shd w:val="clear" w:color="auto" w:fill="CCEEFF"/>
          </w:tcPr>
          <w:p>
            <w:pPr>
              <w:spacing w:after="0"/>
              <w:rPr>
                <w:sz w:val="20"/>
                <w:szCs w:val="20"/>
                <w:color w:val="auto"/>
              </w:rPr>
            </w:pPr>
          </w:p>
        </w:tc>
      </w:tr>
      <w:tr>
        <w:trPr>
          <w:trHeight w:val="256"/>
        </w:trPr>
        <w:tc>
          <w:tcPr>
            <w:tcW w:w="62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contract acquisition and fulfillment costs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Internal use software</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r>
      <w:tr>
        <w:trPr>
          <w:trHeight w:val="270"/>
        </w:trPr>
        <w:tc>
          <w:tcPr>
            <w:tcW w:w="6260" w:type="dxa"/>
            <w:vAlign w:val="bottom"/>
          </w:tcPr>
          <w:p>
            <w:pPr>
              <w:spacing w:after="0"/>
              <w:rPr>
                <w:sz w:val="23"/>
                <w:szCs w:val="23"/>
                <w:color w:val="auto"/>
              </w:rPr>
            </w:pPr>
          </w:p>
        </w:tc>
        <w:tc>
          <w:tcPr>
            <w:tcW w:w="1580" w:type="dxa"/>
            <w:vAlign w:val="bottom"/>
            <w:gridSpan w:val="2"/>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58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shd w:val="clear" w:color="auto" w:fill="CCEEFF"/>
          </w:tcPr>
          <w:p>
            <w:pPr>
              <w:spacing w:after="0"/>
              <w:rPr>
                <w:sz w:val="20"/>
                <w:szCs w:val="20"/>
                <w:color w:val="auto"/>
              </w:rPr>
            </w:pPr>
          </w:p>
        </w:tc>
      </w:tr>
      <w:tr>
        <w:trPr>
          <w:trHeight w:val="256"/>
        </w:trPr>
        <w:tc>
          <w:tcPr>
            <w:tcW w:w="62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25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158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1"/>
                <w:szCs w:val="2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2024, the U.S. parent company had a net U.S. operating loss carry forward (“NOLs”) for federal income tax purposes of approximately $225,328 and U.S. state NOLs of approximately $183,372. Out of the operating losses attributed to the U.S. parent company, $132,311 were generated before January 1, 2018, and are subject to the 20-year carryforward period. The remaining $93,017 can be carried forward indefinitely but are subject to the 80% taxable income limitation.</w:t>
      </w:r>
    </w:p>
    <w:p>
      <w:pPr>
        <w:spacing w:after="0" w:line="12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Utilization of the U.S. net operating losses above may be subject to substantial annual limitations due to the “change in ownership” provisions of the Internal Revenue Code of 1986 and similar state provisions. The annual limitation may result in the expiration of substantial net operating losses before utilization (the 80% limitation was waived for NOLs utilized in 2019 and 2020 under the CARES Act).</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has analyzed the impact of Section 382 on its NOLs through 2024 and believes that the NOLs are not materially limited by Section 382. However, any future changes of ownership could impact the Company’s ability to utilize NOLs.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Company's theoretical income tax expense to actual income tax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Borders>
              <w:bottom w:val="single" w:sz="8" w:color="auto"/>
            </w:tcBorders>
          </w:tcPr>
          <w:p>
            <w:pPr>
              <w:spacing w:after="0"/>
              <w:rPr>
                <w:sz w:val="20"/>
                <w:szCs w:val="20"/>
                <w:color w:val="auto"/>
              </w:rPr>
            </w:pPr>
          </w:p>
        </w:tc>
      </w:tr>
      <w:tr>
        <w:trPr>
          <w:trHeight w:val="230"/>
        </w:trPr>
        <w:tc>
          <w:tcPr>
            <w:tcW w:w="6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7"/>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tax as reported at the consolidated statement of operations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60,627</w:t>
            </w:r>
          </w:p>
        </w:tc>
      </w:tr>
      <w:tr>
        <w:trPr>
          <w:trHeight w:val="257"/>
        </w:trPr>
        <w:tc>
          <w:tcPr>
            <w:tcW w:w="634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54"/>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tax rate</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Theoretical tax benefit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(12,732)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expenses and other permanent differences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2,193</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9,745</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4,946</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at rate other than the U.S. statutory tax rate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3,045</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r>
      <w:tr>
        <w:trPr>
          <w:trHeight w:val="256"/>
        </w:trPr>
        <w:tc>
          <w:tcPr>
            <w:tcW w:w="6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tax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7,868</w:t>
            </w:r>
          </w:p>
        </w:tc>
      </w:tr>
      <w:tr>
        <w:trPr>
          <w:trHeight w:val="20"/>
        </w:trPr>
        <w:tc>
          <w:tcPr>
            <w:tcW w:w="6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December 22, 2017, the U.S. enacted the Tax Cuts and Jobs Act, a comprehensive tax law that included significant changes to the taxation of business entities. These changes include several key tax provisions, among others: (i) a permanent reduction to the statutory federal corporate income tax rate from 35% to 21% effective for tax years beginning after December 31, 2017; (ii) a partial limitation on the tax deductibility of business interest expenses; (iii) a shift of the U.S. taxation of multinational corporations from a tax on worldwide income to a territorial system (along with certain rules designed to prevent erosion of the U.S. income tax base) and (iv) a one-time deemed repatriation tax on accumulated offshore earnings held in cash and illiquid assets, with the latter taxed at a lower rate. In addition, beginning in 2022, U.S companies are required to capitalize and amortize research and experimental expenditures ratably over a five-year period, Any such expenditures attributable to research conducted outside of the U.S must be capitalized and amortized over a-15 year period.</w:t>
      </w:r>
    </w:p>
    <w:p>
      <w:pPr>
        <w:spacing w:after="0" w:line="13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Israeli corporate tax rate was 23% for the years ended December 31, 2024, 2023 and 2022. However, the effective tax rate payable by a company that derives income from a“Benefited Enterprise” or a “Preferred Enterprise” (as discussed below) may be considerably less. Capital gains derived by an Israeli company are generally subject to the prevailing corporate tax rate.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Tax benefits by virtue of the Law for the Encouragement of Capital Investments, 1959 (“the Investment Law”):</w:t>
      </w:r>
    </w:p>
    <w:p>
      <w:pPr>
        <w:spacing w:after="0" w:line="17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Until tax year 2014, Kaltura Israel utilized various tax benefits by virtue of the “Benefited Enterprise” status granted to its enterprise, pursuant to the Investment Law.</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Kaltura Israel elected benefits under the alternative track of benefits according to which it was exempt from income tax in the first two years (from the date Kaltura Israel earned taxable income).</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a dividend is distributed out of tax exempt income earned by a Benefited Enterprise the amount distributed will be subject to corporate tax at the rate that would have otherwise been applicable on the Benefited Enterprise income. Dividends paid out of income attributed to a Beneficiary Enterprise are generally subject to withholding tax at source at the rate of 15% or such lower rate as may be provided in an applicable tax treaty.</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approximately $518 was derived from tax exempt profits earned by Kaltura Israel's “Beneficiary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and its Board of Directors have determined that such tax-exempt income will not be distributed as dividends and intends to reinvest the amount of its tax-exempt income earned by Kaltura Israel. Accordingly, no provision for deferred income taxes has been provided on income attributable to Kaltura Israel's “Beneficiary Enterprise” as such income is essentially permanently reinvested.</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Kaltura Israel's retained tax-exempt income is distributed, the income would be taxed at the applicable corporate tax rate as if it had not elected the alternative tax benefits under the Investment Law and an income tax liability of up to $130 would be incurred as of December 31, 2024.</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2011, new legislation amending the Investment Law was adopted. Under this new legislation, a unified corporate tax rate applied to all qualifying income generated by a “Preferred Company” through its Preferred Enterprise (as such terms are defined in the Investment Law) as of January 1, 2011.</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Industrial Companies under the Preferred Enterprise status according to the new law as amended in July 2013, and starting January 1, 2014 are entitled to a uniform reduced corporate tax rate of 9% in areas in Israel designated as Development Zone A and 16% elsewhere in Israel.</w:t>
      </w:r>
    </w:p>
    <w:p>
      <w:pPr>
        <w:spacing w:after="0" w:line="10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2011 Amendment also provided transitional provisions to address companies already enjoying current benefits under the Investment Law. Under the transition provisions, the Company decided to irrevocably implement the new law, effective January 1, 2015.</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Dividends distributed from income which is attributed to a “Preferred Enterprise” will be subject to withholding tax at source at the rate of 20% or such lower rate as may be provided in an applicable tax treaty.</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Kaltura Israel's income from other sources is subject to tax at the regular Corporate Income rate.</w:t>
      </w:r>
    </w:p>
    <w:p>
      <w:pPr>
        <w:spacing w:after="0" w:line="17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indefinitely reinvests earnings from its foreign subsidiaries and therefore no deferred tax liability has been recognized on the basis difference created by such earnings. The Company has not provided foreign withholding taxes for any undistributed earnings of its foreign subsidiaries.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Generally, in U.S. federal and state taxing jurisdictions, tax periods in which certain loss and credit carryovers are generated remain open for audit until such time as the limitation period ends for the year in which such losses or credits are utilized. Kaltura Israel received final tax assessments through 2018 while the rest of the Company's subsidiaries did not have any final tax assessments as of December 31, 2024.</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opening and closing amounts of total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Unrecognized Tax Benefits</w:t>
            </w:r>
          </w:p>
        </w:tc>
      </w:tr>
      <w:tr>
        <w:trPr>
          <w:trHeight w:val="256"/>
        </w:trPr>
        <w:tc>
          <w:tcPr>
            <w:tcW w:w="7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r>
      <w:tr>
        <w:trPr>
          <w:trHeight w:val="270"/>
        </w:trPr>
        <w:tc>
          <w:tcPr>
            <w:tcW w:w="7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180" w:type="dxa"/>
            <w:vAlign w:val="bottom"/>
          </w:tcPr>
          <w:p>
            <w:pPr>
              <w:spacing w:after="0"/>
              <w:rPr>
                <w:sz w:val="23"/>
                <w:szCs w:val="23"/>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46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4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50"/>
        </w:trPr>
        <w:tc>
          <w:tcPr>
            <w:tcW w:w="7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50"/>
        </w:trPr>
        <w:tc>
          <w:tcPr>
            <w:tcW w:w="7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46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460" w:type="dxa"/>
            <w:vAlign w:val="bottom"/>
            <w:tcBorders>
              <w:bottom w:val="single" w:sz="8" w:color="auto"/>
            </w:tcBorders>
            <w:shd w:val="clear" w:color="auto" w:fill="CCEEFF"/>
          </w:tcPr>
          <w:p>
            <w:pPr>
              <w:spacing w:after="0"/>
              <w:rPr>
                <w:sz w:val="20"/>
                <w:szCs w:val="20"/>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57"/>
        </w:trPr>
        <w:tc>
          <w:tcPr>
            <w:tcW w:w="7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6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50"/>
        </w:trPr>
        <w:tc>
          <w:tcPr>
            <w:tcW w:w="7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46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4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r>
      <w:tr>
        <w:trPr>
          <w:trHeight w:val="257"/>
        </w:trPr>
        <w:tc>
          <w:tcPr>
            <w:tcW w:w="76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2"/>
                <w:szCs w:val="22"/>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w:t>
            </w:r>
          </w:p>
        </w:tc>
      </w:tr>
      <w:tr>
        <w:trPr>
          <w:trHeight w:val="21"/>
        </w:trPr>
        <w:tc>
          <w:tcPr>
            <w:tcW w:w="7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would affect the effective tax rate, if recognized, was $12,756 and $7,141 as of December 31, 2024 and 2023.</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As of December 31, 2024 and 2023, the Company had accrued $571 and $373 for the payment of interest and penalties relating to unrecognized tax benefits, respectively.</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the Company is subject to the continuous examination of its income tax returns by the IRS and other tax authorities. The Company’s federal and state income tax returns for years 2010 and forward remain open to examination. In the Company’s foreign jurisdictions – Israel and the United Kingdom – the tax years subsequent to 2020 remain open to examination.</w:t>
      </w:r>
    </w:p>
    <w:p>
      <w:pPr>
        <w:spacing w:after="0" w:line="12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believes that an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the Company could be required to adjust its provision for income taxes in the period such resolution occurs. The Company currently does not expect uncertain tax positions to change significantly over the next 12 months, except in the case of settlements with tax authorities, the likelihood and timing of which is difficult to estimate.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NET LOSS PER SHARE ATTRIBUTABLE TO COMMON STOCKHOLDERS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147,925,797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138,237,017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130,366,385</w:t>
            </w:r>
          </w:p>
        </w:tc>
        <w:tc>
          <w:tcPr>
            <w:tcW w:w="0" w:type="dxa"/>
            <w:vAlign w:val="bottom"/>
          </w:tcPr>
          <w:p>
            <w:pPr>
              <w:spacing w:after="0"/>
              <w:rPr>
                <w:sz w:val="1"/>
                <w:szCs w:val="1"/>
                <w:color w:val="auto"/>
              </w:rPr>
            </w:pPr>
          </w:p>
        </w:tc>
      </w:tr>
      <w:tr>
        <w:trPr>
          <w:trHeight w:val="135"/>
        </w:trPr>
        <w:tc>
          <w:tcPr>
            <w:tcW w:w="6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4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70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Instruments potentially exercisable for common stock that were excluded from the computation of diluted net loss per share attributable to common stockholders for the periods presented because including them would have been anti-dilutive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56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30"/>
        </w:trPr>
        <w:tc>
          <w:tcPr>
            <w:tcW w:w="652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6"/>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28,652,759</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34,132,323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33,457,465</w:t>
            </w:r>
          </w:p>
        </w:tc>
      </w:tr>
      <w:tr>
        <w:trPr>
          <w:trHeight w:val="257"/>
        </w:trPr>
        <w:tc>
          <w:tcPr>
            <w:tcW w:w="6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5"/>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28,652,759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34,132,323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33,457,465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REPORTABLE SEGMENTS AND GEOGRAPHICAL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its Chief Executive Officer (“CODM”). The Company's CODM does not regularly review asset information by segments and, therefore, the Company does not report asset information by segment.</w:t>
      </w:r>
    </w:p>
    <w:p>
      <w:pPr>
        <w:spacing w:after="0" w:line="1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organizes its operations in two segments: Enterprise, Education and Technology and Media and Telecom. The Enterprise, Education and Technology segment represents products related to industry solutions for education customers, and media services (except for Media and Telecom customers). The Media and Telecom segment primarily represents TV solutions that are sold to media and telecom operators.</w:t>
      </w:r>
    </w:p>
    <w:p>
      <w:pPr>
        <w:spacing w:after="0" w:line="12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measurement of the reportable operating segments is based on the same accounting principles applied in these financial statements, which includes certain corporate overhead allocations.</w:t>
      </w:r>
    </w:p>
    <w:p>
      <w:pPr>
        <w:sectPr>
          <w:pgSz w:w="11900" w:h="16838" w:orient="portrait"/>
          <w:cols w:equalWidth="0" w:num="1">
            <w:col w:w="11240"/>
          </w:cols>
          <w:pgMar w:left="320" w:top="118"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Media and</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Education and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restart"/>
          </w:tcPr>
          <w:p>
            <w:pPr>
              <w:jc w:val="right"/>
              <w:ind w:right="39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Telecom</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128,704</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5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costs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cost of revenue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31,776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59,611</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53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96,928</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Media and</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Education and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restart"/>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Telecom</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80" w:type="dxa"/>
            <w:vAlign w:val="bottom"/>
            <w:gridSpan w:val="3"/>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bottom w:val="single" w:sz="8" w:color="auto"/>
            </w:tcBorders>
            <w:gridSpan w:val="2"/>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5740" w:type="dxa"/>
            <w:vAlign w:val="bottom"/>
            <w:tcBorders>
              <w:top w:val="single" w:sz="8" w:color="CCEEFF"/>
            </w:tcBorders>
            <w:gridSpan w:val="2"/>
          </w:tcPr>
          <w:p>
            <w:pPr>
              <w:spacing w:after="0"/>
              <w:rPr>
                <w:sz w:val="23"/>
                <w:szCs w:val="23"/>
                <w:color w:val="auto"/>
              </w:rPr>
            </w:pPr>
          </w:p>
        </w:tc>
        <w:tc>
          <w:tcPr>
            <w:tcW w:w="160" w:type="dxa"/>
            <w:vAlign w:val="bottom"/>
            <w:tcBorders>
              <w:top w:val="single" w:sz="8" w:color="CCEEFF"/>
            </w:tcBorders>
            <w:gridSpan w:val="2"/>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gridSpan w:val="2"/>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gridSpan w:val="2"/>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costs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Total cost of revenue</w:t>
            </w:r>
          </w:p>
        </w:tc>
        <w:tc>
          <w:tcPr>
            <w:tcW w:w="53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33,530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29,408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62,938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0"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Media and</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restart"/>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Education and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vMerge w:val="restart"/>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Telecom</w:t>
            </w:r>
          </w:p>
        </w:tc>
        <w:tc>
          <w:tcPr>
            <w:tcW w:w="3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53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costs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25,493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61,871</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53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580" w:firstLine="441"/>
        <w:spacing w:after="0" w:line="406" w:lineRule="auto"/>
        <w:rPr>
          <w:sz w:val="20"/>
          <w:szCs w:val="20"/>
          <w:color w:val="auto"/>
        </w:rPr>
      </w:pPr>
      <w:r>
        <w:rPr>
          <w:rFonts w:ascii="Times New Roman" w:cs="Times New Roman" w:eastAsia="Times New Roman" w:hAnsi="Times New Roman"/>
          <w:sz w:val="18"/>
          <w:szCs w:val="18"/>
          <w:color w:val="auto"/>
        </w:rPr>
        <w:t xml:space="preserve">Other segment items include costs related to subcontractors and consultants, allocated rent, IT expenses and other general costs. </w:t>
      </w:r>
      <w:r>
        <w:rPr>
          <w:rFonts w:ascii="Times New Roman" w:cs="Times New Roman" w:eastAsia="Times New Roman" w:hAnsi="Times New Roman"/>
          <w:sz w:val="18"/>
          <w:szCs w:val="18"/>
          <w:b w:val="1"/>
          <w:bCs w:val="1"/>
          <w:i w:val="1"/>
          <w:iCs w:val="1"/>
          <w:color w:val="auto"/>
        </w:rPr>
        <w:t>Geographical information</w:t>
      </w:r>
    </w:p>
    <w:p>
      <w:pPr>
        <w:spacing w:after="0" w:line="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Total revenue from external customers on the basis of the Company's geographical areas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6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(“US”)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178,717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individual country accounted for more than 10% of the Company’s revenue for all periods presented.</w:t>
      </w:r>
    </w:p>
    <w:p>
      <w:pPr>
        <w:spacing w:after="0" w:line="17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long-lived assets as of December 31, 2024 and 2023, based on geographical areas which consist of property and equipment, net and operating lease right-of-use assets: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30"/>
        </w:trPr>
        <w:tc>
          <w:tcPr>
            <w:tcW w:w="80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6"/>
        </w:trPr>
        <w:tc>
          <w:tcPr>
            <w:tcW w:w="8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Israel</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18,253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r>
      <w:tr>
        <w:trPr>
          <w:trHeight w:val="236"/>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world</w:t>
            </w:r>
          </w:p>
        </w:tc>
        <w:tc>
          <w:tcPr>
            <w:tcW w:w="9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57"/>
        </w:trPr>
        <w:tc>
          <w:tcPr>
            <w:tcW w:w="8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4"/>
        </w:trPr>
        <w:tc>
          <w:tcPr>
            <w:tcW w:w="8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LONG-TERM LOAN</w:t>
      </w:r>
    </w:p>
    <w:p>
      <w:pPr>
        <w:spacing w:after="0" w:line="18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January 2021, the Company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which subsequently and has been amended according to the Company's needs and other developments. In May 2023, the Company entered into an amendment</w:t>
      </w:r>
    </w:p>
    <w:p>
      <w:pPr>
        <w:sectPr>
          <w:pgSz w:w="11900" w:h="16838" w:orient="portrait"/>
          <w:cols w:equalWidth="0" w:num="1">
            <w:col w:w="11240"/>
          </w:cols>
          <w:pgMar w:left="320" w:top="140" w:right="339" w:bottom="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(the “Fourth Amendment”) to the then-existing Credit Agreement to replace the London Interbank Offered Rate (“LIBOR”) with the Secured Overnight Financing Rate (“SOFR”) as the benchmark rate under the Credit Agreement. Prior to the Fourth Amendment, borrowings under the Credit Agreement would bear interest, at the Company's election, at (a) the Eurodollar Rate (as defined in the Credit Agreement as in effect prior to the Fourth Amendment) plus a margin of 3.50% or (b) Alternative Base Rate (“ABR”) (as defined in the Credit Agreement) plus a margin of 2.50%.</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December 2023, the Company entered into a new amendment to the then-existing Credit Agreement (the “Fifth Amendment”), which provides for a new term loan facility in the aggregate principal amount of $35,000. Commitments under the Revolving Credit Facility decreased to $25,000.</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 new amendment to the then-existing Credit Agreement in connection with our Repurchase Program (as defined below), which updated the aggregate amount of permitted Restricted Payments (as defined in the Credit Agreement; which term includes, among others, repurchase of the Company’s outstanding common stock) and conditions for making such payments (see Note 15 for further information).</w:t>
      </w:r>
    </w:p>
    <w:p>
      <w:pPr>
        <w:spacing w:after="0" w:line="12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Following the effectiveness of the Fifth Amendment, borrowings under the Credit Facilities bear interest, determined as follows: (a) SOFR loans accrue interest at a rate per annum equal to Term SOFR (as defined in the Credit Agreement) plus 0.10% per annum plus a margin of 2.50% (the Adjusted Term SOFR (as defined in the Credit Agreement) is subject to a 1.00% floor), and (b) ABR loans accrue interest at a rate per annum equal to the ABR plus a margin of 1.50% (ABR is equal to the highest of (i) the prime rate and (ii) the Federal Funds Effective Rate plus 0.50%, subject to a 2.00% floor). As of December 31, 2024, the current rate of interest under the Credit Facilities was equal to a rate per annum of 6.93%, consisting of 4.33% (the 3-months SOFR rate as of December 31, 2024), 0.10% credit spread adjustment and the margin of 2.50%.</w:t>
      </w:r>
    </w:p>
    <w:p>
      <w:pPr>
        <w:spacing w:after="0" w:line="13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Term Loan Facility is payable in consecutive quarterly installments on the last day of each fiscal quarter in an amount equal to (i) $438 for installments payable on December 31, 2023 (deferred to January 9, 2024), through September 30, 2024 (ii) $656 for installments payable on December 31, 2024 ($218 of the amount deferred to January 2025) , through September 30, 2025, (iii) $1,313 for installments payable on and after December 31, 2025. The remaining unpaid balance on the Term Loan Facility is due and payable on December 21, 2026, together with accrued and unpaid interest on the principal amount to be paid to, but excluding, the payment date. Amounts outstanding under the Credit Facilities may be voluntarily prepaid at any time and from time to time, in whole or in part, without premium or penalty.</w:t>
      </w:r>
    </w:p>
    <w:p>
      <w:pPr>
        <w:spacing w:after="0" w:line="13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Under the terms of the Credit Facilities, the Company is obligated to maintain compliance with certain financial covenants as defined therein. As of December 31, 2024, the Company met these covenants.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principal annual maturities according to the Credit Facilities agreements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20" w:type="dxa"/>
            <w:vAlign w:val="bottom"/>
            <w:gridSpan w:val="3"/>
          </w:tcPr>
          <w:p>
            <w:pPr>
              <w:jc w:val="center"/>
              <w:ind w:left="1934"/>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tc>
        <w:tc>
          <w:tcPr>
            <w:tcW w:w="2020" w:type="dxa"/>
            <w:vAlign w:val="bottom"/>
          </w:tcPr>
          <w:p>
            <w:pPr>
              <w:spacing w:after="0"/>
              <w:rPr>
                <w:sz w:val="18"/>
                <w:szCs w:val="18"/>
                <w:color w:val="auto"/>
              </w:rPr>
            </w:pPr>
          </w:p>
        </w:tc>
      </w:tr>
      <w:tr>
        <w:trPr>
          <w:trHeight w:val="216"/>
        </w:trPr>
        <w:tc>
          <w:tcPr>
            <w:tcW w:w="9220" w:type="dxa"/>
            <w:vAlign w:val="bottom"/>
            <w:gridSpan w:val="3"/>
          </w:tcPr>
          <w:p>
            <w:pPr>
              <w:jc w:val="center"/>
              <w:ind w:left="193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tc>
        <w:tc>
          <w:tcPr>
            <w:tcW w:w="2020" w:type="dxa"/>
            <w:vAlign w:val="bottom"/>
          </w:tcPr>
          <w:p>
            <w:pPr>
              <w:spacing w:after="0"/>
              <w:rPr>
                <w:sz w:val="18"/>
                <w:szCs w:val="18"/>
                <w:color w:val="auto"/>
              </w:rPr>
            </w:pPr>
          </w:p>
        </w:tc>
      </w:tr>
      <w:tr>
        <w:trPr>
          <w:trHeight w:val="216"/>
        </w:trPr>
        <w:tc>
          <w:tcPr>
            <w:tcW w:w="9220" w:type="dxa"/>
            <w:vAlign w:val="bottom"/>
            <w:gridSpan w:val="3"/>
          </w:tcPr>
          <w:p>
            <w:pPr>
              <w:jc w:val="center"/>
              <w:ind w:left="1954"/>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tc>
        <w:tc>
          <w:tcPr>
            <w:tcW w:w="2020" w:type="dxa"/>
            <w:vAlign w:val="bottom"/>
          </w:tcPr>
          <w:p>
            <w:pPr>
              <w:spacing w:after="0"/>
              <w:rPr>
                <w:sz w:val="18"/>
                <w:szCs w:val="18"/>
                <w:color w:val="auto"/>
              </w:rPr>
            </w:pPr>
          </w:p>
        </w:tc>
      </w:tr>
      <w:tr>
        <w:trPr>
          <w:trHeight w:val="627"/>
        </w:trPr>
        <w:tc>
          <w:tcPr>
            <w:tcW w:w="9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20" w:type="dxa"/>
            <w:vAlign w:val="bottom"/>
          </w:tcPr>
          <w:p>
            <w:pPr>
              <w:spacing w:after="0"/>
              <w:rPr>
                <w:sz w:val="24"/>
                <w:szCs w:val="24"/>
                <w:color w:val="auto"/>
              </w:rPr>
            </w:pPr>
          </w:p>
        </w:tc>
      </w:tr>
      <w:tr>
        <w:trPr>
          <w:trHeight w:val="250"/>
        </w:trPr>
        <w:tc>
          <w:tcPr>
            <w:tcW w:w="6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CCEEFF"/>
            </w:tcBorders>
            <w:shd w:val="clear" w:color="auto" w:fill="CCEEFF"/>
          </w:tcPr>
          <w:p>
            <w:pPr>
              <w:spacing w:after="0"/>
              <w:rPr>
                <w:sz w:val="21"/>
                <w:szCs w:val="21"/>
                <w:color w:val="auto"/>
              </w:rPr>
            </w:pPr>
          </w:p>
        </w:tc>
        <w:tc>
          <w:tcPr>
            <w:tcW w:w="2020" w:type="dxa"/>
            <w:vAlign w:val="bottom"/>
            <w:tcBorders>
              <w:top w:val="single" w:sz="8" w:color="CCEEFF"/>
            </w:tcBorders>
            <w:shd w:val="clear" w:color="auto" w:fill="CCEEFF"/>
          </w:tcPr>
          <w:p>
            <w:pPr>
              <w:spacing w:after="0"/>
              <w:rPr>
                <w:sz w:val="21"/>
                <w:szCs w:val="21"/>
                <w:color w:val="auto"/>
              </w:rPr>
            </w:pPr>
          </w:p>
        </w:tc>
      </w:tr>
      <w:tr>
        <w:trPr>
          <w:trHeight w:val="270"/>
        </w:trPr>
        <w:tc>
          <w:tcPr>
            <w:tcW w:w="6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37"/>
        </w:trPr>
        <w:tc>
          <w:tcPr>
            <w:tcW w:w="6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29,313</w:t>
            </w:r>
          </w:p>
        </w:tc>
      </w:tr>
      <w:tr>
        <w:trPr>
          <w:trHeight w:val="257"/>
        </w:trPr>
        <w:tc>
          <w:tcPr>
            <w:tcW w:w="6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29"/>
        </w:trPr>
        <w:tc>
          <w:tcPr>
            <w:tcW w:w="7020" w:type="dxa"/>
            <w:vAlign w:val="bottom"/>
            <w:gridSpan w:val="2"/>
          </w:tcPr>
          <w:p>
            <w:pPr>
              <w:spacing w:after="0"/>
              <w:rPr>
                <w:sz w:val="19"/>
                <w:szCs w:val="19"/>
                <w:color w:val="auto"/>
              </w:rPr>
            </w:pPr>
          </w:p>
        </w:tc>
        <w:tc>
          <w:tcPr>
            <w:tcW w:w="2200" w:type="dxa"/>
            <w:vAlign w:val="bottom"/>
            <w:tcBorders>
              <w:bottom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32,594</w:t>
            </w:r>
          </w:p>
        </w:tc>
      </w:tr>
      <w:tr>
        <w:trPr>
          <w:trHeight w:val="21"/>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547"/>
        </w:trPr>
        <w:tc>
          <w:tcPr>
            <w:tcW w:w="9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carrying amounts of the loans approximate their fair value.</w:t>
            </w:r>
          </w:p>
        </w:tc>
        <w:tc>
          <w:tcPr>
            <w:tcW w:w="2020" w:type="dxa"/>
            <w:vAlign w:val="bottom"/>
          </w:tcPr>
          <w:p>
            <w:pPr>
              <w:spacing w:after="0"/>
              <w:rPr>
                <w:sz w:val="24"/>
                <w:szCs w:val="24"/>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STOCKHOLDERS' EQUITY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shares of common stock confer upon their holders the right to receive notice to participate and vote in general stockholders meetings of the Company, and the right to receive dividends, if declared, and to participate in the distribution of the surplus assets of the Company upon liquidation of the Company, as more fully described in the Company's Certificate of Incorporation.</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amended and restated its Certificate of Incorporation to change the authorized common stock to 1,000,000,000 shares of common stock, all with a par value of $0.0001 per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the following common stock reserved for future issuance as of December 31, 2024:</w:t>
            </w:r>
          </w:p>
        </w:tc>
        <w:tc>
          <w:tcPr>
            <w:tcW w:w="3340" w:type="dxa"/>
            <w:vAlign w:val="bottom"/>
          </w:tcPr>
          <w:p>
            <w:pPr>
              <w:spacing w:after="0"/>
              <w:rPr>
                <w:sz w:val="20"/>
                <w:szCs w:val="20"/>
                <w:color w:val="auto"/>
              </w:rPr>
            </w:pPr>
          </w:p>
        </w:tc>
      </w:tr>
      <w:tr>
        <w:trPr>
          <w:trHeight w:val="418"/>
        </w:trPr>
        <w:tc>
          <w:tcPr>
            <w:tcW w:w="7900" w:type="dxa"/>
            <w:vAlign w:val="bottom"/>
            <w:tcBorders>
              <w:bottom w:val="single" w:sz="8" w:color="CCEEFF"/>
            </w:tcBorders>
          </w:tcPr>
          <w:p>
            <w:pPr>
              <w:spacing w:after="0"/>
              <w:rPr>
                <w:sz w:val="24"/>
                <w:szCs w:val="24"/>
                <w:color w:val="auto"/>
              </w:rPr>
            </w:pPr>
          </w:p>
        </w:tc>
        <w:tc>
          <w:tcPr>
            <w:tcW w:w="33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16,321,014</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12,331,745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under 2021 Plan</w:t>
            </w:r>
          </w:p>
        </w:tc>
        <w:tc>
          <w:tcPr>
            <w:tcW w:w="3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4,423,347</w:t>
            </w:r>
          </w:p>
        </w:tc>
      </w:tr>
      <w:tr>
        <w:trPr>
          <w:trHeight w:val="250"/>
        </w:trPr>
        <w:tc>
          <w:tcPr>
            <w:tcW w:w="7900" w:type="dxa"/>
            <w:vAlign w:val="bottom"/>
          </w:tcPr>
          <w:p>
            <w:pPr>
              <w:spacing w:after="0"/>
              <w:rPr>
                <w:sz w:val="21"/>
                <w:szCs w:val="21"/>
                <w:color w:val="auto"/>
              </w:rPr>
            </w:pPr>
          </w:p>
        </w:tc>
        <w:tc>
          <w:tcPr>
            <w:tcW w:w="334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33,076,106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Under the Company's 2007 U.S. and Israeli Stock Option Plans (“the 2007 Plans”), options were granted to officers, directors, employees, advisors and consultants of the Company or its subsidiaries.</w:t>
      </w:r>
    </w:p>
    <w:p>
      <w:pPr>
        <w:spacing w:after="0" w:line="10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In 2017, the Company adopted a new equity incentive plan, the “2017 Equity Incentive Plan” (the “2017 Plan” and together with the 2007 Plans, the “Old Plans”), and extended the term of the 2007 Israeli Stock Option Plan and the term of the options already granted thereunder for an additional ten-year period.</w:t>
      </w:r>
    </w:p>
    <w:p>
      <w:pPr>
        <w:spacing w:after="0" w:line="12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Each option granted under the Old Plans is exercisable until the earlier of ten years (or 20 years if granted under the 2007 Israeli Stock Option Plan) from the date of the grant of the option. The options vest primarily over a four-year period. Any options that are forfeited or not exercised before expiration become available for future grants.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December 2020, the Company granted to three of its officers, market-based options at an exercise price of $13.34 per share.</w:t>
      </w:r>
    </w:p>
    <w:p>
      <w:pPr>
        <w:spacing w:after="0" w:line="17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options vest based on the achievement of specific share price targets such that 25% of the award will vest upon the fair market value of a share of common stock increasing fifty percent (50%) above the exercise price; an additional 25% of such award will vest upon the fair market value of a share increasing one-hundred percent (100%) above the exercise price; an additional 25% will vest upon the fair market value of a share increasing one-hundred and fifty percent (150%) above the exercise price; and the remaining 25% of the award will vest upon the fair market value increasing two-hundred percent (200%) above the exercise price. During the year ended December 31, 2024, the Company canceled the market-based options to its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Following the Company’s IPO, no additional awards will be granted under the Old Plans. However, the Old Plans will continue to govern the terms and conditions of the outstanding awards previously granted under the Old Plans.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Effective upon the effectiveness of the registration statement for the IPO, the Company adopted the 2021 Incentive Award Plan (the “2021 Plan”, and together with the Old Plans, the “Plans”). The 2021 Plan provides for the grant of stock options, stock appreciation rights, restricted stock, RSUs, and other stock or cash-based awards to the Company’s officers, directors, employees, advisors, and consultants. The number of shares of common stock initially reserved for issuance under the 2021 Plan was 8,500,000 shares. in addition, certain shares of common stock subject to awards under the Old Plans, such as those subject to expirations, terminations, exercise and tax-related withholding, or failures to vest, will become available for issuance under the 2021 Plan.</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available for issuance under the 2021 Plan will also include an annual increase on the first day of each fiscal year beginning on January 1, 2022, equal to the lesser of:</w:t>
      </w:r>
    </w:p>
    <w:p>
      <w:pPr>
        <w:spacing w:after="0" w:line="108" w:lineRule="exact"/>
        <w:rPr>
          <w:sz w:val="20"/>
          <w:szCs w:val="20"/>
          <w:color w:val="auto"/>
        </w:rPr>
      </w:pPr>
    </w:p>
    <w:p>
      <w:pPr>
        <w:ind w:left="1860" w:hanging="321"/>
        <w:spacing w:after="0" w:line="282" w:lineRule="auto"/>
        <w:tabs>
          <w:tab w:leader="none" w:pos="18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aggregate number of shares of common stock outstanding on the final day of the immediately preceding calendar year; and</w:t>
      </w:r>
    </w:p>
    <w:p>
      <w:pPr>
        <w:spacing w:after="0" w:line="107" w:lineRule="exact"/>
        <w:rPr>
          <w:rFonts w:ascii="Times New Roman" w:cs="Times New Roman" w:eastAsia="Times New Roman" w:hAnsi="Times New Roman"/>
          <w:sz w:val="18"/>
          <w:szCs w:val="18"/>
          <w:color w:val="auto"/>
        </w:rPr>
      </w:pPr>
    </w:p>
    <w:p>
      <w:pPr>
        <w:ind w:left="1860" w:hanging="321"/>
        <w:spacing w:after="0"/>
        <w:tabs>
          <w:tab w:leader="none" w:pos="1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smaller number of shares of common stock as is determined by the Board of Directors.</w:t>
      </w:r>
    </w:p>
    <w:p>
      <w:pPr>
        <w:spacing w:after="0" w:line="17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the 2021 Plan, the exercise price of options granted is generally at least equal to the fair market value of the Company’s common stock on the date of grant. The term of the options generally may not exceed ten years. Additionally, the exercise price of any options granted to a 10% stockholder shall not be less than 110% of the fair market value of the common stock on the date of grant, and the term of such option grant shall not exceed five years.</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January 1, 2024, the number of shares of common stock authorized for issuance under the 2021 Plan automatically increased by 7,129,446 shares pursuant to the terms of the 2021 Plan.</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During 2024, the Company granted to its officers RSUs under the 2021 Plan which shall vest based upon achievement of certain performance targets set forth in the 2024 Executive Compensation Plan, and additional RSUs that vest in quarterly installments over a period of up to three years commencing as of January 1, 2024 with the first quarterly vesting date on April 1, 2024, subject to continued employment through the vesting dates.</w:t>
      </w:r>
    </w:p>
    <w:p>
      <w:pPr>
        <w:sectPr>
          <w:pgSz w:w="11900" w:h="16838" w:orient="portrait"/>
          <w:cols w:equalWidth="0" w:num="1">
            <w:col w:w="11240"/>
          </w:cols>
          <w:pgMar w:left="320" w:top="118" w:right="33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Company's stock option activity with respect to options granted under the Plans is as follows:</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189"/>
        </w:trPr>
        <w:tc>
          <w:tcPr>
            <w:tcW w:w="5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65"/>
        </w:trPr>
        <w:tc>
          <w:tcPr>
            <w:tcW w:w="5740" w:type="dxa"/>
            <w:vAlign w:val="bottom"/>
          </w:tcPr>
          <w:p>
            <w:pPr>
              <w:spacing w:after="0"/>
              <w:rPr>
                <w:sz w:val="23"/>
                <w:szCs w:val="23"/>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20" w:type="dxa"/>
            <w:vAlign w:val="bottom"/>
          </w:tcPr>
          <w:p>
            <w:pPr>
              <w:spacing w:after="0"/>
              <w:rPr>
                <w:sz w:val="23"/>
                <w:szCs w:val="23"/>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r>
      <w:tr>
        <w:trPr>
          <w:trHeight w:val="49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22,933,058</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535"/>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48"/>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(4,815,610)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0" w:type="dxa"/>
            <w:vAlign w:val="bottom"/>
          </w:tcPr>
          <w:p>
            <w:pPr>
              <w:spacing w:after="0"/>
              <w:rPr>
                <w:sz w:val="16"/>
                <w:szCs w:val="16"/>
                <w:color w:val="auto"/>
              </w:rPr>
            </w:pPr>
          </w:p>
        </w:tc>
        <w:tc>
          <w:tcPr>
            <w:tcW w:w="104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493"/>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770"/>
        </w:trPr>
        <w:tc>
          <w:tcPr>
            <w:tcW w:w="1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1534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8720" w:space="100"/>
            <w:col w:w="2420"/>
          </w:cols>
          <w:pgMar w:left="320" w:top="118"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16,321,014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5"/>
        </w:trPr>
        <w:tc>
          <w:tcPr>
            <w:tcW w:w="5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Exercisable options at end of the year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16,302,264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No stock options were granted during the years ended December 31, 2024, 2023 and 2022. The total grant-date fair value of the service-based awards that vested during the years ended December 31, 2024, 2023 and 2022, was $6,679,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$11,409 and $12,763, respectively. The aggregate intrinsic value of options exercised during the years ended December 31, 2024, 2023 and 2022, was $1,449, $3,169 and $5,272, respectively.</w:t>
      </w:r>
    </w:p>
    <w:p>
      <w:pPr>
        <w:sectPr>
          <w:pgSz w:w="11900" w:h="16838" w:orient="portrait"/>
          <w:cols w:equalWidth="0" w:num="1">
            <w:col w:w="11240"/>
          </w:cols>
          <w:pgMar w:left="320" w:top="118"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RSUs granted</w:t>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RSUs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189"/>
        </w:trPr>
        <w:tc>
          <w:tcPr>
            <w:tcW w:w="1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RSUs</w:t>
            </w: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72"/>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w:t>
            </w:r>
          </w:p>
        </w:tc>
      </w:tr>
      <w:tr>
        <w:trPr>
          <w:trHeight w:val="234"/>
        </w:trPr>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11,199,265</w:t>
            </w:r>
          </w:p>
        </w:tc>
        <w:tc>
          <w:tcPr>
            <w:tcW w:w="100" w:type="dxa"/>
            <w:vAlign w:val="bottom"/>
          </w:tcPr>
          <w:p>
            <w:pPr>
              <w:spacing w:after="0"/>
              <w:rPr>
                <w:sz w:val="20"/>
                <w:szCs w:val="20"/>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w:t>
            </w:r>
          </w:p>
        </w:tc>
      </w:tr>
      <w:tr>
        <w:trPr>
          <w:trHeight w:val="23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13,616,089</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r>
      <w:tr>
        <w:trPr>
          <w:trHeight w:val="257"/>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(9,910,366)</w:t>
            </w:r>
          </w:p>
        </w:tc>
        <w:tc>
          <w:tcPr>
            <w:tcW w:w="10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63"/>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(2,573,243)</w:t>
            </w: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r>
      <w:tr>
        <w:trPr>
          <w:trHeight w:val="229"/>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12,331,745</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$1.56</w:t>
            </w: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6880" w:space="220"/>
            <w:col w:w="4140"/>
          </w:cols>
          <w:pgMar w:left="320" w:top="11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stock-based compensation expense by line item in the accompanying consolidated statement of operations is summarized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30"/>
        </w:trPr>
        <w:tc>
          <w:tcPr>
            <w:tcW w:w="5800" w:type="dxa"/>
            <w:vAlign w:val="bottom"/>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58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37"/>
        </w:trPr>
        <w:tc>
          <w:tcPr>
            <w:tcW w:w="5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w:t>
            </w:r>
          </w:p>
        </w:tc>
      </w:tr>
      <w:tr>
        <w:trPr>
          <w:trHeight w:val="256"/>
        </w:trPr>
        <w:tc>
          <w:tcPr>
            <w:tcW w:w="58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23,645</w:t>
            </w:r>
          </w:p>
        </w:tc>
      </w:tr>
      <w:tr>
        <w:trPr>
          <w:trHeight w:val="20"/>
        </w:trPr>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$13,995 of total unrecognized compensation cost related to non-vested stock-based compensation arrangements granted under the Plans. These costs are expected to be recognized over a weighted-average period of approximately 1.5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June 11, 2024, the Company’s board of directors authorized a stock repurchase program of the Company’s outstanding common stock for up to $5,000 of the Company’s common stock (the “Repurchase Program”). Under the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the Board of Directors.</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2,238,569 shares of common stock at an weighted average price of $1.27 per share (excluding broker and transaction fees of $67). As of December 31, 2024, the Company had remaining authorization under the Repurchase Program to repurchase common stock up to an aggregate amount of $2,148, subject to satisfying required conditions under the Companies Law and Companies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SELECTED STATEMENT OF OPERATIONS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30"/>
        </w:trPr>
        <w:tc>
          <w:tcPr>
            <w:tcW w:w="6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0"/>
        </w:trPr>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7"/>
        </w:trPr>
        <w:tc>
          <w:tcPr>
            <w:tcW w:w="6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fees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0"/>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7"/>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56"/>
        </w:trPr>
        <w:tc>
          <w:tcPr>
            <w:tcW w:w="6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57"/>
        </w:trPr>
        <w:tc>
          <w:tcPr>
            <w:tcW w:w="6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1"/>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ACCUMULATED OTHER COMPREHENSIVE INCOME (LOSS)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by component, net of tax,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December 31, 2023 and December 31, 2022:</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Net Unrealized Income</w:t>
            </w:r>
          </w:p>
        </w:tc>
        <w:tc>
          <w:tcPr>
            <w:tcW w:w="1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Unrealized Income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9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8"/>
              </w:rPr>
              <w:t>(Losses) on Available-</w:t>
            </w:r>
          </w:p>
        </w:tc>
        <w:tc>
          <w:tcPr>
            <w:tcW w:w="140" w:type="dxa"/>
            <w:vAlign w:val="bottom"/>
          </w:tcPr>
          <w:p>
            <w:pPr>
              <w:spacing w:after="0"/>
              <w:rPr>
                <w:sz w:val="15"/>
                <w:szCs w:val="15"/>
                <w:color w:val="auto"/>
              </w:rPr>
            </w:pPr>
          </w:p>
        </w:tc>
        <w:tc>
          <w:tcPr>
            <w:tcW w:w="2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(Losses) on Derivatives</w:t>
            </w: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for-Sale Securities</w:t>
            </w:r>
          </w:p>
        </w:tc>
        <w:tc>
          <w:tcPr>
            <w:tcW w:w="140" w:type="dxa"/>
            <w:vAlign w:val="bottom"/>
          </w:tcPr>
          <w:p>
            <w:pPr>
              <w:spacing w:after="0"/>
              <w:rPr>
                <w:sz w:val="16"/>
                <w:szCs w:val="16"/>
                <w:color w:val="auto"/>
              </w:rPr>
            </w:pPr>
          </w:p>
        </w:tc>
        <w:tc>
          <w:tcPr>
            <w:tcW w:w="2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Designated as Hedging</w:t>
            </w:r>
          </w:p>
        </w:tc>
        <w:tc>
          <w:tcPr>
            <w:tcW w:w="440" w:type="dxa"/>
            <w:vAlign w:val="bottom"/>
          </w:tcPr>
          <w:p>
            <w:pPr>
              <w:spacing w:after="0"/>
              <w:rPr>
                <w:sz w:val="16"/>
                <w:szCs w:val="16"/>
                <w:color w:val="auto"/>
              </w:rPr>
            </w:pPr>
          </w:p>
        </w:tc>
        <w:tc>
          <w:tcPr>
            <w:tcW w:w="15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40" w:type="dxa"/>
            <w:vAlign w:val="bottom"/>
          </w:tcPr>
          <w:p>
            <w:pPr>
              <w:spacing w:after="0"/>
              <w:rPr>
                <w:sz w:val="19"/>
                <w:szCs w:val="19"/>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4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Pr>
          <w:p>
            <w:pPr>
              <w:spacing w:after="0"/>
              <w:rPr>
                <w:sz w:val="19"/>
                <w:szCs w:val="19"/>
                <w:color w:val="auto"/>
              </w:rPr>
            </w:pPr>
          </w:p>
        </w:tc>
        <w:tc>
          <w:tcPr>
            <w:tcW w:w="16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income reclassified from accumulated other</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Net Unrealized Income</w:t>
            </w:r>
          </w:p>
        </w:tc>
        <w:tc>
          <w:tcPr>
            <w:tcW w:w="140" w:type="dxa"/>
            <w:vAlign w:val="bottom"/>
          </w:tcPr>
          <w:p>
            <w:pPr>
              <w:spacing w:after="0"/>
              <w:rPr>
                <w:sz w:val="17"/>
                <w:szCs w:val="17"/>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Unrealized Income</w:t>
            </w: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9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8"/>
              </w:rPr>
              <w:t>(Losses) on Available-</w:t>
            </w:r>
          </w:p>
        </w:tc>
        <w:tc>
          <w:tcPr>
            <w:tcW w:w="140" w:type="dxa"/>
            <w:vAlign w:val="bottom"/>
          </w:tcPr>
          <w:p>
            <w:pPr>
              <w:spacing w:after="0"/>
              <w:rPr>
                <w:sz w:val="15"/>
                <w:szCs w:val="15"/>
                <w:color w:val="auto"/>
              </w:rPr>
            </w:pPr>
          </w:p>
        </w:tc>
        <w:tc>
          <w:tcPr>
            <w:tcW w:w="20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(Losses) on Derivatives</w:t>
            </w: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for-Sale Securities</w:t>
            </w:r>
          </w:p>
        </w:tc>
        <w:tc>
          <w:tcPr>
            <w:tcW w:w="140" w:type="dxa"/>
            <w:vAlign w:val="bottom"/>
          </w:tcPr>
          <w:p>
            <w:pPr>
              <w:spacing w:after="0"/>
              <w:rPr>
                <w:sz w:val="16"/>
                <w:szCs w:val="16"/>
                <w:color w:val="auto"/>
              </w:rPr>
            </w:pPr>
          </w:p>
        </w:tc>
        <w:tc>
          <w:tcPr>
            <w:tcW w:w="2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Designated as Hedging</w:t>
            </w:r>
          </w:p>
        </w:tc>
        <w:tc>
          <w:tcPr>
            <w:tcW w:w="440" w:type="dxa"/>
            <w:vAlign w:val="bottom"/>
          </w:tcPr>
          <w:p>
            <w:pPr>
              <w:spacing w:after="0"/>
              <w:rPr>
                <w:sz w:val="16"/>
                <w:szCs w:val="16"/>
                <w:color w:val="auto"/>
              </w:rPr>
            </w:pPr>
          </w:p>
        </w:tc>
        <w:tc>
          <w:tcPr>
            <w:tcW w:w="15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40" w:type="dxa"/>
            <w:vAlign w:val="bottom"/>
          </w:tcPr>
          <w:p>
            <w:pPr>
              <w:spacing w:after="0"/>
              <w:rPr>
                <w:sz w:val="19"/>
                <w:szCs w:val="19"/>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4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losses reclassified from accumulated other</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Net Unrealized Losses</w:t>
      </w:r>
    </w:p>
    <w:p>
      <w:pPr>
        <w:ind w:left="5320"/>
        <w:spacing w:after="0" w:line="203" w:lineRule="auto"/>
        <w:rPr>
          <w:sz w:val="20"/>
          <w:szCs w:val="20"/>
          <w:color w:val="auto"/>
        </w:rPr>
      </w:pPr>
      <w:r>
        <w:rPr>
          <w:rFonts w:ascii="Times New Roman" w:cs="Times New Roman" w:eastAsia="Times New Roman" w:hAnsi="Times New Roman"/>
          <w:sz w:val="18"/>
          <w:szCs w:val="18"/>
          <w:b w:val="1"/>
          <w:bCs w:val="1"/>
          <w:color w:val="auto"/>
        </w:rPr>
        <w:t>on Available-for-Sale</w:t>
      </w:r>
    </w:p>
    <w:p>
      <w:pPr>
        <w:ind w:left="5260"/>
        <w:spacing w:after="0"/>
        <w:rPr>
          <w:sz w:val="20"/>
          <w:szCs w:val="20"/>
          <w:color w:val="auto"/>
        </w:rPr>
      </w:pPr>
      <w:r>
        <w:rPr>
          <w:rFonts w:ascii="Times New Roman" w:cs="Times New Roman" w:eastAsia="Times New Roman" w:hAnsi="Times New Roman"/>
          <w:sz w:val="18"/>
          <w:szCs w:val="18"/>
          <w:b w:val="1"/>
          <w:bCs w:val="1"/>
          <w:color w:val="auto"/>
        </w:rPr>
        <w:t>Securities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13335</wp:posOffset>
            </wp:positionV>
            <wp:extent cx="11747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Unrealized Income</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(Losses) on Derivatives</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Designated as Hedging</w:t>
      </w:r>
    </w:p>
    <w:p>
      <w:pPr>
        <w:spacing w:after="0" w:line="1" w:lineRule="exact"/>
        <w:rPr>
          <w:sz w:val="20"/>
          <w:szCs w:val="20"/>
          <w:color w:val="auto"/>
        </w:rPr>
      </w:pPr>
    </w:p>
    <w:p>
      <w:pPr>
        <w:jc w:val="both"/>
        <w:ind w:left="40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Instruments</w:t>
      </w:r>
      <w:r>
        <w:rPr>
          <w:sz w:val="20"/>
          <w:szCs w:val="20"/>
          <w:color w:val="auto"/>
        </w:rPr>
        <w:tab/>
      </w: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4445</wp:posOffset>
            </wp:positionV>
            <wp:extent cx="2597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300"/>
            <w:col w:w="3940"/>
          </w:cols>
          <w:pgMar w:left="320" w:top="118" w:right="339" w:bottom="1440" w:gutter="0" w:footer="0" w:header="0"/>
          <w:type w:val="continuous"/>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losses reclassified from accumulated other</w:t>
            </w: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our Chief Financial Officer have concluded that, as of December 31, 2024, such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5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(“COSO”). Based on this assessment, our management concluded that our internal control over financial reporting was effective as of December 31, 2024.</w:t>
      </w:r>
    </w:p>
    <w:p>
      <w:pPr>
        <w:spacing w:after="0" w:line="1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70" w:lineRule="exact"/>
        <w:rPr>
          <w:sz w:val="20"/>
          <w:szCs w:val="20"/>
          <w:color w:val="auto"/>
        </w:rPr>
      </w:pPr>
    </w:p>
    <w:p>
      <w:pPr>
        <w:jc w:val="both"/>
        <w:ind w:firstLine="449"/>
        <w:spacing w:after="0" w:line="258" w:lineRule="auto"/>
        <w:tabs>
          <w:tab w:leader="none" w:pos="7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the Company and Ron Yekutiel, the Company’s Chairman, Chief Executive Officer and President, entered into amendments (each, a “Yekutiel Amendment” and collectively, the “Yekutiel Amendments”) to (i) the Employment Agreement, dated as of May 1, 2012, as amended, by and between Kaltura Ltd. and Mr. Yekutiel (the “Yekutiel Employment Agreement”), (ii) the Consulting Agreement, dated as of January 1, 2018, as amended, by and between the Company and Mr. Yekutiel and (iii) the Consulting Agreement, dated as of May 1, 2014, as amended, by and between Kaltura Europe Limited and Mr. Yekutiel.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Pursuant to the Yekutiel Amendments, under the Company’s 2025 Executive Compensation Plan, Mr. Yekutiel will receive up to $510,000 (out of which an amount of $233,750 shall be paid in NIS based on $1.00/NIS3.7 exchange rate, namely, NIS 864,875) upon achievement of 100% of certain performance targets set forth in the 2025 Executive Compensation Plan, and be eligible to earn additional annual “stretch” bonuses of up to $191,250 (out of which an amount of $63,750 shall be paid in NIS based on $1.00/NIS3.7 exchange rate, namely, NIS 235,875), which shall be paid in cash upon achievement of such performance targets above 100% attainment, subject to and in accordance with the satisfaction of the aforementioned performance targets. Following the end of the applicable year, the Compensation Committee of the Board of Directors of the Company will evaluate the achievement of the performance targets and determine the amounts of the annual bonuses that will be paid to Mr. Yekutiel.</w:t>
      </w:r>
    </w:p>
    <w:p>
      <w:pPr>
        <w:spacing w:after="0" w:line="13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Further, under the 2025 Executive Compensation Plan and the Company’s 2021 Incentive Award Plan (the “2021 Plan”), Mr. Yekutiel received 2,105,263 restricted stock units (the “LTI RSUs”). The LTI RSUs vest in quarterly installments over a three-year period commencing as of January 6, 2025, with the first quarterly vesting date on April 1, 2025, subject to continued employment through the vesting date. In the event of a termination of service of Mr. Yekutiel without Cause or by Mr. Yekutiel for Good Reason (each as defined in the applicable award agreement) during the twelve (12) month period immediately following a Change in Control (as defined in the 2021 Plan), the LTI RSUs held by him will become vested in full on the date of such termination.</w:t>
      </w:r>
    </w:p>
    <w:p>
      <w:pPr>
        <w:spacing w:after="0" w:line="13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under the Yekutiel Amendment to Mr. Yekutiel Employment Agreement, effective as of January 1, 2025, Mr. Yekutiel’s annual base salary shall be increased by NIS 172,536 to an aggregate amount of NIS 832,140.</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Additionally, the Yekutiel Amendments also apply a revised advance termination notice period set forth in the 2021 Plan.</w:t>
      </w:r>
    </w:p>
    <w:p>
      <w:pPr>
        <w:spacing w:after="0" w:line="17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February 19, 2025, the Company and John Doherty, the Company’s Chief Financial Officer, entered into an amendment (the “ Doherty Amendment”) to the Employment Agreement, dated as of January 15, 2024, as amended, by and between Kaltura, Inc. and Mr. Doherty.</w:t>
      </w:r>
    </w:p>
    <w:p>
      <w:pPr>
        <w:spacing w:after="0" w:line="10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Pursuant to the Doherty Amendment, under the Company’s 2025 Executive Compensation Plan, Mr. Doherty will receive up to $470,000 upon achievement of 100% of certain performance targets set forth in the 2025 Executive Compensation Plan, and be eligible to earn additional annual “stretch” bonuses of up to $176,250, which shall be paid in cash upon achievement of such performance targets above 100% attainment, subject to and in accordance with the satisfaction of the aforementioned performance targets. Following the end of the applicable year, the Compensation Committee of the Board of Directors of the Company will evaluate the achievement of the performance targets and determine the amounts of the annual bonuses that will be paid to Mr. Doherty.</w:t>
      </w:r>
    </w:p>
    <w:p>
      <w:pPr>
        <w:spacing w:after="0" w:line="13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Further, under the 2025 Executive Compensation Plan and the “2021 Plan”, Mr. Doherty received 526,316 “LTI RSUs”, on January 6, 2025. The LTI RSUs vest in quarterly installments over a three-year period commencing as of January 1, 2025, with the first quarterly vesting date on April 1, 2025, subject to continued employment through the vesting date. In the event of a termination of service of Mr. Doherty without Cause or by Mr. Doherty for Good Reason (each as defined in the applicable award agreement) during the twelve (12) month period immediately following a Change in Control (as defined in the 2021 Plan), the LTI RSUs held by him will become vested in full on the date of such termination.</w:t>
      </w:r>
    </w:p>
    <w:p>
      <w:pPr>
        <w:spacing w:after="0" w:line="1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February 19, 2025, the Company and each of Eynav (Navi) Azaria, the Company’s Chief Product Officer, and Natan Israeli, the Company's Chief Customer Officer, entered into amendments (each, an “Amendment” and collectively, the “Amendments”) to (i) the Employment Agreement, dated as of December 22, 2020, as amended, by and between Kaltura Ltd. and Mr. Azaria, and (ii) the Employment Agreement, dated as of November 26, 2020, as amended, by and between Kaltura Ltd. and Mr. Israeli. Pursuant to the Amendments, under the Company’s 2025 Executive Compensation Plan, (i) Mr. Azaria will receive up to $224,000 (which shall be paid in NIS based on $1.00/NIS3.7 exchange rate, namely, NIS 828,800) upon achievement of 100% of certain performance targets set forth in the 2025 Executive Compensation Plan, and be eligible to earn additional annual “stretch” bonuses of up to $84,000 (which shall be paid in NIS based on $1.00/NIS3.7 exchange rate, namely, NIS 310,800), which shall be paid in cash upon achievement of such performance targets above 100% attainment, subject to and in accordance with the satisfaction of the aforementioned performance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Following the end of the applicable year, the Compensation Committee of the Board of Directors of the Company will evaluate achievement of the performance targets and determine the the amounts of the annual bonuses that will be paid to Mr. Azaria; and (ii) Mr. Israeli will receive up to $223,000 (which shall be paid in NIS based on $1.00/NIS3.7 exchange rate, namely, NIS 825,100) upon achievement of 100% of certain performance targets set forth in the 2025 Executive Compensation Plan, and be eligible to earn additional annual “stretch” bonuses of up to $84,000 (which shall be paid in NIS based on $1.00/NIS3.7 exchange rate, namely, NIS 310,800), which shall be paid in cash upon achievement of such performance targets above 100% attainment, subject to and in accordance with the satisfaction of the aforementioned performance targets. Following the end of the applicable year, the Compensation Committee of the Board of Directors of the Company will evaluate the achievement of the performance targets and determine the amounts of the annual bonuses that will be paid to Mr. Israeli.</w:t>
      </w:r>
    </w:p>
    <w:p>
      <w:pPr>
        <w:spacing w:after="0" w:line="13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Further, under the 2025 Executive Compensation Plan and the “2021 Plan”, each of Mr. Azaria and Mr. Israeli received 605,263 “LTI RSUs”, on January 6, 2025. The LTI RSUs vest in quarterly installments over a three-year period commencing as of January 1, 2025 with the first quarterly vesting date on April 1, 2025, subject to continued employment through the vesting date. In the event of a termination of service of Mr. Azaria or Israeli, respectively, without Cause or for Good Reason (each as defined in the applicable award agreement) during the twelve (12) month period immediately following a Change in Control (as defined in the 2021 Plan), the LTI RSUs held by each of them will become vested in full on the date of such termination.</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Amendments also apply a revised advanced termination notice period set forth in the 2021 Plan.</w:t>
      </w:r>
    </w:p>
    <w:p>
      <w:pPr>
        <w:spacing w:after="0" w:line="17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Amendments are not complete and are qualified in their entirety by reference to the full and complete terms contained in the respective Amendment, copies of which are filed as Exhibits 10.20, 10.21 and 10.22 respectively, to this Annual Report on Form 10-K and are incorporated herein by reference.</w:t>
      </w:r>
    </w:p>
    <w:p>
      <w:pPr>
        <w:spacing w:after="0" w:line="122" w:lineRule="exact"/>
        <w:rPr>
          <w:sz w:val="20"/>
          <w:szCs w:val="20"/>
          <w:color w:val="auto"/>
        </w:rPr>
      </w:pPr>
    </w:p>
    <w:p>
      <w:pPr>
        <w:ind w:right="20" w:firstLine="449"/>
        <w:spacing w:after="0" w:line="282" w:lineRule="auto"/>
        <w:tabs>
          <w:tab w:leader="none" w:pos="7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 directors or officers of the Company adopted or terminated a “Rule 10b5-1 trading arrangement” or “non-Rule 10b5-1 trading arrangement,” as each term is defined in Item in Item 408(a) of Regulation S-K.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8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as of the date of this Annual Report on Form 10-K: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60" w:type="dxa"/>
            <w:vAlign w:val="bottom"/>
            <w:tcBorders>
              <w:top w:val="single" w:sz="8" w:color="auto"/>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8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r>
      <w:tr>
        <w:trPr>
          <w:trHeight w:val="203"/>
        </w:trPr>
        <w:tc>
          <w:tcPr>
            <w:tcW w:w="3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Ron Yekutiel</w:t>
            </w:r>
          </w:p>
        </w:tc>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52</w:t>
            </w:r>
          </w:p>
        </w:tc>
        <w:tc>
          <w:tcPr>
            <w:tcW w:w="5960" w:type="dxa"/>
            <w:vAlign w:val="bottom"/>
          </w:tcPr>
          <w:p>
            <w:pPr>
              <w:jc w:val="center"/>
              <w:ind w:left="170"/>
              <w:spacing w:after="0" w:line="202" w:lineRule="exact"/>
              <w:rPr>
                <w:sz w:val="20"/>
                <w:szCs w:val="20"/>
                <w:color w:val="auto"/>
              </w:rPr>
            </w:pPr>
            <w:r>
              <w:rPr>
                <w:rFonts w:ascii="Times New Roman" w:cs="Times New Roman" w:eastAsia="Times New Roman" w:hAnsi="Times New Roman"/>
                <w:sz w:val="18"/>
                <w:szCs w:val="18"/>
                <w:color w:val="auto"/>
                <w:w w:val="99"/>
              </w:rPr>
              <w:t>Chairman, Chief Executive Officer, President and Director</w:t>
            </w:r>
          </w:p>
        </w:tc>
      </w:tr>
      <w:tr>
        <w:trPr>
          <w:trHeight w:val="202"/>
        </w:trPr>
        <w:tc>
          <w:tcPr>
            <w:tcW w:w="3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John Doherty</w:t>
            </w:r>
          </w:p>
        </w:tc>
        <w:tc>
          <w:tcPr>
            <w:tcW w:w="22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c>
          <w:tcPr>
            <w:tcW w:w="5960" w:type="dxa"/>
            <w:vAlign w:val="bottom"/>
            <w:shd w:val="clear" w:color="auto" w:fill="CCEEFF"/>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03"/>
        </w:trPr>
        <w:tc>
          <w:tcPr>
            <w:tcW w:w="3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Eynav Azaria</w:t>
            </w:r>
          </w:p>
        </w:tc>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51</w:t>
            </w:r>
          </w:p>
        </w:tc>
        <w:tc>
          <w:tcPr>
            <w:tcW w:w="5960" w:type="dxa"/>
            <w:vAlign w:val="bottom"/>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rPr>
              <w:t>Chief Product and Engineering Officer</w:t>
            </w: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Natan Israeli</w:t>
            </w:r>
          </w:p>
        </w:tc>
        <w:tc>
          <w:tcPr>
            <w:tcW w:w="22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c>
          <w:tcPr>
            <w:tcW w:w="5960" w:type="dxa"/>
            <w:vAlign w:val="bottom"/>
            <w:shd w:val="clear" w:color="auto" w:fill="CCEEFF"/>
          </w:tcPr>
          <w:p>
            <w:pPr>
              <w:jc w:val="center"/>
              <w:ind w:left="170"/>
              <w:spacing w:after="0" w:line="202" w:lineRule="exact"/>
              <w:rPr>
                <w:sz w:val="20"/>
                <w:szCs w:val="20"/>
                <w:color w:val="auto"/>
              </w:rPr>
            </w:pPr>
            <w:r>
              <w:rPr>
                <w:rFonts w:ascii="Times New Roman" w:cs="Times New Roman" w:eastAsia="Times New Roman" w:hAnsi="Times New Roman"/>
                <w:sz w:val="18"/>
                <w:szCs w:val="18"/>
                <w:color w:val="auto"/>
                <w:w w:val="99"/>
              </w:rPr>
              <w:t>Chief Customer Officer</w:t>
            </w:r>
          </w:p>
        </w:tc>
      </w:tr>
      <w:tr>
        <w:trPr>
          <w:trHeight w:val="270"/>
        </w:trPr>
        <w:tc>
          <w:tcPr>
            <w:tcW w:w="30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960" w:type="dxa"/>
            <w:vAlign w:val="bottom"/>
          </w:tcPr>
          <w:p>
            <w:pPr>
              <w:spacing w:after="0"/>
              <w:rPr>
                <w:sz w:val="23"/>
                <w:szCs w:val="23"/>
                <w:color w:val="auto"/>
              </w:rPr>
            </w:pP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28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Levandov</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5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
        </w:trPr>
        <w:tc>
          <w:tcPr>
            <w:tcW w:w="3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Dr. Shay David</w:t>
            </w:r>
          </w:p>
        </w:tc>
        <w:tc>
          <w:tcPr>
            <w:tcW w:w="22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52</w:t>
            </w:r>
          </w:p>
        </w:tc>
        <w:tc>
          <w:tcPr>
            <w:tcW w:w="5960" w:type="dxa"/>
            <w:vAlign w:val="bottom"/>
            <w:shd w:val="clear" w:color="auto" w:fill="CCEEFF"/>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w w:val="99"/>
              </w:rPr>
              <w:t>Director</w:t>
            </w:r>
          </w:p>
        </w:tc>
      </w:tr>
      <w:tr>
        <w:trPr>
          <w:trHeight w:val="203"/>
        </w:trPr>
        <w:tc>
          <w:tcPr>
            <w:tcW w:w="3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Ronen Faier</w:t>
            </w:r>
          </w:p>
        </w:tc>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c>
          <w:tcPr>
            <w:tcW w:w="5960" w:type="dxa"/>
            <w:vAlign w:val="bottom"/>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w w:val="99"/>
              </w:rPr>
              <w:t>Director</w:t>
            </w: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Dr. Naama Halevi Davidov</w:t>
            </w:r>
          </w:p>
        </w:tc>
        <w:tc>
          <w:tcPr>
            <w:tcW w:w="22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c>
          <w:tcPr>
            <w:tcW w:w="5960" w:type="dxa"/>
            <w:vAlign w:val="bottom"/>
            <w:shd w:val="clear" w:color="auto" w:fill="CCEEFF"/>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Eyal Manor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5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 Yekutiel </w:t>
      </w:r>
      <w:r>
        <w:rPr>
          <w:rFonts w:ascii="Times New Roman" w:cs="Times New Roman" w:eastAsia="Times New Roman" w:hAnsi="Times New Roman"/>
          <w:sz w:val="18"/>
          <w:szCs w:val="18"/>
          <w:color w:val="auto"/>
        </w:rPr>
        <w:t>is one of our co-founders and has served as our Chief Executive Officer and as Chairman of our board of directors since October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President from January 15, 2024.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has been named one of “100 most intriguing entrepreneurs” by Goldman Sachs, and one of the “top 25 visionaries, innovators, and producers” by the Producers Guild of America. He was also featured as one of eight “top web innovators” in Esquire magazine. Mr. Yekutiel has served an advisor to numerous startup companies, including as a mentor in the Microsoft and Oracle accelerator programs. Mr. Yekutiel was selected to serve on our board of directors because of the perspective and experience he provides as our co-founder and Chief Executive Officer, as well as his extensive experience with technology companies.</w:t>
      </w:r>
    </w:p>
    <w:p>
      <w:pPr>
        <w:spacing w:after="0" w:line="13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Doherty </w:t>
      </w:r>
      <w:r>
        <w:rPr>
          <w:rFonts w:ascii="Times New Roman" w:cs="Times New Roman" w:eastAsia="Times New Roman" w:hAnsi="Times New Roman"/>
          <w:sz w:val="18"/>
          <w:szCs w:val="18"/>
          <w:color w:val="auto"/>
        </w:rPr>
        <w:t>has served as our Chief Financial Officer since March 2024. Prior to that, Mr. Doherty served as Chief Financial Officer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Operating Officer for Magic Leap, Inc., an augmented reality technology company, from 2020 to 2024, and as Chief Financial Officer of InterXion Holding N.V., a data center services provider, from 2018 to 2020. In addition, Mr. Doherty held a variety of financial roles at Verizon Communications Inc., over a 30-year period, most recently serving as Senior Vice President of Corporate Development and President and Chief Investment Officer of Verizon Ventures from 2013 to 2018, where he helped steer significant strategic transactions and corporate restructurings. Mr. Doherty currently also serves on the Board of Directors of Guam-based Pacific Telecom. Mr. Doherty holds a degree in economics from Stonybrook University and has attended the MBA program at Baruch College as well as Wharton’s Executive Education program in Finance and Strategic Planning. </w:t>
      </w:r>
      <w:r>
        <w:rPr>
          <w:rFonts w:ascii="Times New Roman" w:cs="Times New Roman" w:eastAsia="Times New Roman" w:hAnsi="Times New Roman"/>
          <w:sz w:val="18"/>
          <w:szCs w:val="18"/>
          <w:i w:val="1"/>
          <w:iCs w:val="1"/>
          <w:color w:val="auto"/>
        </w:rPr>
        <w:t>The Deal</w:t>
      </w:r>
      <w:r>
        <w:rPr>
          <w:rFonts w:ascii="Times New Roman" w:cs="Times New Roman" w:eastAsia="Times New Roman" w:hAnsi="Times New Roman"/>
          <w:sz w:val="18"/>
          <w:szCs w:val="18"/>
          <w:color w:val="auto"/>
        </w:rPr>
        <w:t xml:space="preserve"> named him The Most Admired Corporate Deal Maker in Telecommunications in 2013, 2014, and 2016. </w:t>
      </w:r>
      <w:r>
        <w:rPr>
          <w:rFonts w:ascii="Times New Roman" w:cs="Times New Roman" w:eastAsia="Times New Roman" w:hAnsi="Times New Roman"/>
          <w:sz w:val="18"/>
          <w:szCs w:val="18"/>
          <w:i w:val="1"/>
          <w:iCs w:val="1"/>
          <w:color w:val="auto"/>
        </w:rPr>
        <w:t>Institutional Investor</w:t>
      </w:r>
      <w:r>
        <w:rPr>
          <w:rFonts w:ascii="Times New Roman" w:cs="Times New Roman" w:eastAsia="Times New Roman" w:hAnsi="Times New Roman"/>
          <w:sz w:val="18"/>
          <w:szCs w:val="18"/>
          <w:color w:val="auto"/>
        </w:rPr>
        <w:t xml:space="preserve"> ranked Mr. Doherty as the top IR executive across the telecommunications industry in 2011 and 2012.</w:t>
      </w:r>
    </w:p>
    <w:p>
      <w:pPr>
        <w:spacing w:after="0" w:line="134"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Eynav Azaria </w:t>
      </w:r>
      <w:r>
        <w:rPr>
          <w:rFonts w:ascii="Times New Roman" w:cs="Times New Roman" w:eastAsia="Times New Roman" w:hAnsi="Times New Roman"/>
          <w:sz w:val="18"/>
          <w:szCs w:val="18"/>
          <w:color w:val="auto"/>
        </w:rPr>
        <w:t>served as our Chief Revenue Officer from August 2022 until June 2024 and has been serving as our Chief Product and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July 1, 2024. He has also been an executive officer since January 2024. He is known as a thought leader in the areas of digital transformation, AI, and analytics, and has advised companies on using data and insights to drive success. Prior to joining Kaltura, Mr. Azaria served as Chief Executive Officer of Panorama Software Inc., a business intelligence software company, from 2004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Before joining Panorama, Mr. Azaria was Chief Operating Officer for BrowseUp Ltd., and before that he served as campaign manager for the Israeli Labor Party and former prime minister, Mr. Ehud Barak. Mr. Azaria also served as the CEO of the International Center for Peace in the Middle East. Mr. Azaria is a member of the board of trustees of the Afeka Engineering College in Israel and serves as an advisory board member of the Israeli Export Institute.</w:t>
      </w:r>
    </w:p>
    <w:p>
      <w:pPr>
        <w:spacing w:after="0" w:line="12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Natan Israeli </w:t>
      </w:r>
      <w:r>
        <w:rPr>
          <w:rFonts w:ascii="Times New Roman" w:cs="Times New Roman" w:eastAsia="Times New Roman" w:hAnsi="Times New Roman"/>
          <w:sz w:val="18"/>
          <w:szCs w:val="18"/>
          <w:color w:val="auto"/>
        </w:rPr>
        <w:t>has served as our Chief Customer Officer since November 2020 and as an executive officer since January 2024.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Kaltura, throughout 2020 Mr. Israeli was the CEO for Ambar A.M. Enterprise Ltd., that was active in the Israeli energy and infrastructure industries. His responsibilities included identifying potential clients and projects, managing negotiations, finding and recruiting partners and leading and consulting on business development, and strategy for the implementation of advanced technologies. Prior to that Mr. Israeli served for three decades in the Israeli Air Force (IAF) as an officer and helicopter pilot. His last position was head of all IAF Human Resources from 2016 to 2020, in which capacity he was responsible for tens of thousands of people. Prior to that ,Mr. Israeli held various other senior positions with the IAF, including the IAF's CIO and head of its information systems from 2012 to 2014.</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71"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Levandov </w:t>
      </w:r>
      <w:r>
        <w:rPr>
          <w:rFonts w:ascii="Times New Roman" w:cs="Times New Roman" w:eastAsia="Times New Roman" w:hAnsi="Times New Roman"/>
          <w:sz w:val="18"/>
          <w:szCs w:val="18"/>
          <w:color w:val="auto"/>
        </w:rPr>
        <w:t>has served as a member of our board of directors since 2007. Mr. Levandov has over 30 years of experience as a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capitalist, operator and entrepreneur, most recently as a partner at Avalon Ventures from 2007 to date. Mr. Levandov is active in the Boston, New York City, San Francisco and Seattle venture and entrepreneurial communities. As a past judge on the MIT 100k business plan competition he remains very active in various organizations on both U.S. coasts, promoting the creation of new disruptive enterprises. He received a Bachelor of Science from Binghamton University in 1976. Mr. Levandov was selected to serve on our board of directors because of his extensive experience in the venture capital industry.</w:t>
      </w:r>
    </w:p>
    <w:p>
      <w:pPr>
        <w:spacing w:after="0" w:line="12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Shay David </w:t>
      </w:r>
      <w:r>
        <w:rPr>
          <w:rFonts w:ascii="Times New Roman" w:cs="Times New Roman" w:eastAsia="Times New Roman" w:hAnsi="Times New Roman"/>
          <w:sz w:val="18"/>
          <w:szCs w:val="18"/>
          <w:color w:val="auto"/>
        </w:rPr>
        <w:t>is one of our co-founders and has served as a member of our board of directors since October 2006. Dr. David previously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w:t>
      </w:r>
    </w:p>
    <w:p>
      <w:pPr>
        <w:spacing w:after="0" w:line="1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Ronen Faier </w:t>
      </w:r>
      <w:r>
        <w:rPr>
          <w:rFonts w:ascii="Times New Roman" w:cs="Times New Roman" w:eastAsia="Times New Roman" w:hAnsi="Times New Roman"/>
          <w:sz w:val="18"/>
          <w:szCs w:val="18"/>
          <w:color w:val="auto"/>
        </w:rPr>
        <w:t>has served on our board of directors since July 2021. Mr. Faier has also served as a director of Monday.com (NASDAQ: MNDY)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and a director of Cato Networks since February 2023. Mr. Faier served as the Interim CEO of SolarEdge Technologies, Inc., an energy management company from August 2024 through December 2024 and as their Chief Financial Officer from January 2011 through June 2024. Prior to his role at SolarEdge, Mr. Faier served in various executive positions at publicly traded technology companies such as SanDisk Corporation, a semiconductor manufacturing company, Msystems Ltd., a semiconductor memory devices manufacturing company and VocalTec Communications, Inc., a telecom equipment provider. Mr. Faier is a Certified Public Accountant in Israel. He received a Master’s of Business Administration with honors from Tel Aviv University in 2000 and a Bachelor of Arts in Accounting and Economics from the Hebrew University of Jerusalem in 1996. Mr. Faier holds a CPA (Israel) license. Mr. Faier was selected to serve on our board of directors because of his extensive financial and public company experience.</w:t>
      </w:r>
    </w:p>
    <w:p>
      <w:pPr>
        <w:spacing w:after="0" w:line="13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Naama Halevi Davidov </w:t>
      </w:r>
      <w:r>
        <w:rPr>
          <w:rFonts w:ascii="Times New Roman" w:cs="Times New Roman" w:eastAsia="Times New Roman" w:hAnsi="Times New Roman"/>
          <w:sz w:val="18"/>
          <w:szCs w:val="18"/>
          <w:color w:val="auto"/>
        </w:rPr>
        <w:t>has served on our board of directors since July 2021. Dr. Halevi Davidov has served as a member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Kornit Digital Ltd. (NASDAQ: KRNT) since August 2023. Dr. Halevi Davidov is currently the Chief Financial Officer of a cybersecurity company in stealth mode. Additionally, Dr. Halevi Davidov served from May 2022 through August 2024 as the Chief Financial Officer of XM Cyber Ltd., a global cybersecurity company. Prior to this role, Dr. Halevi Davidov served as a consultant to several technology companies including Simply Ltd. (formerly named JuyTunes), Gloat Ltd. and Healthy.IO. Dr. Halevi Davidov served as our Chief Financial Officer from November 2012 to August 2017. Dr. Halevi Davidov also serves on the board of our subsidiary, Kaltura Asia Pte Ltd. since February 2015. Dr. Halevi Davidov is a Certified Public Accountant in Israel. She received a Ph.D. in Strategy from Tel Aviv University in 2012, a Master’s in Business Administration from Tel Aviv University in 2002 and Bachelor of Arts in Accounting and Economics from Tel Aviv University in 2000. Dr. Halevi Davidov was selected to serve on our board of directors because of her extensive knowledge of, and experience with, corporate financial strategy.</w:t>
      </w:r>
    </w:p>
    <w:p>
      <w:pPr>
        <w:spacing w:after="0" w:line="134" w:lineRule="exact"/>
        <w:rPr>
          <w:sz w:val="20"/>
          <w:szCs w:val="20"/>
          <w:color w:val="auto"/>
        </w:rPr>
      </w:pPr>
    </w:p>
    <w:p>
      <w:pPr>
        <w:ind w:right="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Eyal Manor </w:t>
      </w:r>
      <w:r>
        <w:rPr>
          <w:rFonts w:ascii="Times New Roman" w:cs="Times New Roman" w:eastAsia="Times New Roman" w:hAnsi="Times New Roman"/>
          <w:sz w:val="18"/>
          <w:szCs w:val="18"/>
          <w:color w:val="auto"/>
        </w:rPr>
        <w:t>has served on our board of directors since January 2023. Mr. Manor has served as Chief Product &amp; Engineering Officer at Twilio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2023, overseeing CPaaS and Segment's CDP.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Prior to that, from 2016 to November 2021 Mr. Manor served as Vice President &amp; General Manager at Google Cloud, where he led a portfolio of technologies, including Kubernetes, Serverless Developer Platforms, Marketplace, and other products. In his previous roles with Google, Mr. Manor was VP of Engineering at YouTube and spearheaded the development of advertising products. Before joining Google, Mr. Manor founded Voice and Video SaaS streaming startup and was in an IAF Research Group. Mr. Manor graduated from Tel Aviv University in 1994. Mr. Manor was selected to serve on our board of directors because of his vast experience in building successful SaaS products and innovative platform technologies.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investors.kaltura.com.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 on Form 10-K.</w:t>
      </w:r>
    </w:p>
    <w:p>
      <w:pPr>
        <w:spacing w:after="0" w:line="13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under the headings “Election of Directors,” “Corporate Governance,” and, if applicable, “Delinquent Section 16(a) Reports” in our definitive proxy statement for our 2025 Annual Meeting of Stockholders, and such required information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84"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“Executive Compensation” and, if applicable, “Compensation Committee Interlocks and Insider Participation” in our definitive proxy statement for our 2025 Annual Meeting of Stockholders, and such information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“Securities Authorized for Issuance Under Equity Compensation Plans” and “Security Ownership of Certain Beneficial Owners and Management” in our definitive proxy statement for our 2025 Annual Meeting of Stockholders, and such information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“Certain Relationships and Related Person Transactions,” “Corporate Governance” and “Director Independence” in our definitive proxy statement for our 2025 Annual Meeting of Stockholders, and such information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7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 “Independent Registered Public Accounting Firm Fees and Other Matters” in our definitive proxy statement for our 2025 Annual Meeting of Stockholders,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8 herein.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71"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(a)(3) Exhibits.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gridSpan w:val="28"/>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20" w:type="dxa"/>
            <w:vAlign w:val="bottom"/>
            <w:vMerge w:val="restart"/>
          </w:tcPr>
          <w:p>
            <w:pPr>
              <w:spacing w:after="0"/>
              <w:rPr>
                <w:sz w:val="14"/>
                <w:szCs w:val="14"/>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vMerge w:val="restart"/>
          </w:tcPr>
          <w:p>
            <w:pPr>
              <w:spacing w:after="0"/>
              <w:rPr>
                <w:sz w:val="14"/>
                <w:szCs w:val="14"/>
                <w:color w:val="auto"/>
              </w:rPr>
            </w:pPr>
          </w:p>
        </w:tc>
        <w:tc>
          <w:tcPr>
            <w:tcW w:w="1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0" w:type="dxa"/>
            <w:vAlign w:val="bottom"/>
            <w:vMerge w:val="restart"/>
          </w:tcPr>
          <w:p>
            <w:pPr>
              <w:spacing w:after="0"/>
              <w:rPr>
                <w:sz w:val="14"/>
                <w:szCs w:val="14"/>
                <w:color w:val="auto"/>
              </w:rPr>
            </w:pP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200" w:type="dxa"/>
            <w:vAlign w:val="bottom"/>
          </w:tcPr>
          <w:p>
            <w:pPr>
              <w:jc w:val="center"/>
              <w:ind w:right="159"/>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80" w:type="dxa"/>
            <w:vAlign w:val="bottom"/>
          </w:tcPr>
          <w:p>
            <w:pPr>
              <w:spacing w:after="0"/>
              <w:rPr>
                <w:sz w:val="14"/>
                <w:szCs w:val="14"/>
                <w:color w:val="auto"/>
              </w:rPr>
            </w:pPr>
          </w:p>
        </w:tc>
        <w:tc>
          <w:tcPr>
            <w:tcW w:w="12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28"/>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86"/>
        </w:trPr>
        <w:tc>
          <w:tcPr>
            <w:tcW w:w="220" w:type="dxa"/>
            <w:vAlign w:val="bottom"/>
            <w:gridSpan w:val="2"/>
          </w:tcPr>
          <w:p>
            <w:pPr>
              <w:ind w:left="20"/>
              <w:spacing w:after="0"/>
              <w:rPr>
                <w:rFonts w:ascii="Times New Roman" w:cs="Times New Roman" w:eastAsia="Times New Roman" w:hAnsi="Times New Roman"/>
                <w:sz w:val="16"/>
                <w:szCs w:val="16"/>
                <w:color w:val="0000FF"/>
                <w:w w:val="89"/>
              </w:rPr>
            </w:pPr>
            <w:hyperlink r:id="rId180">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1</w:t>
              </w:r>
            </w:hyperlink>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Amended and Restated Certificate of Incorporation of Kaltura,</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001-40644</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7/23/2021</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Borders>
              <w:top w:val="single" w:sz="8" w:color="0000FF"/>
            </w:tcBorders>
            <w:gridSpan w:val="23"/>
          </w:tcPr>
          <w:p>
            <w:pPr>
              <w:spacing w:after="0" w:line="175"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Inc.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001-40644</w:t>
            </w:r>
          </w:p>
        </w:tc>
        <w:tc>
          <w:tcPr>
            <w:tcW w:w="8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08/08/2022</w:t>
            </w: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Certificate of Designations of Series A Junior Participating</w:t>
              </w:r>
            </w:hyperlink>
          </w:p>
        </w:tc>
        <w:tc>
          <w:tcPr>
            <w:tcW w:w="7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Preferred Stock of Kaltura,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Borders>
              <w:bottom w:val="single" w:sz="8" w:color="0000FF"/>
            </w:tcBorders>
          </w:tcPr>
          <w:p>
            <w:pPr>
              <w:spacing w:after="0"/>
              <w:rPr>
                <w:rFonts w:ascii="Times New Roman" w:cs="Times New Roman" w:eastAsia="Times New Roman" w:hAnsi="Times New Roman"/>
                <w:sz w:val="16"/>
                <w:szCs w:val="16"/>
                <w:color w:val="0000FF"/>
                <w:w w:val="89"/>
              </w:rPr>
            </w:pPr>
            <w:hyperlink r:id="rId181">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2</w:t>
              </w:r>
            </w:hyperlink>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0000FF"/>
            </w:tcBorders>
          </w:tcPr>
          <w:p>
            <w:pPr>
              <w:spacing w:after="0"/>
              <w:rPr>
                <w:rFonts w:ascii="Times New Roman" w:cs="Times New Roman" w:eastAsia="Times New Roman" w:hAnsi="Times New Roman"/>
                <w:sz w:val="16"/>
                <w:szCs w:val="16"/>
                <w:color w:val="0000FF"/>
                <w:w w:val="89"/>
              </w:rPr>
            </w:pPr>
            <w:hyperlink r:id="rId182">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3</w:t>
              </w:r>
            </w:hyperlink>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Amended and Restated Bylaws of Kaltura, Inc.</w:t>
              </w:r>
            </w:hyperlink>
          </w:p>
        </w:tc>
        <w:tc>
          <w:tcPr>
            <w:tcW w:w="1160" w:type="dxa"/>
            <w:vAlign w:val="bottom"/>
            <w:gridSpan w:val="22"/>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001-40644</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7/23/2021</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0000FF"/>
            </w:tcBorders>
          </w:tcPr>
          <w:p>
            <w:pPr>
              <w:spacing w:after="0"/>
              <w:rPr>
                <w:rFonts w:ascii="Times New Roman" w:cs="Times New Roman" w:eastAsia="Times New Roman" w:hAnsi="Times New Roman"/>
                <w:sz w:val="16"/>
                <w:szCs w:val="16"/>
                <w:color w:val="0000FF"/>
                <w:w w:val="89"/>
              </w:rPr>
            </w:pPr>
            <w:hyperlink r:id="rId183">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1</w:t>
              </w:r>
            </w:hyperlink>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Specimen Stock Certificate of Kaltura, Inc,</w:t>
              </w:r>
            </w:hyperlink>
          </w:p>
        </w:tc>
        <w:tc>
          <w:tcPr>
            <w:tcW w:w="1420" w:type="dxa"/>
            <w:vAlign w:val="bottom"/>
            <w:gridSpan w:val="24"/>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333-253699</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3/23/2021</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gridSpan w:val="2"/>
          </w:tcPr>
          <w:p>
            <w:pPr>
              <w:ind w:left="20"/>
              <w:spacing w:after="0"/>
              <w:rPr>
                <w:rFonts w:ascii="Times New Roman" w:cs="Times New Roman" w:eastAsia="Times New Roman" w:hAnsi="Times New Roman"/>
                <w:sz w:val="16"/>
                <w:szCs w:val="16"/>
                <w:color w:val="0000FF"/>
                <w:w w:val="89"/>
              </w:rPr>
            </w:pPr>
            <w:hyperlink r:id="rId184">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2</w:t>
              </w:r>
            </w:hyperlink>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Sixth Amended and Restated Investor Rights Agreement, dated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333-253699</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3/23/2021</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as of July 22, 2016, by and among Kaltura, Inc. and each of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investors listed on Exhibit A thereto, as amended.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 w:type="dxa"/>
            <w:vAlign w:val="bottom"/>
            <w:gridSpan w:val="2"/>
          </w:tcPr>
          <w:p>
            <w:pPr>
              <w:ind w:left="20"/>
              <w:spacing w:after="0" w:line="176" w:lineRule="exact"/>
              <w:rPr>
                <w:rFonts w:ascii="Times New Roman" w:cs="Times New Roman" w:eastAsia="Times New Roman" w:hAnsi="Times New Roman"/>
                <w:sz w:val="16"/>
                <w:szCs w:val="16"/>
                <w:color w:val="0000FF"/>
                <w:w w:val="89"/>
              </w:rPr>
            </w:pPr>
            <w:hyperlink r:id="rId185">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3</w:t>
              </w:r>
            </w:hyperlink>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Description of Capital Stock.</w:t>
              </w:r>
            </w:hyperlink>
          </w:p>
        </w:tc>
        <w:tc>
          <w:tcPr>
            <w:tcW w:w="1000" w:type="dxa"/>
            <w:vAlign w:val="bottom"/>
            <w:gridSpan w:val="21"/>
          </w:tcPr>
          <w:p>
            <w:pPr>
              <w:spacing w:after="0"/>
              <w:rPr>
                <w:sz w:val="17"/>
                <w:szCs w:val="17"/>
                <w:color w:val="auto"/>
              </w:rPr>
            </w:pPr>
          </w:p>
        </w:tc>
        <w:tc>
          <w:tcPr>
            <w:tcW w:w="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10-K</w:t>
            </w: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001-40644</w:t>
            </w:r>
          </w:p>
        </w:tc>
        <w:tc>
          <w:tcPr>
            <w:tcW w:w="80" w:type="dxa"/>
            <w:vAlign w:val="bottom"/>
          </w:tcPr>
          <w:p>
            <w:pPr>
              <w:spacing w:after="0"/>
              <w:rPr>
                <w:sz w:val="17"/>
                <w:szCs w:val="17"/>
                <w:color w:val="auto"/>
              </w:rPr>
            </w:pP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9"/>
              <w:spacing w:after="0" w:line="176" w:lineRule="exact"/>
              <w:rPr>
                <w:sz w:val="20"/>
                <w:szCs w:val="20"/>
                <w:color w:val="auto"/>
              </w:rPr>
            </w:pPr>
            <w:r>
              <w:rPr>
                <w:rFonts w:ascii="Times New Roman" w:cs="Times New Roman" w:eastAsia="Times New Roman" w:hAnsi="Times New Roman"/>
                <w:sz w:val="16"/>
                <w:szCs w:val="16"/>
                <w:color w:val="auto"/>
              </w:rPr>
              <w:t>2/25/2022</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4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gridSpan w:val="3"/>
          </w:tcPr>
          <w:p>
            <w:pPr>
              <w:ind w:left="20"/>
              <w:spacing w:after="0"/>
              <w:rPr>
                <w:rFonts w:ascii="Times New Roman" w:cs="Times New Roman" w:eastAsia="Times New Roman" w:hAnsi="Times New Roman"/>
                <w:sz w:val="16"/>
                <w:szCs w:val="16"/>
                <w:color w:val="0000FF"/>
                <w:w w:val="92"/>
              </w:rPr>
            </w:pPr>
            <w:hyperlink r:id="rId186">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1</w:t>
              </w:r>
            </w:hyperlink>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Credit Agreement, dated as of January 14, 2021, by and among</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333-253699</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3/26/2021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Kaltura, Inc., the several banks and other financial institutions</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w w:val="98"/>
              </w:rPr>
            </w:pPr>
            <w:hyperlink r:id="rId186">
              <w:r>
                <w:rPr>
                  <w:rFonts w:ascii="Times New Roman" w:cs="Times New Roman" w:eastAsia="Times New Roman" w:hAnsi="Times New Roman"/>
                  <w:sz w:val="16"/>
                  <w:szCs w:val="16"/>
                  <w:color w:val="0000FF"/>
                  <w:w w:val="98"/>
                </w:rPr>
                <w:t>or entities from time to time party thereto, Silicon Valley Bank,</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gridSpan w:val="25"/>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as the Issuing Lender and the Swingline Lender, and SVB, as</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Administrative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gridSpan w:val="3"/>
          </w:tcPr>
          <w:p>
            <w:pPr>
              <w:ind w:left="20"/>
              <w:spacing w:after="0"/>
              <w:rPr>
                <w:rFonts w:ascii="Times New Roman" w:cs="Times New Roman" w:eastAsia="Times New Roman" w:hAnsi="Times New Roman"/>
                <w:sz w:val="16"/>
                <w:szCs w:val="16"/>
                <w:color w:val="0000FF"/>
                <w:w w:val="92"/>
              </w:rPr>
            </w:pPr>
            <w:hyperlink r:id="rId187">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2</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First Amendment to Credit Agreement, dated as of June 29,</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333-253699</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7/12/2021</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2021, by and among Kaltura, Inc. (the “Borrower”), the</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subsidiaries of the Borrower party thereto, the several</w:t>
              </w:r>
            </w:hyperlink>
          </w:p>
        </w:tc>
        <w:tc>
          <w:tcPr>
            <w:tcW w:w="620" w:type="dxa"/>
            <w:vAlign w:val="bottom"/>
            <w:gridSpan w:val="18"/>
          </w:tcPr>
          <w:p>
            <w:pPr>
              <w:jc w:val="center"/>
              <w:ind w:right="320"/>
              <w:spacing w:after="0" w:line="142" w:lineRule="exact"/>
              <w:rPr>
                <w:rFonts w:ascii="Times New Roman" w:cs="Times New Roman" w:eastAsia="Times New Roman" w:hAnsi="Times New Roman"/>
                <w:sz w:val="16"/>
                <w:szCs w:val="16"/>
                <w:color w:val="0000FF"/>
                <w:w w:val="80"/>
              </w:rPr>
            </w:pPr>
            <w:hyperlink r:id="rId187">
              <w:r>
                <w:rPr>
                  <w:rFonts w:ascii="Times New Roman" w:cs="Times New Roman" w:eastAsia="Times New Roman" w:hAnsi="Times New Roman"/>
                  <w:sz w:val="16"/>
                  <w:szCs w:val="16"/>
                  <w:color w:val="0000FF"/>
                  <w:w w:val="80"/>
                </w:rPr>
                <w:t>banks</w:t>
              </w:r>
            </w:hyperlink>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and other financial institutions or entities party thereto, and</w:t>
              </w:r>
            </w:hyperlink>
          </w:p>
        </w:tc>
        <w:tc>
          <w:tcPr>
            <w:tcW w:w="6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gridSpan w:val="30"/>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Silicon Valley Bank, as the Administrative Agent, the Issuing</w:t>
              </w:r>
            </w:hyperlink>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187">
              <w:r>
                <w:rPr>
                  <w:rFonts w:ascii="Times New Roman" w:cs="Times New Roman" w:eastAsia="Times New Roman" w:hAnsi="Times New Roman"/>
                  <w:sz w:val="16"/>
                  <w:szCs w:val="16"/>
                  <w:color w:val="0000FF"/>
                  <w:w w:val="99"/>
                </w:rPr>
                <w:t>Lender and the Swingline Lender.</w:t>
              </w:r>
            </w:hyperlink>
          </w:p>
        </w:tc>
        <w:tc>
          <w:tcPr>
            <w:tcW w:w="180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0" w:type="dxa"/>
            <w:vAlign w:val="bottom"/>
            <w:gridSpan w:val="3"/>
          </w:tcPr>
          <w:p>
            <w:pPr>
              <w:ind w:left="20"/>
              <w:spacing w:after="0"/>
              <w:rPr>
                <w:rFonts w:ascii="Times New Roman" w:cs="Times New Roman" w:eastAsia="Times New Roman" w:hAnsi="Times New Roman"/>
                <w:sz w:val="16"/>
                <w:szCs w:val="16"/>
                <w:color w:val="0000FF"/>
                <w:w w:val="92"/>
              </w:rPr>
            </w:pPr>
            <w:hyperlink r:id="rId188">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3</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Second Amendment to Credit Agreement, dated as of</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001-40644</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2/25/2022</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6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December 20, 2021, by and among Kaltura, Inc. (the</w:t>
              </w:r>
            </w:hyperlink>
          </w:p>
        </w:tc>
        <w:tc>
          <w:tcPr>
            <w:tcW w:w="48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“Borrower”), the subsidiaries of the Borrower party</w:t>
              </w:r>
            </w:hyperlink>
          </w:p>
        </w:tc>
        <w:tc>
          <w:tcPr>
            <w:tcW w:w="800" w:type="dxa"/>
            <w:vAlign w:val="bottom"/>
            <w:gridSpan w:val="20"/>
          </w:tcPr>
          <w:p>
            <w:pPr>
              <w:jc w:val="center"/>
              <w:ind w:right="100"/>
              <w:spacing w:after="0" w:line="142" w:lineRule="exact"/>
              <w:rPr>
                <w:rFonts w:ascii="Times New Roman" w:cs="Times New Roman" w:eastAsia="Times New Roman" w:hAnsi="Times New Roman"/>
                <w:sz w:val="16"/>
                <w:szCs w:val="16"/>
                <w:color w:val="0000FF"/>
                <w:w w:val="97"/>
              </w:rPr>
            </w:pPr>
            <w:hyperlink r:id="rId188">
              <w:r>
                <w:rPr>
                  <w:rFonts w:ascii="Times New Roman" w:cs="Times New Roman" w:eastAsia="Times New Roman" w:hAnsi="Times New Roman"/>
                  <w:sz w:val="16"/>
                  <w:szCs w:val="16"/>
                  <w:color w:val="0000FF"/>
                  <w:w w:val="97"/>
                </w:rPr>
                <w:t>thereto, the</w:t>
              </w:r>
            </w:hyperlink>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several banks and other financial institutions or entities party</w:t>
              </w:r>
            </w:hyperlink>
          </w:p>
        </w:tc>
        <w:tc>
          <w:tcPr>
            <w:tcW w:w="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w w:val="97"/>
              </w:rPr>
            </w:pPr>
            <w:hyperlink r:id="rId188">
              <w:r>
                <w:rPr>
                  <w:rFonts w:ascii="Times New Roman" w:cs="Times New Roman" w:eastAsia="Times New Roman" w:hAnsi="Times New Roman"/>
                  <w:sz w:val="16"/>
                  <w:szCs w:val="16"/>
                  <w:color w:val="0000FF"/>
                  <w:w w:val="97"/>
                </w:rPr>
                <w:t>thereto, and Silicon Valley Bank, as the Administrative Agent,</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8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gridSpan w:val="22"/>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the Issuing Lender and the Swingline Lender.</w:t>
              </w:r>
            </w:hyperlink>
          </w:p>
        </w:tc>
        <w:tc>
          <w:tcPr>
            <w:tcW w:w="18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7"/>
            <w:shd w:val="clear" w:color="auto" w:fill="0000FF"/>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gridSpan w:val="3"/>
          </w:tcPr>
          <w:p>
            <w:pPr>
              <w:ind w:left="20"/>
              <w:spacing w:after="0"/>
              <w:rPr>
                <w:rFonts w:ascii="Times New Roman" w:cs="Times New Roman" w:eastAsia="Times New Roman" w:hAnsi="Times New Roman"/>
                <w:sz w:val="16"/>
                <w:szCs w:val="16"/>
                <w:color w:val="0000FF"/>
                <w:w w:val="92"/>
              </w:rPr>
            </w:pPr>
            <w:hyperlink r:id="rId189">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4</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30"/>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Third Amendment to Credit Agreement, dated as of April 19,</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001-40644</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11/08/2023</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2022, by and among Kaltura, Inc. (the “Borrower”), the</w:t>
              </w:r>
            </w:hyperlink>
          </w:p>
        </w:tc>
        <w:tc>
          <w:tcPr>
            <w:tcW w:w="240" w:type="dxa"/>
            <w:vAlign w:val="bottom"/>
            <w:gridSpan w:val="11"/>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subsidiaries of the Borrower party thereto, the several</w:t>
              </w:r>
            </w:hyperlink>
          </w:p>
        </w:tc>
        <w:tc>
          <w:tcPr>
            <w:tcW w:w="620" w:type="dxa"/>
            <w:vAlign w:val="bottom"/>
            <w:gridSpan w:val="18"/>
          </w:tcPr>
          <w:p>
            <w:pPr>
              <w:jc w:val="center"/>
              <w:ind w:right="320"/>
              <w:spacing w:after="0" w:line="142" w:lineRule="exact"/>
              <w:rPr>
                <w:rFonts w:ascii="Times New Roman" w:cs="Times New Roman" w:eastAsia="Times New Roman" w:hAnsi="Times New Roman"/>
                <w:sz w:val="16"/>
                <w:szCs w:val="16"/>
                <w:color w:val="0000FF"/>
                <w:w w:val="80"/>
              </w:rPr>
            </w:pPr>
            <w:hyperlink r:id="rId189">
              <w:r>
                <w:rPr>
                  <w:rFonts w:ascii="Times New Roman" w:cs="Times New Roman" w:eastAsia="Times New Roman" w:hAnsi="Times New Roman"/>
                  <w:sz w:val="16"/>
                  <w:szCs w:val="16"/>
                  <w:color w:val="0000FF"/>
                  <w:w w:val="80"/>
                </w:rPr>
                <w:t>banks</w:t>
              </w:r>
            </w:hyperlink>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and other financial institutions or entities party thereto, and</w:t>
              </w:r>
            </w:hyperlink>
          </w:p>
        </w:tc>
        <w:tc>
          <w:tcPr>
            <w:tcW w:w="60" w:type="dxa"/>
            <w:vAlign w:val="bottom"/>
            <w:tcBorders>
              <w:top w:val="single" w:sz="8" w:color="0000FF"/>
            </w:tcBorders>
            <w:gridSpan w:val="2"/>
          </w:tcPr>
          <w:p>
            <w:pPr>
              <w:spacing w:after="0"/>
              <w:rPr>
                <w:sz w:val="12"/>
                <w:szCs w:val="12"/>
                <w:color w:val="auto"/>
              </w:rPr>
            </w:pPr>
          </w:p>
        </w:tc>
        <w:tc>
          <w:tcPr>
            <w:tcW w:w="320" w:type="dxa"/>
            <w:vAlign w:val="bottom"/>
            <w:gridSpan w:val="14"/>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gridSpan w:val="30"/>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Silicon Valley Bank, as the Administrative Agent, the Issuing</w:t>
              </w:r>
            </w:hyperlink>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189">
              <w:r>
                <w:rPr>
                  <w:rFonts w:ascii="Times New Roman" w:cs="Times New Roman" w:eastAsia="Times New Roman" w:hAnsi="Times New Roman"/>
                  <w:sz w:val="16"/>
                  <w:szCs w:val="16"/>
                  <w:color w:val="0000FF"/>
                  <w:w w:val="99"/>
                </w:rPr>
                <w:t>Lender and the Swingline Lender.</w:t>
              </w:r>
            </w:hyperlink>
          </w:p>
        </w:tc>
        <w:tc>
          <w:tcPr>
            <w:tcW w:w="1800" w:type="dxa"/>
            <w:vAlign w:val="bottom"/>
            <w:tcBorders>
              <w:top w:val="single" w:sz="8" w:color="0000FF"/>
            </w:tcBorders>
            <w:gridSpan w:val="15"/>
          </w:tcPr>
          <w:p>
            <w:pPr>
              <w:spacing w:after="0"/>
              <w:rPr>
                <w:sz w:val="12"/>
                <w:szCs w:val="12"/>
                <w:color w:val="auto"/>
              </w:rPr>
            </w:pPr>
          </w:p>
        </w:tc>
        <w:tc>
          <w:tcPr>
            <w:tcW w:w="220" w:type="dxa"/>
            <w:vAlign w:val="bottom"/>
            <w:gridSpan w:val="10"/>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rFonts w:ascii="Times New Roman" w:cs="Times New Roman" w:eastAsia="Times New Roman" w:hAnsi="Times New Roman"/>
                <w:sz w:val="16"/>
                <w:szCs w:val="16"/>
                <w:color w:val="0000FF"/>
                <w:w w:val="92"/>
              </w:rPr>
            </w:pPr>
            <w:hyperlink r:id="rId19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5</w:t>
              </w:r>
            </w:hyperlink>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40" w:type="dxa"/>
            <w:vAlign w:val="bottom"/>
            <w:gridSpan w:val="39"/>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Fourth Amendment to Credit Agreement, dated as of May 23,</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10-Q</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2023, by and among Kaltura, Inc. (the “Borrower”),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subsidiaries of the Borrower party thereto, the several</w:t>
              </w:r>
            </w:hyperlink>
          </w:p>
        </w:tc>
        <w:tc>
          <w:tcPr>
            <w:tcW w:w="640" w:type="dxa"/>
            <w:vAlign w:val="bottom"/>
            <w:gridSpan w:val="25"/>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banks</w:t>
              </w:r>
            </w:hyperlink>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and other financial institutions or entities party thereto, and</w:t>
              </w:r>
            </w:hyperlink>
          </w:p>
        </w:tc>
        <w:tc>
          <w:tcPr>
            <w:tcW w:w="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gridSpan w:val="39"/>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Silicon Valley Bank, a Division of First-Citizens Bank &amp; Trust</w:t>
              </w:r>
            </w:hyperlink>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Company, as the Administrative Agent, the Issuing Lender and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40" w:type="dxa"/>
            <w:vAlign w:val="bottom"/>
            <w:gridSpan w:val="34"/>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the Swingline Lender.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80" w:type="dxa"/>
            <w:vAlign w:val="bottom"/>
          </w:tcPr>
          <w:p>
            <w:pPr>
              <w:spacing w:after="0"/>
              <w:rPr>
                <w:rFonts w:ascii="Times New Roman" w:cs="Times New Roman" w:eastAsia="Times New Roman" w:hAnsi="Times New Roman"/>
                <w:sz w:val="16"/>
                <w:szCs w:val="16"/>
                <w:color w:val="0000FF"/>
                <w:w w:val="92"/>
              </w:rPr>
            </w:pPr>
            <w:hyperlink r:id="rId192">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6</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40" w:type="dxa"/>
            <w:vAlign w:val="bottom"/>
            <w:gridSpan w:val="39"/>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Fifth Amendment to Credit Agreement, dated as of December</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0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21, 2023, by and among Kaltura, Inc. (the “Borrower”), the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6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w w:val="99"/>
              </w:rPr>
            </w:pPr>
            <w:hyperlink r:id="rId192">
              <w:r>
                <w:rPr>
                  <w:rFonts w:ascii="Times New Roman" w:cs="Times New Roman" w:eastAsia="Times New Roman" w:hAnsi="Times New Roman"/>
                  <w:sz w:val="16"/>
                  <w:szCs w:val="16"/>
                  <w:color w:val="0000FF"/>
                  <w:w w:val="99"/>
                </w:rPr>
                <w:t>subsidiaries of the Borrower party thereto, the several banks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and other financial institutions or entities party thereto, and</w:t>
              </w:r>
            </w:hyperlink>
          </w:p>
        </w:tc>
        <w:tc>
          <w:tcPr>
            <w:tcW w:w="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gridSpan w:val="39"/>
          </w:tcPr>
          <w:p>
            <w:pPr>
              <w:spacing w:after="0" w:line="14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Silicon Valley Bank, as the Administrative Agent, the Issuing</w:t>
              </w:r>
            </w:hyperlink>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192">
              <w:r>
                <w:rPr>
                  <w:rFonts w:ascii="Times New Roman" w:cs="Times New Roman" w:eastAsia="Times New Roman" w:hAnsi="Times New Roman"/>
                  <w:sz w:val="16"/>
                  <w:szCs w:val="16"/>
                  <w:color w:val="0000FF"/>
                  <w:w w:val="99"/>
                </w:rPr>
                <w:t>Lender and the Swingline Lender.</w:t>
              </w:r>
            </w:hyperlink>
          </w:p>
        </w:tc>
        <w:tc>
          <w:tcPr>
            <w:tcW w:w="18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280" w:type="dxa"/>
            <w:vAlign w:val="bottom"/>
            <w:tcBorders>
              <w:bottom w:val="single" w:sz="8" w:color="0000FF"/>
            </w:tcBorders>
          </w:tcPr>
          <w:p>
            <w:pPr>
              <w:spacing w:after="0"/>
              <w:rPr>
                <w:rFonts w:ascii="Times New Roman" w:cs="Times New Roman" w:eastAsia="Times New Roman" w:hAnsi="Times New Roman"/>
                <w:sz w:val="16"/>
                <w:szCs w:val="16"/>
                <w:color w:val="0000FF"/>
                <w:w w:val="92"/>
              </w:rPr>
            </w:pPr>
            <w:r>
              <w:rPr>
                <w:rFonts w:ascii="Times New Roman" w:cs="Times New Roman" w:eastAsia="Times New Roman" w:hAnsi="Times New Roman"/>
                <w:sz w:val="16"/>
                <w:szCs w:val="16"/>
                <w:color w:val="0000FF"/>
                <w:w w:val="92"/>
              </w:rPr>
              <w:t>10.</w:t>
            </w:r>
            <w:hyperlink r:id="rId193">
              <w:r>
                <w:rPr>
                  <w:rFonts w:ascii="Times New Roman" w:cs="Times New Roman" w:eastAsia="Times New Roman" w:hAnsi="Times New Roman"/>
                  <w:sz w:val="16"/>
                  <w:szCs w:val="16"/>
                  <w:u w:val="single" w:color="auto"/>
                  <w:color w:val="0000FF"/>
                  <w:w w:val="92"/>
                </w:rPr>
                <w:t>7</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92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Sixth Amendment to Credit Agreement, dated as of July 22,</w:t>
              </w:r>
            </w:hyperlink>
          </w:p>
        </w:tc>
        <w:tc>
          <w:tcPr>
            <w:tcW w:w="320" w:type="dxa"/>
            <w:vAlign w:val="bottom"/>
            <w:gridSpan w:val="16"/>
          </w:tcPr>
          <w:p>
            <w:pPr>
              <w:spacing w:after="0"/>
              <w:rPr>
                <w:sz w:val="17"/>
                <w:szCs w:val="17"/>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10-Q</w:t>
            </w: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gridSpan w:val="39"/>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2024, the subsidiaries of the Borrower party thereto, the several</w:t>
              </w:r>
            </w:hyperlink>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0" w:type="dxa"/>
            <w:vAlign w:val="bottom"/>
            <w:tcBorders>
              <w:top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banks and other financial institutions or entities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and Silicon Valley Bank, as the Administrative Agent, the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74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Issuing Lender and the Swingline Lender.</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80" w:type="dxa"/>
            <w:vAlign w:val="bottom"/>
          </w:tcPr>
          <w:p>
            <w:pPr>
              <w:spacing w:after="0"/>
              <w:rPr>
                <w:rFonts w:ascii="Times New Roman" w:cs="Times New Roman" w:eastAsia="Times New Roman" w:hAnsi="Times New Roman"/>
                <w:sz w:val="16"/>
                <w:szCs w:val="16"/>
                <w:color w:val="0000FF"/>
                <w:w w:val="92"/>
              </w:rPr>
            </w:pPr>
            <w:hyperlink r:id="rId194">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8</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40" w:type="dxa"/>
            <w:vAlign w:val="bottom"/>
            <w:gridSpan w:val="39"/>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Guarantee and Collateral Agreement, dated as of January 14,</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w w:val="99"/>
              </w:rPr>
            </w:pPr>
            <w:hyperlink r:id="rId194">
              <w:r>
                <w:rPr>
                  <w:rFonts w:ascii="Times New Roman" w:cs="Times New Roman" w:eastAsia="Times New Roman" w:hAnsi="Times New Roman"/>
                  <w:sz w:val="16"/>
                  <w:szCs w:val="16"/>
                  <w:color w:val="0000FF"/>
                  <w:w w:val="99"/>
                </w:rPr>
                <w:t>2021, by and among Kaltura, Inc., the other Grantors referred</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20" w:type="dxa"/>
            <w:vAlign w:val="bottom"/>
            <w:tcBorders>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to therein, and Silicon Valley Bank, as administrative agent.</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280" w:type="dxa"/>
            <w:vAlign w:val="bottom"/>
            <w:tcBorders>
              <w:bottom w:val="single" w:sz="8" w:color="0000FF"/>
            </w:tcBorders>
          </w:tcPr>
          <w:p>
            <w:pPr>
              <w:spacing w:after="0"/>
              <w:rPr>
                <w:rFonts w:ascii="Times New Roman" w:cs="Times New Roman" w:eastAsia="Times New Roman" w:hAnsi="Times New Roman"/>
                <w:sz w:val="16"/>
                <w:szCs w:val="16"/>
                <w:color w:val="0000FF"/>
                <w:w w:val="92"/>
              </w:rPr>
            </w:pPr>
            <w:hyperlink r:id="rId195">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9</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40" w:type="dxa"/>
            <w:vAlign w:val="bottom"/>
            <w:tcBorders>
              <w:bottom w:val="single" w:sz="8" w:color="0000FF"/>
            </w:tcBorders>
            <w:gridSpan w:val="39"/>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Debenture, dated as of January 14, 2021, by and among Kaltura</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gridSpan w:val="39"/>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Europe Limited and Kaltura, Inc., as Original Chargors, and</w:t>
              </w:r>
            </w:hyperlink>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2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Silicon Valley Bank, as Administrative Agent, as</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195">
              <w:r>
                <w:rPr>
                  <w:rFonts w:ascii="Times New Roman" w:cs="Times New Roman" w:eastAsia="Times New Roman" w:hAnsi="Times New Roman"/>
                  <w:sz w:val="16"/>
                  <w:szCs w:val="16"/>
                  <w:color w:val="0000FF"/>
                  <w:w w:val="98"/>
                </w:rPr>
                <w:t>supplemented.</w:t>
              </w:r>
            </w:hyperlink>
          </w:p>
        </w:tc>
        <w:tc>
          <w:tcPr>
            <w:tcW w:w="2240" w:type="dxa"/>
            <w:vAlign w:val="bottom"/>
            <w:tcBorders>
              <w:top w:val="single" w:sz="8" w:color="0000FF"/>
            </w:tcBorders>
            <w:gridSpan w:val="7"/>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1200" w:type="dxa"/>
            <w:vAlign w:val="bottom"/>
            <w:gridSpan w:val="4"/>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10†</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Kaltura, Inc. 2007 Israeli Share Option Plan and form of option</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96">
              <w:r>
                <w:rPr>
                  <w:rFonts w:ascii="Times New Roman" w:cs="Times New Roman" w:eastAsia="Times New Roman" w:hAnsi="Times New Roman"/>
                  <w:sz w:val="16"/>
                  <w:szCs w:val="16"/>
                  <w:color w:val="0000FF"/>
                  <w:w w:val="99"/>
                </w:rPr>
                <w:t>agreements thereunder.</w:t>
              </w:r>
            </w:hyperlink>
          </w:p>
        </w:tc>
        <w:tc>
          <w:tcPr>
            <w:tcW w:w="266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1200" w:type="dxa"/>
            <w:vAlign w:val="bottom"/>
            <w:gridSpan w:val="4"/>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11†</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Kaltura, Inc. 2007 Stock Option Plan and form of option</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97">
              <w:r>
                <w:rPr>
                  <w:rFonts w:ascii="Times New Roman" w:cs="Times New Roman" w:eastAsia="Times New Roman" w:hAnsi="Times New Roman"/>
                  <w:sz w:val="16"/>
                  <w:szCs w:val="16"/>
                  <w:color w:val="0000FF"/>
                  <w:w w:val="99"/>
                </w:rPr>
                <w:t>agreements thereunder.</w:t>
              </w:r>
            </w:hyperlink>
          </w:p>
        </w:tc>
        <w:tc>
          <w:tcPr>
            <w:tcW w:w="2160" w:type="dxa"/>
            <w:vAlign w:val="bottom"/>
            <w:tcBorders>
              <w:top w:val="single" w:sz="8" w:color="0000FF"/>
            </w:tcBorders>
            <w:gridSpan w:val="12"/>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1200" w:type="dxa"/>
            <w:vAlign w:val="bottom"/>
            <w:gridSpan w:val="4"/>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12†</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Kaltura, Inc. 2017 Equity Incentive Plan and form of option</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98">
              <w:r>
                <w:rPr>
                  <w:rFonts w:ascii="Times New Roman" w:cs="Times New Roman" w:eastAsia="Times New Roman" w:hAnsi="Times New Roman"/>
                  <w:sz w:val="16"/>
                  <w:szCs w:val="16"/>
                  <w:color w:val="0000FF"/>
                  <w:w w:val="99"/>
                </w:rPr>
                <w:t>agreements thereunder.</w:t>
              </w:r>
            </w:hyperlink>
          </w:p>
        </w:tc>
        <w:tc>
          <w:tcPr>
            <w:tcW w:w="2400" w:type="dxa"/>
            <w:vAlign w:val="bottom"/>
            <w:tcBorders>
              <w:top w:val="single" w:sz="8" w:color="0000FF"/>
            </w:tcBorders>
            <w:gridSpan w:val="18"/>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46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9"/>
              </w:rPr>
            </w:pPr>
            <w:hyperlink r:id="rId199">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13†</w:t>
            </w:r>
          </w:p>
        </w:tc>
        <w:tc>
          <w:tcPr>
            <w:tcW w:w="740" w:type="dxa"/>
            <w:vAlign w:val="bottom"/>
            <w:gridSpan w:val="2"/>
          </w:tcPr>
          <w:p>
            <w:pPr>
              <w:spacing w:after="0"/>
              <w:rPr>
                <w:sz w:val="17"/>
                <w:szCs w:val="17"/>
                <w:color w:val="auto"/>
              </w:rPr>
            </w:pPr>
          </w:p>
        </w:tc>
        <w:tc>
          <w:tcPr>
            <w:tcW w:w="27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Kaltura, Inc. 2021 Incentive Award Plan.</w:t>
              </w:r>
            </w:hyperlink>
          </w:p>
        </w:tc>
        <w:tc>
          <w:tcPr>
            <w:tcW w:w="1540" w:type="dxa"/>
            <w:vAlign w:val="bottom"/>
            <w:gridSpan w:val="32"/>
          </w:tcPr>
          <w:p>
            <w:pPr>
              <w:spacing w:after="0"/>
              <w:rPr>
                <w:sz w:val="17"/>
                <w:szCs w:val="17"/>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216"/>
        </w:trPr>
        <w:tc>
          <w:tcPr>
            <w:tcW w:w="1200" w:type="dxa"/>
            <w:vAlign w:val="bottom"/>
            <w:gridSpan w:val="4"/>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14†</w:t>
            </w:r>
          </w:p>
        </w:tc>
        <w:tc>
          <w:tcPr>
            <w:tcW w:w="3880" w:type="dxa"/>
            <w:vAlign w:val="bottom"/>
            <w:tcBorders>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Form of Stock Option Award Agreement under the Kaltura,</w:t>
              </w:r>
            </w:hyperlink>
          </w:p>
        </w:tc>
        <w:tc>
          <w:tcPr>
            <w:tcW w:w="100" w:type="dxa"/>
            <w:vAlign w:val="bottom"/>
            <w:gridSpan w:val="5"/>
          </w:tcPr>
          <w:p>
            <w:pPr>
              <w:spacing w:after="0"/>
              <w:rPr>
                <w:sz w:val="18"/>
                <w:szCs w:val="18"/>
                <w:color w:val="auto"/>
              </w:rPr>
            </w:pPr>
          </w:p>
        </w:tc>
        <w:tc>
          <w:tcPr>
            <w:tcW w:w="100" w:type="dxa"/>
            <w:vAlign w:val="bottom"/>
            <w:gridSpan w:val="5"/>
          </w:tcPr>
          <w:p>
            <w:pPr>
              <w:spacing w:after="0"/>
              <w:rPr>
                <w:sz w:val="18"/>
                <w:szCs w:val="18"/>
                <w:color w:val="auto"/>
              </w:rPr>
            </w:pPr>
          </w:p>
        </w:tc>
        <w:tc>
          <w:tcPr>
            <w:tcW w:w="100" w:type="dxa"/>
            <w:vAlign w:val="bottom"/>
            <w:gridSpan w:val="5"/>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S-1/A</w:t>
            </w:r>
          </w:p>
        </w:tc>
      </w:tr>
      <w:tr>
        <w:trPr>
          <w:trHeight w:val="122"/>
        </w:trPr>
        <w:tc>
          <w:tcPr>
            <w:tcW w:w="2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80" w:type="dxa"/>
            <w:vAlign w:val="bottom"/>
            <w:gridSpan w:val="21"/>
          </w:tcPr>
          <w:p>
            <w:pPr>
              <w:spacing w:after="0" w:line="122"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Inc. 2021 Incentive Award Plan.</w:t>
              </w:r>
            </w:hyperlink>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20"/>
        </w:trPr>
        <w:tc>
          <w:tcPr>
            <w:tcW w:w="5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1200" w:type="dxa"/>
            <w:vAlign w:val="bottom"/>
            <w:gridSpan w:val="4"/>
          </w:tcPr>
          <w:p>
            <w:pPr>
              <w:spacing w:after="0" w:line="183"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15†</w:t>
            </w:r>
          </w:p>
        </w:tc>
        <w:tc>
          <w:tcPr>
            <w:tcW w:w="4240" w:type="dxa"/>
            <w:vAlign w:val="bottom"/>
            <w:gridSpan w:val="39"/>
          </w:tcPr>
          <w:p>
            <w:pPr>
              <w:spacing w:after="0" w:line="183"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Form of Restricted Stock Unit Award Agreement under the</w:t>
              </w:r>
            </w:hyperlink>
          </w:p>
        </w:tc>
        <w:tc>
          <w:tcPr>
            <w:tcW w:w="4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w w:val="94"/>
              </w:rPr>
              <w:t>S-1/A</w:t>
            </w:r>
          </w:p>
        </w:tc>
      </w:tr>
      <w:tr>
        <w:trPr>
          <w:trHeight w:val="122"/>
        </w:trPr>
        <w:tc>
          <w:tcPr>
            <w:tcW w:w="2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700" w:type="dxa"/>
            <w:vAlign w:val="bottom"/>
            <w:tcBorders>
              <w:top w:val="single" w:sz="8" w:color="0000FF"/>
              <w:bottom w:val="single" w:sz="8" w:color="0000FF"/>
            </w:tcBorders>
            <w:gridSpan w:val="7"/>
          </w:tcPr>
          <w:p>
            <w:pPr>
              <w:spacing w:after="0" w:line="122"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Kaltura, Inc. 2021 Incentive Award Plan.</w:t>
              </w:r>
            </w:hyperlink>
          </w:p>
        </w:tc>
        <w:tc>
          <w:tcPr>
            <w:tcW w:w="1140" w:type="dxa"/>
            <w:vAlign w:val="bottom"/>
            <w:tcBorders>
              <w:top w:val="single" w:sz="8" w:color="0000FF"/>
            </w:tcBorders>
            <w:gridSpan w:val="12"/>
          </w:tcPr>
          <w:p>
            <w:pPr>
              <w:spacing w:after="0"/>
              <w:rPr>
                <w:sz w:val="10"/>
                <w:szCs w:val="10"/>
                <w:color w:val="auto"/>
              </w:rPr>
            </w:pPr>
          </w:p>
        </w:tc>
        <w:tc>
          <w:tcPr>
            <w:tcW w:w="140" w:type="dxa"/>
            <w:vAlign w:val="bottom"/>
            <w:gridSpan w:val="7"/>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216"/>
        </w:trPr>
        <w:tc>
          <w:tcPr>
            <w:tcW w:w="1200" w:type="dxa"/>
            <w:vAlign w:val="bottom"/>
            <w:gridSpan w:val="4"/>
          </w:tcPr>
          <w:p>
            <w:pPr>
              <w:spacing w:after="0" w:line="183"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16†</w:t>
            </w:r>
          </w:p>
        </w:tc>
        <w:tc>
          <w:tcPr>
            <w:tcW w:w="4240" w:type="dxa"/>
            <w:vAlign w:val="bottom"/>
            <w:gridSpan w:val="39"/>
          </w:tcPr>
          <w:p>
            <w:pPr>
              <w:spacing w:after="0" w:line="183"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Employment Agreement, dated as of May 1, 2012, by and</w:t>
              </w:r>
            </w:hyperlink>
          </w:p>
        </w:tc>
        <w:tc>
          <w:tcPr>
            <w:tcW w:w="4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8-K</w:t>
            </w:r>
          </w:p>
        </w:tc>
      </w:tr>
      <w:tr>
        <w:trPr>
          <w:trHeight w:val="122"/>
        </w:trPr>
        <w:tc>
          <w:tcPr>
            <w:tcW w:w="2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11"/>
          </w:tcPr>
          <w:p>
            <w:pPr>
              <w:spacing w:after="0" w:line="122"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between Kaltura Ltd. and Ron Yekutiel, as amended.</w:t>
              </w:r>
            </w:hyperlink>
          </w:p>
        </w:tc>
        <w:tc>
          <w:tcPr>
            <w:tcW w:w="340" w:type="dxa"/>
            <w:vAlign w:val="bottom"/>
            <w:tcBorders>
              <w:top w:val="single" w:sz="8" w:color="0000FF"/>
            </w:tcBorders>
            <w:gridSpan w:val="7"/>
          </w:tcPr>
          <w:p>
            <w:pPr>
              <w:spacing w:after="0"/>
              <w:rPr>
                <w:sz w:val="10"/>
                <w:szCs w:val="10"/>
                <w:color w:val="auto"/>
              </w:rPr>
            </w:pPr>
          </w:p>
        </w:tc>
        <w:tc>
          <w:tcPr>
            <w:tcW w:w="220" w:type="dxa"/>
            <w:vAlign w:val="bottom"/>
            <w:gridSpan w:val="8"/>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96"/>
        </w:trPr>
        <w:tc>
          <w:tcPr>
            <w:tcW w:w="1200" w:type="dxa"/>
            <w:vAlign w:val="bottom"/>
            <w:gridSpan w:val="4"/>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17†</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Consulting Agreement by and between Kaltura, Inc. and Ron</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Yekutiel, effective January 1, 2018, as amended.</w:t>
              </w:r>
            </w:hyperlink>
          </w:p>
        </w:tc>
        <w:tc>
          <w:tcPr>
            <w:tcW w:w="840" w:type="dxa"/>
            <w:vAlign w:val="bottom"/>
            <w:tcBorders>
              <w:top w:val="single" w:sz="8" w:color="0000FF"/>
            </w:tcBorders>
            <w:gridSpan w:val="18"/>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1200" w:type="dxa"/>
            <w:vAlign w:val="bottom"/>
            <w:gridSpan w:val="4"/>
          </w:tcPr>
          <w:p>
            <w:pPr>
              <w:spacing w:after="0" w:line="183"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18†</w:t>
            </w:r>
          </w:p>
        </w:tc>
        <w:tc>
          <w:tcPr>
            <w:tcW w:w="4240" w:type="dxa"/>
            <w:vAlign w:val="bottom"/>
            <w:gridSpan w:val="39"/>
          </w:tcPr>
          <w:p>
            <w:pPr>
              <w:spacing w:after="0" w:line="183"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Consulting Agreement by and between Kaltura Europe Limited</w:t>
              </w:r>
            </w:hyperlink>
          </w:p>
        </w:tc>
        <w:tc>
          <w:tcPr>
            <w:tcW w:w="4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8-K</w:t>
            </w:r>
          </w:p>
        </w:tc>
      </w:tr>
      <w:tr>
        <w:trPr>
          <w:trHeight w:val="122"/>
        </w:trPr>
        <w:tc>
          <w:tcPr>
            <w:tcW w:w="2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12"/>
          </w:tcPr>
          <w:p>
            <w:pPr>
              <w:spacing w:after="0" w:line="122"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and Ron Yekutiel, effective May 1, 2014, as amended.</w:t>
              </w:r>
            </w:hyperlink>
          </w:p>
        </w:tc>
        <w:tc>
          <w:tcPr>
            <w:tcW w:w="660" w:type="dxa"/>
            <w:vAlign w:val="bottom"/>
            <w:tcBorders>
              <w:top w:val="single" w:sz="8" w:color="0000FF"/>
            </w:tcBorders>
            <w:gridSpan w:val="2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96"/>
        </w:trPr>
        <w:tc>
          <w:tcPr>
            <w:tcW w:w="1200" w:type="dxa"/>
            <w:vAlign w:val="bottom"/>
            <w:gridSpan w:val="4"/>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19†#</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Amendment to Employment Agreement, dated as of February</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20, 2024, by and between Kaltura Ltd and Ron Yekutiel</w:t>
              </w:r>
            </w:hyperlink>
          </w:p>
        </w:tc>
        <w:tc>
          <w:tcPr>
            <w:tcW w:w="460" w:type="dxa"/>
            <w:vAlign w:val="bottom"/>
            <w:tcBorders>
              <w:top w:val="single" w:sz="8" w:color="0000FF"/>
            </w:tcBorders>
            <w:gridSpan w:val="16"/>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682"/>
        </w:trPr>
        <w:tc>
          <w:tcPr>
            <w:tcW w:w="1200" w:type="dxa"/>
            <w:vAlign w:val="bottom"/>
            <w:gridSpan w:val="4"/>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20†#</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Amendment to Consulting Agreement, dated as of February 20,</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2024, by and between Kaltura Inc and Ron Yekutiel</w:t>
              </w:r>
            </w:hyperlink>
          </w:p>
        </w:tc>
        <w:tc>
          <w:tcPr>
            <w:tcW w:w="86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1200" w:type="dxa"/>
            <w:vAlign w:val="bottom"/>
            <w:gridSpan w:val="4"/>
          </w:tcPr>
          <w:p>
            <w:pPr>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21†#</w:t>
            </w:r>
          </w:p>
        </w:tc>
        <w:tc>
          <w:tcPr>
            <w:tcW w:w="4240" w:type="dxa"/>
            <w:vAlign w:val="bottom"/>
            <w:gridSpan w:val="39"/>
          </w:tcPr>
          <w:p>
            <w:pPr>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Amendment to Consulting Agreement, dated as of February 20,</w:t>
              </w:r>
            </w:hyperlink>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4220" w:type="dxa"/>
            <w:vAlign w:val="bottom"/>
            <w:tcBorders>
              <w:top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2024, by and between Kaltura Europe Limited and Ron</w:t>
              </w:r>
            </w:hyperlink>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4"/>
              </w:rPr>
            </w:pPr>
            <w:hyperlink r:id="rId207">
              <w:r>
                <w:rPr>
                  <w:rFonts w:ascii="Times New Roman" w:cs="Times New Roman" w:eastAsia="Times New Roman" w:hAnsi="Times New Roman"/>
                  <w:sz w:val="16"/>
                  <w:szCs w:val="16"/>
                  <w:color w:val="0000FF"/>
                  <w:w w:val="94"/>
                </w:rPr>
                <w:t>Yekutiel</w:t>
              </w:r>
            </w:hyperlink>
          </w:p>
        </w:tc>
        <w:tc>
          <w:tcPr>
            <w:tcW w:w="3040" w:type="dxa"/>
            <w:vAlign w:val="bottom"/>
            <w:tcBorders>
              <w:top w:val="single" w:sz="8" w:color="0000FF"/>
            </w:tcBorders>
            <w:gridSpan w:val="12"/>
          </w:tcPr>
          <w:p>
            <w:pPr>
              <w:spacing w:after="0"/>
              <w:rPr>
                <w:sz w:val="12"/>
                <w:szCs w:val="12"/>
                <w:color w:val="auto"/>
              </w:rPr>
            </w:pPr>
          </w:p>
        </w:tc>
        <w:tc>
          <w:tcPr>
            <w:tcW w:w="660" w:type="dxa"/>
            <w:vAlign w:val="bottom"/>
            <w:gridSpan w:val="26"/>
          </w:tcPr>
          <w:p>
            <w:pPr>
              <w:spacing w:after="0"/>
              <w:rPr>
                <w:sz w:val="12"/>
                <w:szCs w:val="12"/>
                <w:color w:val="auto"/>
              </w:rPr>
            </w:pPr>
          </w:p>
        </w:tc>
        <w:tc>
          <w:tcPr>
            <w:tcW w:w="400" w:type="dxa"/>
            <w:vAlign w:val="bottom"/>
          </w:tcPr>
          <w:p>
            <w:pPr>
              <w:spacing w:after="0"/>
              <w:rPr>
                <w:sz w:val="12"/>
                <w:szCs w:val="12"/>
                <w:color w:val="auto"/>
              </w:rPr>
            </w:pPr>
          </w:p>
        </w:tc>
      </w:tr>
      <w:tr>
        <w:trPr>
          <w:trHeight w:val="196"/>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22†#</w:t>
            </w:r>
          </w:p>
        </w:tc>
        <w:tc>
          <w:tcPr>
            <w:tcW w:w="4240" w:type="dxa"/>
            <w:vAlign w:val="bottom"/>
            <w:gridSpan w:val="39"/>
          </w:tcPr>
          <w:p>
            <w:pPr>
              <w:spacing w:after="0"/>
              <w:rPr>
                <w:sz w:val="20"/>
                <w:szCs w:val="20"/>
                <w:color w:val="auto"/>
              </w:rPr>
            </w:pPr>
            <w:r>
              <w:rPr>
                <w:rFonts w:ascii="Times New Roman" w:cs="Times New Roman" w:eastAsia="Times New Roman" w:hAnsi="Times New Roman"/>
                <w:sz w:val="16"/>
                <w:szCs w:val="16"/>
                <w:color w:val="0000FF"/>
              </w:rPr>
              <w:t>Amendment to Employment Agreement, dated as of February</w:t>
            </w:r>
          </w:p>
        </w:tc>
        <w:tc>
          <w:tcPr>
            <w:tcW w:w="40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19, 2025, by and between Kaltura Ltd and Ron Yekutiel</w:t>
            </w:r>
          </w:p>
        </w:tc>
        <w:tc>
          <w:tcPr>
            <w:tcW w:w="460" w:type="dxa"/>
            <w:vAlign w:val="bottom"/>
            <w:tcBorders>
              <w:top w:val="single" w:sz="8" w:color="0000FF"/>
            </w:tcBorders>
            <w:gridSpan w:val="16"/>
          </w:tcPr>
          <w:p>
            <w:pPr>
              <w:spacing w:after="0"/>
              <w:rPr>
                <w:sz w:val="12"/>
                <w:szCs w:val="12"/>
                <w:color w:val="auto"/>
              </w:rPr>
            </w:pPr>
          </w:p>
        </w:tc>
        <w:tc>
          <w:tcPr>
            <w:tcW w:w="160" w:type="dxa"/>
            <w:vAlign w:val="bottom"/>
            <w:gridSpan w:val="8"/>
          </w:tcPr>
          <w:p>
            <w:pPr>
              <w:spacing w:after="0"/>
              <w:rPr>
                <w:sz w:val="12"/>
                <w:szCs w:val="12"/>
                <w:color w:val="auto"/>
              </w:rPr>
            </w:pPr>
          </w:p>
        </w:tc>
        <w:tc>
          <w:tcPr>
            <w:tcW w:w="4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11/08/2023</w:t>
            </w:r>
          </w:p>
        </w:tc>
      </w:tr>
      <w:tr>
        <w:trPr>
          <w:trHeight w:val="118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12/27/2023</w:t>
            </w:r>
          </w:p>
        </w:tc>
      </w:tr>
      <w:tr>
        <w:trPr>
          <w:trHeight w:val="1026"/>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08/08/2024</w:t>
            </w:r>
          </w:p>
        </w:tc>
      </w:tr>
      <w:tr>
        <w:trPr>
          <w:trHeight w:val="864"/>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3/26/2021</w:t>
            </w:r>
          </w:p>
        </w:tc>
      </w:tr>
      <w:tr>
        <w:trPr>
          <w:trHeight w:val="540"/>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3/26/2021</w:t>
            </w:r>
          </w:p>
        </w:tc>
      </w:tr>
      <w:tr>
        <w:trPr>
          <w:trHeight w:val="702"/>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216"/>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04/05/2022</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04/05/2022</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04/05/2022</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02/22/24</w:t>
            </w:r>
          </w:p>
        </w:tc>
      </w:tr>
      <w:tr>
        <w:trPr>
          <w:trHeight w:val="864"/>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02/22/24</w:t>
            </w:r>
          </w:p>
        </w:tc>
      </w:tr>
      <w:tr>
        <w:trPr>
          <w:trHeight w:val="378"/>
        </w:trPr>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02/22/24</w:t>
            </w:r>
          </w:p>
        </w:tc>
      </w:tr>
      <w:tr>
        <w:trPr>
          <w:trHeight w:val="540"/>
        </w:trPr>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r>
    </w:tbl>
    <w:p>
      <w:pPr>
        <w:sectPr>
          <w:pgSz w:w="11900" w:h="16838" w:orient="portrait"/>
          <w:cols w:equalWidth="0" w:num="2">
            <w:col w:w="5840" w:space="600"/>
            <w:col w:w="3679"/>
          </w:cols>
          <w:pgMar w:left="340" w:top="1211" w:right="1440"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23†#</w:t>
            </w: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Amendment to Consulting Agreement, dated as of February</w:t>
            </w:r>
          </w:p>
        </w:tc>
        <w:tc>
          <w:tcPr>
            <w:tcW w:w="440" w:type="dxa"/>
            <w:vAlign w:val="bottom"/>
          </w:tcPr>
          <w:p>
            <w:pPr>
              <w:spacing w:after="0"/>
              <w:rPr>
                <w:sz w:val="16"/>
                <w:szCs w:val="16"/>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w w:val="98"/>
              </w:rPr>
              <w:t>19, 2025, by and between Kaltura Inc and Ron Yekutiel</w:t>
            </w:r>
          </w:p>
        </w:tc>
        <w:tc>
          <w:tcPr>
            <w:tcW w:w="3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12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24†#</w:t>
            </w: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Amendment to Consulting Agreement, dated as of February</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6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19, 2025, by and between Kaltura Europe Limited and Ron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w w:val="87"/>
              </w:rPr>
              <w:t>Yekutiel</w:t>
            </w:r>
          </w:p>
        </w:tc>
        <w:tc>
          <w:tcPr>
            <w:tcW w:w="33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1240" w:type="dxa"/>
            <w:vAlign w:val="bottom"/>
            <w:gridSpan w:val="5"/>
          </w:tcPr>
          <w:p>
            <w:pPr>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25†</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Letter of Agreement with Yaron Garmazi, dated January 14,</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8-K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83"/>
              </w:rPr>
            </w:pPr>
            <w:hyperlink r:id="rId209">
              <w:r>
                <w:rPr>
                  <w:rFonts w:ascii="Times New Roman" w:cs="Times New Roman" w:eastAsia="Times New Roman" w:hAnsi="Times New Roman"/>
                  <w:sz w:val="16"/>
                  <w:szCs w:val="16"/>
                  <w:color w:val="0000FF"/>
                  <w:w w:val="83"/>
                </w:rPr>
                <w:t>2024.</w:t>
              </w:r>
            </w:hyperlink>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1240" w:type="dxa"/>
            <w:vAlign w:val="bottom"/>
            <w:gridSpan w:val="5"/>
          </w:tcPr>
          <w:p>
            <w:pPr>
              <w:spacing w:after="0"/>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26†</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Incentive Award Cancellation Agreement with Yaron Garmazi,</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w w:val="97"/>
              </w:rPr>
            </w:pPr>
            <w:hyperlink r:id="rId210">
              <w:r>
                <w:rPr>
                  <w:rFonts w:ascii="Times New Roman" w:cs="Times New Roman" w:eastAsia="Times New Roman" w:hAnsi="Times New Roman"/>
                  <w:sz w:val="16"/>
                  <w:szCs w:val="16"/>
                  <w:color w:val="0000FF"/>
                  <w:w w:val="97"/>
                </w:rPr>
                <w:t>dated February 13, 2024</w:t>
              </w:r>
            </w:hyperlink>
          </w:p>
        </w:tc>
        <w:tc>
          <w:tcPr>
            <w:tcW w:w="260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58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27†</w:t>
            </w:r>
          </w:p>
        </w:tc>
        <w:tc>
          <w:tcPr>
            <w:tcW w:w="660" w:type="dxa"/>
            <w:vAlign w:val="bottom"/>
          </w:tcPr>
          <w:p>
            <w:pPr>
              <w:spacing w:after="0"/>
              <w:rPr>
                <w:sz w:val="17"/>
                <w:szCs w:val="17"/>
                <w:color w:val="auto"/>
              </w:rPr>
            </w:pPr>
          </w:p>
        </w:tc>
        <w:tc>
          <w:tcPr>
            <w:tcW w:w="41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Letter of Agreement with Michal Tsur dated January 14, 2024.</w:t>
              </w:r>
            </w:hyperlink>
          </w:p>
        </w:tc>
        <w:tc>
          <w:tcPr>
            <w:tcW w:w="40" w:type="dxa"/>
            <w:vAlign w:val="bottom"/>
            <w:gridSpan w:val="2"/>
          </w:tcPr>
          <w:p>
            <w:pPr>
              <w:spacing w:after="0"/>
              <w:rPr>
                <w:sz w:val="17"/>
                <w:szCs w:val="17"/>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96"/>
        </w:trPr>
        <w:tc>
          <w:tcPr>
            <w:tcW w:w="1240" w:type="dxa"/>
            <w:vAlign w:val="bottom"/>
            <w:gridSpan w:val="5"/>
          </w:tcPr>
          <w:p>
            <w:pPr>
              <w:spacing w:after="0"/>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28†</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Incentive Award Cancellation Agreement with Michal Tsur</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w w:val="97"/>
              </w:rPr>
            </w:pPr>
            <w:hyperlink r:id="rId212">
              <w:r>
                <w:rPr>
                  <w:rFonts w:ascii="Times New Roman" w:cs="Times New Roman" w:eastAsia="Times New Roman" w:hAnsi="Times New Roman"/>
                  <w:sz w:val="16"/>
                  <w:szCs w:val="16"/>
                  <w:color w:val="0000FF"/>
                  <w:w w:val="97"/>
                </w:rPr>
                <w:t>dated February 13, 2024</w:t>
              </w:r>
            </w:hyperlink>
          </w:p>
        </w:tc>
        <w:tc>
          <w:tcPr>
            <w:tcW w:w="22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1240" w:type="dxa"/>
            <w:vAlign w:val="bottom"/>
            <w:gridSpan w:val="5"/>
          </w:tcPr>
          <w:p>
            <w:pPr>
              <w:spacing w:after="0"/>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29†#</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Employment Agreement, dated as of December 22, 2020, by</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and between Kaltura Ltd. and Eynav Azaria,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30†#</w:t>
            </w: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Amendment to Employment Agreement, dated as of February</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w w:val="99"/>
              </w:rPr>
              <w:t>19, 2025, by and between Kaltura Ltd. and Eynav Azaria.</w:t>
            </w:r>
          </w:p>
        </w:tc>
        <w:tc>
          <w:tcPr>
            <w:tcW w:w="3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1240" w:type="dxa"/>
            <w:vAlign w:val="bottom"/>
            <w:gridSpan w:val="5"/>
          </w:tcPr>
          <w:p>
            <w:pPr>
              <w:spacing w:after="0"/>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31†#</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Employment Agreement, dated as of November 26, 2020, by</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6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and between Kaltura Ltd. and Natan Israeli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 32†#</w:t>
            </w: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Amendment to Employment Agreement, dated as of February</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19, 2025, by and between Kaltura Ltd. and Natan Israeli.</w:t>
            </w:r>
          </w:p>
        </w:tc>
        <w:tc>
          <w:tcPr>
            <w:tcW w:w="3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540" w:type="dxa"/>
            <w:vAlign w:val="bottom"/>
            <w:gridSpan w:val="3"/>
          </w:tcPr>
          <w:p>
            <w:pPr>
              <w:spacing w:after="0"/>
              <w:rPr>
                <w:rFonts w:ascii="Times New Roman" w:cs="Times New Roman" w:eastAsia="Times New Roman" w:hAnsi="Times New Roman"/>
                <w:sz w:val="16"/>
                <w:szCs w:val="16"/>
                <w:color w:val="0000FF"/>
                <w:w w:val="99"/>
              </w:rPr>
            </w:pPr>
            <w:hyperlink r:id="rId215">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33†#</w:t>
            </w:r>
          </w:p>
        </w:tc>
        <w:tc>
          <w:tcPr>
            <w:tcW w:w="700" w:type="dxa"/>
            <w:vAlign w:val="bottom"/>
            <w:gridSpan w:val="2"/>
          </w:tcPr>
          <w:p>
            <w:pPr>
              <w:spacing w:after="0"/>
              <w:rPr>
                <w:sz w:val="17"/>
                <w:szCs w:val="17"/>
                <w:color w:val="auto"/>
              </w:rPr>
            </w:pPr>
          </w:p>
        </w:tc>
        <w:tc>
          <w:tcPr>
            <w:tcW w:w="4160" w:type="dxa"/>
            <w:vAlign w:val="bottom"/>
            <w:gridSpan w:val="36"/>
          </w:tcPr>
          <w:p>
            <w:pPr>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Offer Letter for John Doherty, dated January 15, 2024.</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8-K</w:t>
            </w:r>
          </w:p>
        </w:tc>
      </w:tr>
      <w:tr>
        <w:trPr>
          <w:trHeight w:val="20"/>
        </w:trPr>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34†#</w:t>
            </w:r>
          </w:p>
        </w:tc>
        <w:tc>
          <w:tcPr>
            <w:tcW w:w="700" w:type="dxa"/>
            <w:vAlign w:val="bottom"/>
            <w:gridSpan w:val="2"/>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Amendment to Offer Letter for John Doherty, dated February</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89"/>
              </w:rPr>
              <w:t>19, 2025.</w:t>
            </w: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12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35†</w:t>
            </w:r>
          </w:p>
        </w:tc>
        <w:tc>
          <w:tcPr>
            <w:tcW w:w="38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9"/>
              </w:rPr>
            </w:pPr>
            <w:hyperlink r:id="rId216">
              <w:r>
                <w:rPr>
                  <w:rFonts w:ascii="Times New Roman" w:cs="Times New Roman" w:eastAsia="Times New Roman" w:hAnsi="Times New Roman"/>
                  <w:sz w:val="16"/>
                  <w:szCs w:val="16"/>
                  <w:color w:val="0000FF"/>
                  <w:w w:val="99"/>
                </w:rPr>
                <w:t>Kaltura, Inc. Non-Employee Director Compensation Policy.</w:t>
              </w:r>
            </w:hyperlink>
          </w:p>
        </w:tc>
        <w:tc>
          <w:tcPr>
            <w:tcW w:w="320" w:type="dxa"/>
            <w:vAlign w:val="bottom"/>
            <w:gridSpan w:val="16"/>
          </w:tcPr>
          <w:p>
            <w:pPr>
              <w:spacing w:after="0"/>
              <w:rPr>
                <w:sz w:val="17"/>
                <w:szCs w:val="17"/>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S-1/A</w:t>
            </w:r>
          </w:p>
        </w:tc>
      </w:tr>
      <w:tr>
        <w:trPr>
          <w:trHeight w:val="196"/>
        </w:trPr>
        <w:tc>
          <w:tcPr>
            <w:tcW w:w="1240" w:type="dxa"/>
            <w:vAlign w:val="bottom"/>
            <w:gridSpan w:val="5"/>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36†</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Form of RSU Award Agreement Under 2021 Incentive Award</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69"/>
        </w:trPr>
        <w:tc>
          <w:tcPr>
            <w:tcW w:w="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w w:val="98"/>
              </w:rPr>
            </w:pPr>
            <w:hyperlink r:id="rId217">
              <w:r>
                <w:rPr>
                  <w:rFonts w:ascii="Times New Roman" w:cs="Times New Roman" w:eastAsia="Times New Roman" w:hAnsi="Times New Roman"/>
                  <w:sz w:val="16"/>
                  <w:szCs w:val="16"/>
                  <w:color w:val="0000FF"/>
                  <w:w w:val="98"/>
                </w:rPr>
                <w:t>Plan - For Israeli Participants</w:t>
              </w:r>
            </w:hyperlink>
          </w:p>
        </w:tc>
        <w:tc>
          <w:tcPr>
            <w:tcW w:w="22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r>
      <w:tr>
        <w:trPr>
          <w:trHeight w:val="223"/>
        </w:trPr>
        <w:tc>
          <w:tcPr>
            <w:tcW w:w="1240" w:type="dxa"/>
            <w:vAlign w:val="bottom"/>
            <w:gridSpan w:val="5"/>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37†</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Form of Stock Option Award Agreement Under 2021 Incentive</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69"/>
        </w:trPr>
        <w:tc>
          <w:tcPr>
            <w:tcW w:w="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6"/>
                <w:szCs w:val="16"/>
                <w:color w:val="0000FF"/>
                <w:w w:val="97"/>
              </w:rPr>
            </w:pPr>
            <w:hyperlink r:id="rId218">
              <w:r>
                <w:rPr>
                  <w:rFonts w:ascii="Times New Roman" w:cs="Times New Roman" w:eastAsia="Times New Roman" w:hAnsi="Times New Roman"/>
                  <w:sz w:val="16"/>
                  <w:szCs w:val="16"/>
                  <w:color w:val="0000FF"/>
                  <w:w w:val="97"/>
                </w:rPr>
                <w:t>Award Plan - For Israeli Participants</w:t>
              </w:r>
            </w:hyperlink>
          </w:p>
        </w:tc>
        <w:tc>
          <w:tcPr>
            <w:tcW w:w="1840" w:type="dxa"/>
            <w:vAlign w:val="bottom"/>
            <w:tcBorders>
              <w:top w:val="single" w:sz="8" w:color="0000FF"/>
            </w:tcBorders>
            <w:gridSpan w:val="24"/>
          </w:tcPr>
          <w:p>
            <w:pPr>
              <w:spacing w:after="0"/>
              <w:rPr>
                <w:sz w:val="14"/>
                <w:szCs w:val="14"/>
                <w:color w:val="auto"/>
              </w:rPr>
            </w:pPr>
          </w:p>
        </w:tc>
        <w:tc>
          <w:tcPr>
            <w:tcW w:w="440" w:type="dxa"/>
            <w:vAlign w:val="bottom"/>
          </w:tcPr>
          <w:p>
            <w:pPr>
              <w:spacing w:after="0"/>
              <w:rPr>
                <w:sz w:val="14"/>
                <w:szCs w:val="14"/>
                <w:color w:val="auto"/>
              </w:rPr>
            </w:pPr>
          </w:p>
        </w:tc>
      </w:tr>
      <w:tr>
        <w:trPr>
          <w:trHeight w:val="223"/>
        </w:trPr>
        <w:tc>
          <w:tcPr>
            <w:tcW w:w="1240" w:type="dxa"/>
            <w:vAlign w:val="bottom"/>
            <w:gridSpan w:val="5"/>
          </w:tcPr>
          <w:p>
            <w:pPr>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10.</w:t>
              </w:r>
            </w:hyperlink>
            <w:r>
              <w:rPr>
                <w:rFonts w:ascii="Times New Roman" w:cs="Times New Roman" w:eastAsia="Times New Roman" w:hAnsi="Times New Roman"/>
                <w:sz w:val="16"/>
                <w:szCs w:val="16"/>
                <w:u w:val="single" w:color="auto"/>
                <w:color w:val="0000FF"/>
              </w:rPr>
              <w:t>38†</w:t>
            </w:r>
          </w:p>
        </w:tc>
        <w:tc>
          <w:tcPr>
            <w:tcW w:w="4160" w:type="dxa"/>
            <w:vAlign w:val="bottom"/>
            <w:gridSpan w:val="36"/>
          </w:tcPr>
          <w:p>
            <w:pPr>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Form of Indemnification Agreement between Kaltura, Inc. and</w:t>
              </w:r>
            </w:hyperlink>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S-1/A</w:t>
            </w: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2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its directors and officers.</w:t>
              </w:r>
            </w:hyperlink>
          </w:p>
        </w:tc>
        <w:tc>
          <w:tcPr>
            <w:tcW w:w="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19.</w:t>
            </w:r>
            <w:r>
              <w:rPr>
                <w:rFonts w:ascii="Times New Roman" w:cs="Times New Roman" w:eastAsia="Times New Roman" w:hAnsi="Times New Roman"/>
                <w:sz w:val="16"/>
                <w:szCs w:val="16"/>
                <w:u w:val="single" w:color="auto"/>
                <w:color w:val="0000FF"/>
                <w:w w:val="92"/>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u w:val="single" w:color="auto"/>
                <w:color w:val="0000FF"/>
              </w:rPr>
              <w:t>Insider</w:t>
            </w:r>
            <w:r>
              <w:rPr>
                <w:rFonts w:ascii="Times New Roman" w:cs="Times New Roman" w:eastAsia="Times New Roman" w:hAnsi="Times New Roman"/>
                <w:sz w:val="16"/>
                <w:szCs w:val="16"/>
                <w:color w:val="0000FF"/>
              </w:rPr>
              <w:t xml:space="preserve"> Trading Compliance Policy</w:t>
            </w:r>
          </w:p>
        </w:tc>
        <w:tc>
          <w:tcPr>
            <w:tcW w:w="440" w:type="dxa"/>
            <w:vAlign w:val="bottom"/>
          </w:tcPr>
          <w:p>
            <w:pPr>
              <w:spacing w:after="0"/>
              <w:rPr>
                <w:sz w:val="17"/>
                <w:szCs w:val="17"/>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21.</w:t>
            </w:r>
            <w:r>
              <w:rPr>
                <w:rFonts w:ascii="Times New Roman" w:cs="Times New Roman" w:eastAsia="Times New Roman" w:hAnsi="Times New Roman"/>
                <w:sz w:val="16"/>
                <w:szCs w:val="16"/>
                <w:u w:val="single" w:color="auto"/>
                <w:color w:val="0000FF"/>
                <w:w w:val="92"/>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List of Subsidiaries of Kaltura, Inc.</w:t>
            </w:r>
          </w:p>
        </w:tc>
        <w:tc>
          <w:tcPr>
            <w:tcW w:w="440" w:type="dxa"/>
            <w:vAlign w:val="bottom"/>
          </w:tcPr>
          <w:p>
            <w:pPr>
              <w:spacing w:after="0"/>
              <w:rPr>
                <w:sz w:val="17"/>
                <w:szCs w:val="17"/>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6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23.</w:t>
            </w:r>
            <w:r>
              <w:rPr>
                <w:rFonts w:ascii="Times New Roman" w:cs="Times New Roman" w:eastAsia="Times New Roman" w:hAnsi="Times New Roman"/>
                <w:sz w:val="16"/>
                <w:szCs w:val="16"/>
                <w:u w:val="single" w:color="auto"/>
                <w:color w:val="0000FF"/>
                <w:w w:val="92"/>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Consent of Kost Forer Gabbay &amp; Kasierer, a member of Ernst</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Borders>
              <w:top w:val="single" w:sz="8" w:color="0000FF"/>
            </w:tcBorders>
            <w:gridSpan w:val="30"/>
          </w:tcPr>
          <w:p>
            <w:pPr>
              <w:spacing w:after="0" w:line="142" w:lineRule="exact"/>
              <w:rPr>
                <w:sz w:val="20"/>
                <w:szCs w:val="20"/>
                <w:color w:val="auto"/>
              </w:rPr>
            </w:pPr>
            <w:r>
              <w:rPr>
                <w:rFonts w:ascii="Times New Roman" w:cs="Times New Roman" w:eastAsia="Times New Roman" w:hAnsi="Times New Roman"/>
                <w:sz w:val="16"/>
                <w:szCs w:val="16"/>
                <w:color w:val="0000FF"/>
              </w:rPr>
              <w:t>&amp; Young Global, Independent Registered Public Accounting</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2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Firm.</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31.</w:t>
            </w:r>
            <w:r>
              <w:rPr>
                <w:rFonts w:ascii="Times New Roman" w:cs="Times New Roman" w:eastAsia="Times New Roman" w:hAnsi="Times New Roman"/>
                <w:sz w:val="16"/>
                <w:szCs w:val="16"/>
                <w:u w:val="single" w:color="auto"/>
                <w:color w:val="0000FF"/>
                <w:w w:val="92"/>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w w:val="94"/>
              </w:rPr>
              <w:t>14(a)/15d-14(a).</w:t>
            </w:r>
          </w:p>
        </w:tc>
        <w:tc>
          <w:tcPr>
            <w:tcW w:w="304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31.</w:t>
            </w:r>
            <w:r>
              <w:rPr>
                <w:rFonts w:ascii="Times New Roman" w:cs="Times New Roman" w:eastAsia="Times New Roman" w:hAnsi="Times New Roman"/>
                <w:sz w:val="16"/>
                <w:szCs w:val="16"/>
                <w:u w:val="single" w:color="auto"/>
                <w:color w:val="0000FF"/>
                <w:w w:val="92"/>
              </w:rPr>
              <w:t>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w w:val="94"/>
              </w:rPr>
              <w:t>14(a)/15d-14(a).</w:t>
            </w:r>
          </w:p>
        </w:tc>
        <w:tc>
          <w:tcPr>
            <w:tcW w:w="29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32.</w:t>
            </w:r>
            <w:r>
              <w:rPr>
                <w:rFonts w:ascii="Times New Roman" w:cs="Times New Roman" w:eastAsia="Times New Roman" w:hAnsi="Times New Roman"/>
                <w:sz w:val="16"/>
                <w:szCs w:val="16"/>
                <w:u w:val="single" w:color="auto"/>
                <w:color w:val="0000FF"/>
                <w:w w:val="92"/>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00" w:type="dxa"/>
            <w:vAlign w:val="bottom"/>
            <w:tcBorders>
              <w:top w:val="single" w:sz="8" w:color="0000FF"/>
            </w:tcBorders>
            <w:gridSpan w:val="33"/>
          </w:tcPr>
          <w:p>
            <w:pPr>
              <w:spacing w:after="0" w:line="142" w:lineRule="exact"/>
              <w:rPr>
                <w:sz w:val="20"/>
                <w:szCs w:val="20"/>
                <w:color w:val="auto"/>
              </w:rPr>
            </w:pPr>
            <w:r>
              <w:rPr>
                <w:rFonts w:ascii="Times New Roman" w:cs="Times New Roman" w:eastAsia="Times New Roman" w:hAnsi="Times New Roman"/>
                <w:sz w:val="16"/>
                <w:szCs w:val="16"/>
                <w:color w:val="0000FF"/>
              </w:rPr>
              <w:t>Section 1350.</w:t>
            </w:r>
          </w:p>
        </w:tc>
        <w:tc>
          <w:tcPr>
            <w:tcW w:w="6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3100" w:type="dxa"/>
            <w:vAlign w:val="bottom"/>
            <w:gridSpan w:val="2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FF"/>
                <w:w w:val="92"/>
              </w:rPr>
              <w:t>32.</w:t>
            </w:r>
            <w:r>
              <w:rPr>
                <w:rFonts w:ascii="Times New Roman" w:cs="Times New Roman" w:eastAsia="Times New Roman" w:hAnsi="Times New Roman"/>
                <w:sz w:val="16"/>
                <w:szCs w:val="16"/>
                <w:u w:val="single" w:color="auto"/>
                <w:color w:val="0000FF"/>
                <w:w w:val="92"/>
              </w:rPr>
              <w:t>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w:t>
            </w:r>
          </w:p>
        </w:tc>
        <w:tc>
          <w:tcPr>
            <w:tcW w:w="440" w:type="dxa"/>
            <w:vAlign w:val="bottom"/>
          </w:tcPr>
          <w:p>
            <w:pPr>
              <w:spacing w:after="0"/>
              <w:rPr>
                <w:sz w:val="17"/>
                <w:szCs w:val="17"/>
                <w:color w:val="auto"/>
              </w:rPr>
            </w:pPr>
          </w:p>
        </w:tc>
      </w:tr>
      <w:tr>
        <w:trPr>
          <w:trHeight w:val="142"/>
        </w:trPr>
        <w:tc>
          <w:tcPr>
            <w:tcW w:w="2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0" w:type="dxa"/>
            <w:vAlign w:val="bottom"/>
            <w:tcBorders>
              <w:top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Section 1350.</w:t>
            </w:r>
          </w:p>
        </w:tc>
        <w:tc>
          <w:tcPr>
            <w:tcW w:w="160" w:type="dxa"/>
            <w:vAlign w:val="bottom"/>
            <w:gridSpan w:val="8"/>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3100" w:type="dxa"/>
            <w:vAlign w:val="bottom"/>
            <w:gridSpan w:val="20"/>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0" w:type="dxa"/>
            <w:vAlign w:val="bottom"/>
            <w:tcBorders>
              <w:bottom w:val="single" w:sz="8" w:color="0000FF"/>
            </w:tcBorders>
          </w:tcPr>
          <w:p>
            <w:pPr>
              <w:spacing w:after="0"/>
              <w:rPr>
                <w:rFonts w:ascii="Times New Roman" w:cs="Times New Roman" w:eastAsia="Times New Roman" w:hAnsi="Times New Roman"/>
                <w:sz w:val="16"/>
                <w:szCs w:val="16"/>
                <w:color w:val="0000FF"/>
                <w:w w:val="92"/>
              </w:rPr>
            </w:pPr>
            <w:hyperlink r:id="rId220">
              <w:r>
                <w:rPr>
                  <w:rFonts w:ascii="Times New Roman" w:cs="Times New Roman" w:eastAsia="Times New Roman" w:hAnsi="Times New Roman"/>
                  <w:sz w:val="16"/>
                  <w:szCs w:val="16"/>
                  <w:color w:val="0000FF"/>
                  <w:w w:val="92"/>
                </w:rPr>
                <w:t>97.</w:t>
              </w:r>
              <w:r>
                <w:rPr>
                  <w:rFonts w:ascii="Times New Roman" w:cs="Times New Roman" w:eastAsia="Times New Roman" w:hAnsi="Times New Roman"/>
                  <w:sz w:val="16"/>
                  <w:szCs w:val="16"/>
                  <w:u w:val="single" w:color="auto"/>
                  <w:color w:val="0000FF"/>
                  <w:w w:val="92"/>
                </w:rPr>
                <w:t>1</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94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Policy For Recovery of Erroneously Awarded Compensation</w:t>
              </w:r>
            </w:hyperlink>
          </w:p>
        </w:tc>
        <w:tc>
          <w:tcPr>
            <w:tcW w:w="220" w:type="dxa"/>
            <w:vAlign w:val="bottom"/>
            <w:gridSpan w:val="11"/>
          </w:tcPr>
          <w:p>
            <w:pPr>
              <w:spacing w:after="0"/>
              <w:rPr>
                <w:sz w:val="17"/>
                <w:szCs w:val="17"/>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r>
      <w:tr>
        <w:trPr>
          <w:trHeight w:val="183"/>
        </w:trPr>
        <w:tc>
          <w:tcPr>
            <w:tcW w:w="124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4160" w:type="dxa"/>
            <w:vAlign w:val="bottom"/>
            <w:gridSpan w:val="36"/>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w:t>
            </w:r>
          </w:p>
        </w:tc>
        <w:tc>
          <w:tcPr>
            <w:tcW w:w="440" w:type="dxa"/>
            <w:vAlign w:val="bottom"/>
          </w:tcPr>
          <w:p>
            <w:pPr>
              <w:spacing w:after="0"/>
              <w:rPr>
                <w:sz w:val="15"/>
                <w:szCs w:val="15"/>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60" w:type="dxa"/>
            <w:vAlign w:val="bottom"/>
            <w:gridSpan w:val="36"/>
          </w:tcPr>
          <w:p>
            <w:pPr>
              <w:spacing w:after="0" w:line="162" w:lineRule="exact"/>
              <w:rPr>
                <w:sz w:val="20"/>
                <w:szCs w:val="20"/>
                <w:color w:val="auto"/>
              </w:rPr>
            </w:pPr>
            <w:r>
              <w:rPr>
                <w:rFonts w:ascii="Times New Roman" w:cs="Times New Roman" w:eastAsia="Times New Roman" w:hAnsi="Times New Roman"/>
                <w:sz w:val="16"/>
                <w:szCs w:val="16"/>
                <w:color w:val="auto"/>
              </w:rPr>
              <w:t>not appear in the Interactive Data File because its XBRL tags</w:t>
            </w:r>
          </w:p>
        </w:tc>
        <w:tc>
          <w:tcPr>
            <w:tcW w:w="44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color w:val="auto"/>
              </w:rPr>
              <w:t>are embedded within the Inline XBRL document</w:t>
            </w:r>
          </w:p>
        </w:tc>
        <w:tc>
          <w:tcPr>
            <w:tcW w:w="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r>
      <w:tr>
        <w:trPr>
          <w:trHeight w:val="378"/>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r>
      <w:tr>
        <w:trPr>
          <w:trHeight w:val="540"/>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01/16/2024</w:t>
            </w:r>
          </w:p>
        </w:tc>
      </w:tr>
      <w:tr>
        <w:trPr>
          <w:trHeight w:val="378"/>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8"/>
              </w:rPr>
              <w:t>02/22/24</w:t>
            </w:r>
          </w:p>
        </w:tc>
      </w:tr>
      <w:tr>
        <w:trPr>
          <w:trHeight w:val="378"/>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8"/>
              </w:rPr>
              <w:t>02/22/24</w:t>
            </w:r>
          </w:p>
        </w:tc>
      </w:tr>
      <w:tr>
        <w:trPr>
          <w:trHeight w:val="216"/>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8"/>
              </w:rPr>
              <w:t>02/22/24</w:t>
            </w:r>
          </w:p>
        </w:tc>
      </w:tr>
      <w:tr>
        <w:trPr>
          <w:trHeight w:val="378"/>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8"/>
              </w:rPr>
              <w:t>02/22/24</w:t>
            </w:r>
          </w:p>
        </w:tc>
      </w:tr>
      <w:tr>
        <w:trPr>
          <w:trHeight w:val="378"/>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r>
      <w:tr>
        <w:trPr>
          <w:trHeight w:val="378"/>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8"/>
              </w:rPr>
              <w:t>02/22/24</w:t>
            </w:r>
          </w:p>
        </w:tc>
      </w:tr>
      <w:tr>
        <w:trPr>
          <w:trHeight w:val="378"/>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r>
      <w:tr>
        <w:trPr>
          <w:trHeight w:val="378"/>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01/16/2024</w:t>
            </w:r>
          </w:p>
        </w:tc>
      </w:tr>
      <w:tr>
        <w:trPr>
          <w:trHeight w:val="216"/>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r>
      <w:tr>
        <w:trPr>
          <w:trHeight w:val="378"/>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r>
        <w:trPr>
          <w:trHeight w:val="216"/>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02/25/2022</w:t>
            </w:r>
          </w:p>
        </w:tc>
      </w:tr>
      <w:tr>
        <w:trPr>
          <w:trHeight w:val="432"/>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001-40644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02/25/2022</w:t>
            </w:r>
          </w:p>
        </w:tc>
      </w:tr>
      <w:tr>
        <w:trPr>
          <w:trHeight w:val="432"/>
        </w:trPr>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333-253699</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3/23/2021</w:t>
            </w:r>
          </w:p>
        </w:tc>
      </w:tr>
    </w:tbl>
    <w:p>
      <w:pPr>
        <w:spacing w:after="0" w:line="1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40"/>
        <w:spacing w:after="0"/>
        <w:tabs>
          <w:tab w:leader="none" w:pos="1380" w:val="left"/>
          <w:tab w:leader="none" w:pos="2380" w:val="left"/>
        </w:tabs>
        <w:rPr>
          <w:sz w:val="20"/>
          <w:szCs w:val="20"/>
          <w:color w:val="auto"/>
        </w:rPr>
      </w:pPr>
      <w:r>
        <w:rPr>
          <w:rFonts w:ascii="Times New Roman" w:cs="Times New Roman" w:eastAsia="Times New Roman" w:hAnsi="Times New Roman"/>
          <w:sz w:val="16"/>
          <w:szCs w:val="16"/>
          <w:color w:val="auto"/>
        </w:rPr>
        <w:t>001-40644</w:t>
      </w:r>
      <w:r>
        <w:rPr>
          <w:sz w:val="20"/>
          <w:szCs w:val="20"/>
          <w:color w:val="auto"/>
        </w:rPr>
        <w:tab/>
      </w:r>
      <w:r>
        <w:rPr>
          <w:rFonts w:ascii="Times New Roman" w:cs="Times New Roman" w:eastAsia="Times New Roman" w:hAnsi="Times New Roman"/>
          <w:sz w:val="16"/>
          <w:szCs w:val="16"/>
          <w:color w:val="auto"/>
        </w:rPr>
        <w:t>97.1</w:t>
      </w:r>
      <w:r>
        <w:rPr>
          <w:sz w:val="20"/>
          <w:szCs w:val="20"/>
          <w:color w:val="auto"/>
        </w:rPr>
        <w:tab/>
      </w:r>
      <w:r>
        <w:rPr>
          <w:rFonts w:ascii="Times New Roman" w:cs="Times New Roman" w:eastAsia="Times New Roman" w:hAnsi="Times New Roman"/>
          <w:sz w:val="16"/>
          <w:szCs w:val="16"/>
          <w:color w:val="auto"/>
        </w:rPr>
        <w:t>02/22/2024</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5840" w:space="600"/>
            <w:col w:w="4260"/>
          </w:cols>
          <w:pgMar w:left="340" w:top="1211" w:right="859" w:bottom="1440" w:gutter="0" w:footer="0" w:header="0"/>
        </w:sectPr>
      </w:pPr>
    </w:p>
    <w:bookmarkStart w:id="147" w:name="page148"/>
    <w:bookmarkEnd w:id="147"/>
    <w:tbl>
      <w:tblPr>
        <w:tblLayout w:type="fixed"/>
        <w:tblInd w:w="2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8"/>
        </w:trPr>
        <w:tc>
          <w:tcPr>
            <w:tcW w:w="9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101.CAL</w:t>
            </w:r>
          </w:p>
        </w:tc>
        <w:tc>
          <w:tcPr>
            <w:tcW w:w="7000" w:type="dxa"/>
            <w:vAlign w:val="bottom"/>
          </w:tcPr>
          <w:p>
            <w:pPr>
              <w:ind w:left="300"/>
              <w:spacing w:after="0" w:line="168" w:lineRule="exact"/>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2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90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Document</w:t>
            </w:r>
          </w:p>
        </w:tc>
        <w:tc>
          <w:tcPr>
            <w:tcW w:w="2760" w:type="dxa"/>
            <w:vAlign w:val="bottom"/>
          </w:tcPr>
          <w:p>
            <w:pPr>
              <w:spacing w:after="0"/>
              <w:rPr>
                <w:sz w:val="18"/>
                <w:szCs w:val="18"/>
                <w:color w:val="auto"/>
              </w:rPr>
            </w:pPr>
          </w:p>
        </w:tc>
      </w:tr>
      <w:tr>
        <w:trPr>
          <w:trHeight w:val="168"/>
        </w:trPr>
        <w:tc>
          <w:tcPr>
            <w:tcW w:w="9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101.DEF</w:t>
            </w:r>
          </w:p>
        </w:tc>
        <w:tc>
          <w:tcPr>
            <w:tcW w:w="7000" w:type="dxa"/>
            <w:vAlign w:val="bottom"/>
          </w:tcPr>
          <w:p>
            <w:pPr>
              <w:ind w:left="300"/>
              <w:spacing w:after="0" w:line="168" w:lineRule="exact"/>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2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90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Document</w:t>
            </w:r>
          </w:p>
        </w:tc>
        <w:tc>
          <w:tcPr>
            <w:tcW w:w="276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8"/>
        </w:trPr>
        <w:tc>
          <w:tcPr>
            <w:tcW w:w="9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101.PRE</w:t>
            </w:r>
          </w:p>
        </w:tc>
        <w:tc>
          <w:tcPr>
            <w:tcW w:w="7000" w:type="dxa"/>
            <w:vAlign w:val="bottom"/>
          </w:tcPr>
          <w:p>
            <w:pPr>
              <w:ind w:left="300"/>
              <w:spacing w:after="0" w:line="168" w:lineRule="exact"/>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2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90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Document</w:t>
            </w:r>
          </w:p>
        </w:tc>
        <w:tc>
          <w:tcPr>
            <w:tcW w:w="2760" w:type="dxa"/>
            <w:vAlign w:val="bottom"/>
          </w:tcPr>
          <w:p>
            <w:pPr>
              <w:spacing w:after="0"/>
              <w:rPr>
                <w:sz w:val="18"/>
                <w:szCs w:val="18"/>
                <w:color w:val="auto"/>
              </w:rPr>
            </w:pPr>
          </w:p>
        </w:tc>
      </w:tr>
      <w:tr>
        <w:trPr>
          <w:trHeight w:val="168"/>
        </w:trPr>
        <w:tc>
          <w:tcPr>
            <w:tcW w:w="9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7000" w:type="dxa"/>
            <w:vAlign w:val="bottom"/>
          </w:tcPr>
          <w:p>
            <w:pPr>
              <w:ind w:left="300"/>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2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90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and contained in Exhibit 101)</w:t>
            </w:r>
          </w:p>
        </w:tc>
        <w:tc>
          <w:tcPr>
            <w:tcW w:w="2760" w:type="dxa"/>
            <w:vAlign w:val="bottom"/>
          </w:tcPr>
          <w:p>
            <w:pPr>
              <w:spacing w:after="0"/>
              <w:rPr>
                <w:sz w:val="18"/>
                <w:szCs w:val="18"/>
                <w:color w:val="auto"/>
              </w:rPr>
            </w:pPr>
          </w:p>
        </w:tc>
      </w:tr>
    </w:tbl>
    <w:p>
      <w:pPr>
        <w:spacing w:after="0" w:line="3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18" w:lineRule="exact"/>
        <w:rPr>
          <w:sz w:val="20"/>
          <w:szCs w:val="20"/>
          <w:color w:val="auto"/>
        </w:rPr>
      </w:pPr>
    </w:p>
    <w:p>
      <w:pPr>
        <w:ind w:right="200" w:firstLine="8"/>
        <w:spacing w:after="0" w:line="266" w:lineRule="auto"/>
        <w:tabs>
          <w:tab w:leader="none" w:pos="1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similar attachments) have been omitted pursuant to Item 601(a)(5) of Regulation S-K. Theregistrant undertakes to furnish supplemental copies of any of the omitted schedules (or similar attachments) to the SEC upon request.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9" w:right="8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KALTURA, INC.</w:t>
      </w:r>
    </w:p>
    <w:p>
      <w:pPr>
        <w:spacing w:after="0" w:line="252" w:lineRule="exact"/>
        <w:rPr>
          <w:sz w:val="20"/>
          <w:szCs w:val="20"/>
          <w:color w:val="auto"/>
        </w:rPr>
      </w:pPr>
    </w:p>
    <w:p>
      <w:pPr>
        <w:ind w:left="20"/>
        <w:spacing w:after="0"/>
        <w:tabs>
          <w:tab w:leader="none" w:pos="5280" w:val="left"/>
          <w:tab w:leader="none" w:pos="782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43180</wp:posOffset>
            </wp:positionV>
            <wp:extent cx="3077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Ron Yekutiel</w:t>
      </w:r>
    </w:p>
    <w:p>
      <w:pPr>
        <w:spacing w:after="0" w:line="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32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0"/>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Ron Yekutiel</w:t>
            </w:r>
          </w:p>
        </w:tc>
        <w:tc>
          <w:tcPr>
            <w:tcW w:w="5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Chairman, President and Chief Executive Officer and Director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Ron Yekutiel</w:t>
            </w:r>
          </w:p>
        </w:tc>
        <w:tc>
          <w:tcPr>
            <w:tcW w:w="5820" w:type="dxa"/>
            <w:vAlign w:val="bottom"/>
          </w:tcPr>
          <w:p>
            <w:pPr>
              <w:jc w:val="center"/>
              <w:ind w:left="1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900" w:type="dxa"/>
            <w:vAlign w:val="bottom"/>
          </w:tcPr>
          <w:p>
            <w:pPr>
              <w:spacing w:after="0"/>
              <w:rPr>
                <w:sz w:val="20"/>
                <w:szCs w:val="20"/>
                <w:color w:val="auto"/>
              </w:rPr>
            </w:pPr>
          </w:p>
        </w:tc>
      </w:tr>
      <w:tr>
        <w:trPr>
          <w:trHeight w:val="261"/>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Doherty</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Doherty</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900" w:type="dxa"/>
            <w:vAlign w:val="bottom"/>
          </w:tcPr>
          <w:p>
            <w:pPr>
              <w:spacing w:after="0"/>
              <w:rPr>
                <w:sz w:val="20"/>
                <w:szCs w:val="20"/>
                <w:color w:val="auto"/>
              </w:rPr>
            </w:pPr>
          </w:p>
        </w:tc>
      </w:tr>
      <w:tr>
        <w:trPr>
          <w:trHeight w:val="531"/>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Levandov</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Levandov</w:t>
            </w:r>
          </w:p>
        </w:tc>
        <w:tc>
          <w:tcPr>
            <w:tcW w:w="58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1"/>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Shay David</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Dr. Shay David</w:t>
            </w:r>
          </w:p>
        </w:tc>
        <w:tc>
          <w:tcPr>
            <w:tcW w:w="58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77"/>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Ronen Faier</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Ronen Faier</w:t>
            </w:r>
          </w:p>
        </w:tc>
        <w:tc>
          <w:tcPr>
            <w:tcW w:w="58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77"/>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Naama Halevi Davidov</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Dr. Naama Halevi Davidov</w:t>
            </w:r>
          </w:p>
        </w:tc>
        <w:tc>
          <w:tcPr>
            <w:tcW w:w="58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31"/>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Eyal Manor</w:t>
            </w:r>
          </w:p>
        </w:tc>
        <w:tc>
          <w:tcPr>
            <w:tcW w:w="5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Eyal Manor</w:t>
            </w:r>
          </w:p>
        </w:tc>
        <w:tc>
          <w:tcPr>
            <w:tcW w:w="58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ectPr>
          <w:pgSz w:w="11900" w:h="16838" w:orient="portrait"/>
          <w:cols w:equalWidth="0" w:num="1">
            <w:col w:w="11240"/>
          </w:cols>
          <w:pgMar w:left="320" w:top="118"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259"/>
        <w:spacing w:after="0" w:line="236" w:lineRule="auto"/>
        <w:rPr>
          <w:sz w:val="20"/>
          <w:szCs w:val="20"/>
          <w:color w:val="auto"/>
        </w:rPr>
      </w:pPr>
      <w:r>
        <w:rPr>
          <w:rFonts w:ascii="Times New Roman" w:cs="Times New Roman" w:eastAsia="Times New Roman" w:hAnsi="Times New Roman"/>
          <w:sz w:val="20"/>
          <w:szCs w:val="20"/>
          <w:color w:val="auto"/>
        </w:rPr>
        <w:t>This AMENDMENT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that certain individual Employment Agreement (as defined below), is made and entered into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2025, by and between </w:t>
      </w:r>
      <w:r>
        <w:rPr>
          <w:rFonts w:ascii="Times New Roman" w:cs="Times New Roman" w:eastAsia="Times New Roman" w:hAnsi="Times New Roman"/>
          <w:sz w:val="20"/>
          <w:szCs w:val="20"/>
          <w:b w:val="1"/>
          <w:bCs w:val="1"/>
          <w:color w:val="auto"/>
        </w:rPr>
        <w:t>Kaltura Ltd.</w:t>
      </w:r>
      <w:r>
        <w:rPr>
          <w:rFonts w:ascii="Times New Roman" w:cs="Times New Roman" w:eastAsia="Times New Roman" w:hAnsi="Times New Roman"/>
          <w:sz w:val="20"/>
          <w:szCs w:val="20"/>
          <w:color w:val="auto"/>
        </w:rPr>
        <w:t>, a company organized under the laws of the State of Israel and having an office and principal place of business at Allied Tower, 9 Ben-Gurion Road, Bnei-Brak, Israel 5126014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Mr. Ron Yekutiel</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Each of the above is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both"/>
        <w:ind w:left="1300" w:hanging="1295"/>
        <w:spacing w:after="0" w:line="238"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Parties have entered into an individual employment agreement dated May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2012, in connection with the Employee’s employment by the Company, as from time to time amended (the said agreement, together with all the exhibits, attachments and addendums thereto, and any amendments hereto or thereto in accordance with the provisions thereof or hereof, shall be referred to herein as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and</w:t>
      </w:r>
    </w:p>
    <w:p>
      <w:pPr>
        <w:spacing w:after="0" w:line="9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wish to amend the Employment Agreement in accordance with the terms herewith;</w:t>
      </w:r>
    </w:p>
    <w:p>
      <w:pPr>
        <w:spacing w:after="0" w:line="200" w:lineRule="exact"/>
        <w:rPr>
          <w:sz w:val="20"/>
          <w:szCs w:val="20"/>
          <w:color w:val="auto"/>
        </w:rPr>
      </w:pPr>
    </w:p>
    <w:p>
      <w:pPr>
        <w:spacing w:after="0" w:line="23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mutual agreements and covenants contained in this Amendment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 adequacy of which are hereby mutually acknowledged), each of the Parties hereby agree as follows:</w:t>
      </w:r>
    </w:p>
    <w:p>
      <w:pPr>
        <w:spacing w:after="0" w:line="297"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 and Interpretation</w:t>
      </w:r>
    </w:p>
    <w:p>
      <w:pPr>
        <w:spacing w:after="0" w:line="125" w:lineRule="exact"/>
        <w:rPr>
          <w:rFonts w:ascii="Times New Roman" w:cs="Times New Roman" w:eastAsia="Times New Roman" w:hAnsi="Times New Roman"/>
          <w:sz w:val="20"/>
          <w:szCs w:val="20"/>
          <w:color w:val="auto"/>
        </w:rPr>
      </w:pPr>
    </w:p>
    <w:p>
      <w:pPr>
        <w:ind w:left="900" w:hanging="57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Capitalized terms used but not otherwise defined herein have the respective meanings set forth in the Employment Agreement. All capitalized terms used but not defined hereinabove or in the Employment Agreement, shall have the meaning ascribed for them as in the recitals or as hereinbelow defined.</w:t>
      </w:r>
    </w:p>
    <w:p>
      <w:pPr>
        <w:spacing w:after="0" w:line="73"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The preface to this Amendment constitutes an indivisible and integral part thereof.</w:t>
      </w:r>
    </w:p>
    <w:p>
      <w:pPr>
        <w:spacing w:after="0" w:line="107" w:lineRule="exact"/>
        <w:rPr>
          <w:rFonts w:ascii="Times New Roman" w:cs="Times New Roman" w:eastAsia="Times New Roman" w:hAnsi="Times New Roman"/>
          <w:sz w:val="20"/>
          <w:szCs w:val="20"/>
          <w:color w:val="auto"/>
        </w:rPr>
      </w:pPr>
    </w:p>
    <w:p>
      <w:pPr>
        <w:ind w:left="900" w:hanging="57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spacing w:after="0" w:line="31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Base Salary</w:t>
      </w:r>
    </w:p>
    <w:p>
      <w:pPr>
        <w:spacing w:after="0" w:line="111" w:lineRule="exact"/>
        <w:rPr>
          <w:rFonts w:ascii="Times New Roman" w:cs="Times New Roman" w:eastAsia="Times New Roman" w:hAnsi="Times New Roman"/>
          <w:sz w:val="20"/>
          <w:szCs w:val="20"/>
          <w:color w:val="auto"/>
        </w:rPr>
      </w:pPr>
    </w:p>
    <w:p>
      <w:pPr>
        <w:ind w:left="820" w:hanging="486"/>
        <w:spacing w:after="0" w:line="23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Commencing as of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2025, the Employee’s annual Base Salary shall be increased by a gross amount of NIS equal to $46,631 (in accordance with $1.00/NIS3.7 exchange rate as was affixed by the Company for the purposes of your Employment Agreement, regardless such rate at the Effective Date of this Amendment), namely from a monthly Base Salary of gross NIS 54,967 to a </w:t>
      </w:r>
      <w:r>
        <w:rPr>
          <w:rFonts w:ascii="Times New Roman" w:cs="Times New Roman" w:eastAsia="Times New Roman" w:hAnsi="Times New Roman"/>
          <w:sz w:val="20"/>
          <w:szCs w:val="20"/>
          <w:b w:val="1"/>
          <w:bCs w:val="1"/>
          <w:color w:val="auto"/>
        </w:rPr>
        <w:t>monthly Base Salary of gross NIS 69,345</w:t>
      </w:r>
      <w:r>
        <w:rPr>
          <w:rFonts w:ascii="Times New Roman" w:cs="Times New Roman" w:eastAsia="Times New Roman" w:hAnsi="Times New Roman"/>
          <w:sz w:val="20"/>
          <w:szCs w:val="20"/>
          <w:color w:val="auto"/>
        </w:rPr>
        <w:t xml:space="preserve"> per month, effective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2025. To dispel doubt, (i) the new Base Salay NIS amount as so affixed by the Company shall be deemed for all purposes as the amount by which your NIS gross Base Salary has been increased, and it shall not be linked or subject to any further NIS/USD exchange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IL Employment Agmt - 2-11-2025</w:t>
      </w:r>
    </w:p>
    <w:p>
      <w:pPr>
        <w:sectPr>
          <w:pgSz w:w="11900" w:h="16838" w:orient="portrait"/>
          <w:cols w:equalWidth="0" w:num="1">
            <w:col w:w="11240"/>
          </w:cols>
          <w:pgMar w:left="320" w:top="1152"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changes; and (ii) the monthly car allowance at the gross amount of NIS 7,480 shall remain unchanged.</w:t>
      </w:r>
    </w:p>
    <w:p>
      <w:pPr>
        <w:spacing w:after="0" w:line="351" w:lineRule="exact"/>
        <w:rPr>
          <w:sz w:val="20"/>
          <w:szCs w:val="20"/>
          <w:color w:val="auto"/>
        </w:rPr>
      </w:pPr>
    </w:p>
    <w:p>
      <w:pPr>
        <w:jc w:val="both"/>
        <w:ind w:left="820" w:hanging="485"/>
        <w:spacing w:after="0" w:line="268" w:lineRule="auto"/>
        <w:tabs>
          <w:tab w:leader="none" w:pos="800" w:val="left"/>
        </w:tabs>
        <w:rPr>
          <w:sz w:val="20"/>
          <w:szCs w:val="20"/>
          <w:color w:val="auto"/>
        </w:rPr>
      </w:pPr>
      <w:r>
        <w:rPr>
          <w:rFonts w:ascii="Times New Roman" w:cs="Times New Roman" w:eastAsia="Times New Roman" w:hAnsi="Times New Roman"/>
          <w:sz w:val="20"/>
          <w:szCs w:val="20"/>
          <w:color w:val="auto"/>
        </w:rPr>
        <w:t>2.2.</w:t>
        <w:tab/>
        <w:t>All allowances, benefits, rights, and deductions associated with your Base Salary under the Employment Agreement or Law shall apply to your Base Salary as amended herein, except for the car allowance amount referred to above which shall remain unchanged.</w:t>
      </w:r>
    </w:p>
    <w:p>
      <w:pPr>
        <w:spacing w:after="0" w:line="53" w:lineRule="exact"/>
        <w:rPr>
          <w:sz w:val="20"/>
          <w:szCs w:val="20"/>
          <w:color w:val="auto"/>
        </w:rPr>
      </w:pPr>
    </w:p>
    <w:p>
      <w:pPr>
        <w:jc w:val="both"/>
        <w:ind w:left="820" w:hanging="485"/>
        <w:spacing w:after="0" w:line="252" w:lineRule="auto"/>
        <w:tabs>
          <w:tab w:leader="none" w:pos="800" w:val="left"/>
        </w:tabs>
        <w:rPr>
          <w:sz w:val="20"/>
          <w:szCs w:val="20"/>
          <w:color w:val="auto"/>
        </w:rPr>
      </w:pPr>
      <w:r>
        <w:rPr>
          <w:rFonts w:ascii="Times New Roman" w:cs="Times New Roman" w:eastAsia="Times New Roman" w:hAnsi="Times New Roman"/>
          <w:sz w:val="20"/>
          <w:szCs w:val="20"/>
          <w:color w:val="auto"/>
        </w:rPr>
        <w:t>2.3.</w:t>
        <w:tab/>
        <w:t>The Employee agrees and acknowledges that due to the Employee’s senior managerial position in the Company, the special personal trust involved in the position in which the Employee shall be employed, and the inability to monitor the Employee’s actual work hours, the Hours of Work and Rest Law, 1951 (the “</w:t>
      </w:r>
      <w:r>
        <w:rPr>
          <w:rFonts w:ascii="Times New Roman" w:cs="Times New Roman" w:eastAsia="Times New Roman" w:hAnsi="Times New Roman"/>
          <w:sz w:val="20"/>
          <w:szCs w:val="20"/>
          <w:b w:val="1"/>
          <w:bCs w:val="1"/>
          <w:color w:val="auto"/>
        </w:rPr>
        <w:t>Hours of Work and Rest Law</w:t>
      </w:r>
      <w:r>
        <w:rPr>
          <w:rFonts w:ascii="Times New Roman" w:cs="Times New Roman" w:eastAsia="Times New Roman" w:hAnsi="Times New Roman"/>
          <w:sz w:val="20"/>
          <w:szCs w:val="20"/>
          <w:color w:val="auto"/>
        </w:rPr>
        <w:t>”) shall not apply to the Employee. The Employee acknowledges that the set amount of the Base Salary (namely, the Monthly Salary as defined in the Employment Agreement) as increased hereby, as well as all other compensation and benefits provided to the Employee by the Company, as agreed upon between the Employee and the Company, reflect the requirements of the position to work additional and irregular hours and days. Accordingly, the Employee shall not be entitled to claim or receive payments or any additional pay for work performed at overtime hours, nights, weekends, or at any other times in which the Hours of Work and Rest Law requires payment of special payments (to employees who are not in a position such as the position of the Employee).</w:t>
      </w:r>
    </w:p>
    <w:p>
      <w:pPr>
        <w:spacing w:after="0" w:line="320"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111"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3.1. The Employee’s entitlement to an annual Bonus for the calendar year of 2025 shall be determined, for such year only, on the basis of the Employee’s and the Company’s attainment of certain goals and objectives defined by the Company, which are set forth in the Employee’s annual bonus plan according to the Company’s 2025 Executive Compensation Plan as approved by its Compensation Committee on or about January 6, 2025, a summary of which is enclosed as </w:t>
      </w:r>
      <w:r>
        <w:rPr>
          <w:rFonts w:ascii="Times New Roman" w:cs="Times New Roman" w:eastAsia="Times New Roman" w:hAnsi="Times New Roman"/>
          <w:sz w:val="20"/>
          <w:szCs w:val="20"/>
          <w:b w:val="1"/>
          <w:bCs w:val="1"/>
          <w:u w:val="single" w:color="auto"/>
          <w:color w:val="auto"/>
        </w:rPr>
        <w:t>Annex A</w:t>
      </w:r>
      <w:r>
        <w:rPr>
          <w:rFonts w:ascii="Times New Roman" w:cs="Times New Roman" w:eastAsia="Times New Roman" w:hAnsi="Times New Roman"/>
          <w:sz w:val="20"/>
          <w:szCs w:val="20"/>
          <w:color w:val="auto"/>
        </w:rPr>
        <w:t xml:space="preserve"> hereof, and as shall further be determined and approved by Kaltura, Inc.’s (the parent company of the Company) Compensation Committee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and Kaltura, Inc.’s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respect to the 2025 individual OKRs and performance targets and goals (the “</w:t>
      </w:r>
      <w:r>
        <w:rPr>
          <w:rFonts w:ascii="Times New Roman" w:cs="Times New Roman" w:eastAsia="Times New Roman" w:hAnsi="Times New Roman"/>
          <w:sz w:val="20"/>
          <w:szCs w:val="20"/>
          <w:b w:val="1"/>
          <w:bCs w:val="1"/>
          <w:color w:val="auto"/>
        </w:rPr>
        <w:t>2025 Executive Compensation Plan</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Accordingly, subject to the successive Subsections of this Section 3, the 2025 annual Bonus shall be as follows:</w:t>
      </w:r>
    </w:p>
    <w:p>
      <w:pPr>
        <w:spacing w:after="0" w:line="121" w:lineRule="exact"/>
        <w:rPr>
          <w:sz w:val="20"/>
          <w:szCs w:val="20"/>
          <w:color w:val="auto"/>
        </w:rPr>
      </w:pPr>
    </w:p>
    <w:p>
      <w:pPr>
        <w:jc w:val="both"/>
        <w:ind w:left="1460" w:hanging="647"/>
        <w:spacing w:after="0" w:line="258" w:lineRule="auto"/>
        <w:tabs>
          <w:tab w:leader="none" w:pos="1440" w:val="left"/>
        </w:tabs>
        <w:rPr>
          <w:sz w:val="20"/>
          <w:szCs w:val="20"/>
          <w:color w:val="auto"/>
        </w:rPr>
      </w:pPr>
      <w:r>
        <w:rPr>
          <w:rFonts w:ascii="Times New Roman" w:cs="Times New Roman" w:eastAsia="Times New Roman" w:hAnsi="Times New Roman"/>
          <w:sz w:val="20"/>
          <w:szCs w:val="20"/>
          <w:color w:val="auto"/>
        </w:rPr>
        <w:t>3.1.1.</w:t>
        <w:tab/>
        <w:t xml:space="preserve">The potential maximum annual Bonus with respect to 100% attainment, satisfaction and performance against the 2025 Executive Compensation Plan’s targets and thresholds (namely, Individual Objectives and Company Financial Goals KPIs and OKRs) as elaborated in the 2025 Executive Compensation Plan, shall equal under this Agreement the gross amount of USD 233,750, namely, gross </w:t>
      </w:r>
      <w:r>
        <w:rPr>
          <w:rFonts w:ascii="Times New Roman" w:cs="Times New Roman" w:eastAsia="Times New Roman" w:hAnsi="Times New Roman"/>
          <w:sz w:val="20"/>
          <w:szCs w:val="20"/>
          <w:b w:val="1"/>
          <w:bCs w:val="1"/>
          <w:color w:val="auto"/>
        </w:rPr>
        <w:t>NIS 864,875</w:t>
      </w:r>
      <w:r>
        <w:rPr>
          <w:rFonts w:ascii="Times New Roman" w:cs="Times New Roman" w:eastAsia="Times New Roman" w:hAnsi="Times New Roman"/>
          <w:sz w:val="20"/>
          <w:szCs w:val="20"/>
          <w:color w:val="auto"/>
        </w:rPr>
        <w:t xml:space="preserve"> (herein, the “</w:t>
      </w:r>
      <w:r>
        <w:rPr>
          <w:rFonts w:ascii="Times New Roman" w:cs="Times New Roman" w:eastAsia="Times New Roman" w:hAnsi="Times New Roman"/>
          <w:sz w:val="20"/>
          <w:szCs w:val="20"/>
          <w:b w:val="1"/>
          <w:bCs w:val="1"/>
          <w:color w:val="auto"/>
        </w:rPr>
        <w:t>Base OTB</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3.1.2.</w:t>
        <w:tab/>
        <w:t>The potential maximum annual additional stretch bonus for overachievement against such goals (&gt;100%) (the “</w:t>
      </w:r>
      <w:r>
        <w:rPr>
          <w:rFonts w:ascii="Times New Roman" w:cs="Times New Roman" w:eastAsia="Times New Roman" w:hAnsi="Times New Roman"/>
          <w:sz w:val="20"/>
          <w:szCs w:val="20"/>
          <w:b w:val="1"/>
          <w:bCs w:val="1"/>
          <w:color w:val="auto"/>
        </w:rPr>
        <w:t>Stretch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is still subject to the determination and approval of the metrics by the Compensation Committee and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Based on past year’s metrics, if approved for 2025, the potential Stretch Bonus under this Agreement is expected to equal the gross amount of up to USD 63,750, namely, gross </w:t>
      </w:r>
      <w:r>
        <w:rPr>
          <w:rFonts w:ascii="Times New Roman" w:cs="Times New Roman" w:eastAsia="Times New Roman" w:hAnsi="Times New Roman"/>
          <w:sz w:val="20"/>
          <w:szCs w:val="20"/>
          <w:b w:val="1"/>
          <w:bCs w:val="1"/>
          <w:color w:val="auto"/>
        </w:rPr>
        <w:t>NIS 235,875</w:t>
      </w:r>
      <w:r>
        <w:rPr>
          <w:rFonts w:ascii="Times New Roman" w:cs="Times New Roman" w:eastAsia="Times New Roman" w:hAnsi="Times New Roman"/>
          <w:sz w:val="20"/>
          <w:szCs w:val="20"/>
          <w:color w:val="auto"/>
        </w:rPr>
        <w:t xml:space="preserve"> (which amount is the product of a Stretch Bonus of 137.5% of the total Base OTB of the Employee under all instruments pursuant to the 2025 Executive Compensation Plan, divided by three); however, the final amount shall be determined by the Compensation Committee and the Board at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IL Employment Agmt - 2-11-2025</w:t>
      </w:r>
    </w:p>
    <w:p>
      <w:pPr>
        <w:sectPr>
          <w:pgSz w:w="11900" w:h="16838" w:orient="portrait"/>
          <w:cols w:equalWidth="0" w:num="1">
            <w:col w:w="11240"/>
          </w:cols>
          <w:pgMar w:left="320" w:top="121"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right="20" w:hanging="485"/>
        <w:spacing w:after="0" w:line="269" w:lineRule="auto"/>
        <w:tabs>
          <w:tab w:leader="none" w:pos="800" w:val="left"/>
        </w:tabs>
        <w:rPr>
          <w:sz w:val="20"/>
          <w:szCs w:val="20"/>
          <w:color w:val="auto"/>
        </w:rPr>
      </w:pPr>
      <w:r>
        <w:rPr>
          <w:rFonts w:ascii="Times New Roman" w:cs="Times New Roman" w:eastAsia="Times New Roman" w:hAnsi="Times New Roman"/>
          <w:sz w:val="20"/>
          <w:szCs w:val="20"/>
          <w:color w:val="auto"/>
        </w:rPr>
        <w:t>3.2.</w:t>
        <w:tab/>
        <w:t>All Bonus payments, if any, shall be subject to all mandatory withholdings and deductions, and shall be deemed to be quoted in gross figures.</w:t>
      </w:r>
    </w:p>
    <w:p>
      <w:pPr>
        <w:spacing w:after="0" w:line="61"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Benefits</w:t>
      </w:r>
    </w:p>
    <w:p>
      <w:pPr>
        <w:spacing w:after="0" w:line="125" w:lineRule="exact"/>
        <w:rPr>
          <w:rFonts w:ascii="Times New Roman" w:cs="Times New Roman" w:eastAsia="Times New Roman" w:hAnsi="Times New Roman"/>
          <w:sz w:val="20"/>
          <w:szCs w:val="20"/>
          <w:color w:val="auto"/>
        </w:rPr>
      </w:pPr>
    </w:p>
    <w:p>
      <w:pPr>
        <w:ind w:left="820" w:hanging="486"/>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4.1. Subject to the approval of the Compensation Committee of the Board of Directors of Kaltura, Inc., and the terms and conditions stipulated below, the Company anticipates granting the Employee </w:t>
      </w:r>
      <w:r>
        <w:rPr>
          <w:rFonts w:ascii="Times New Roman" w:cs="Times New Roman" w:eastAsia="Times New Roman" w:hAnsi="Times New Roman"/>
          <w:sz w:val="20"/>
          <w:szCs w:val="20"/>
          <w:b w:val="1"/>
          <w:bCs w:val="1"/>
          <w:color w:val="auto"/>
        </w:rPr>
        <w:t>2,105,263</w:t>
      </w:r>
      <w:r>
        <w:rPr>
          <w:rFonts w:ascii="Times New Roman" w:cs="Times New Roman" w:eastAsia="Times New Roman" w:hAnsi="Times New Roman"/>
          <w:sz w:val="20"/>
          <w:szCs w:val="20"/>
          <w:color w:val="auto"/>
        </w:rPr>
        <w:t xml:space="preserve"> RSUs as stipulated in the 2025 Executive Compensation Plan (herein, “</w:t>
      </w:r>
      <w:r>
        <w:rPr>
          <w:rFonts w:ascii="Times New Roman" w:cs="Times New Roman" w:eastAsia="Times New Roman" w:hAnsi="Times New Roman"/>
          <w:sz w:val="20"/>
          <w:szCs w:val="20"/>
          <w:b w:val="1"/>
          <w:bCs w:val="1"/>
          <w:color w:val="auto"/>
        </w:rPr>
        <w:t>LTI RSUs</w:t>
      </w:r>
      <w:r>
        <w:rPr>
          <w:rFonts w:ascii="Times New Roman" w:cs="Times New Roman" w:eastAsia="Times New Roman" w:hAnsi="Times New Roman"/>
          <w:sz w:val="20"/>
          <w:szCs w:val="20"/>
          <w:color w:val="auto"/>
        </w:rPr>
        <w:t>”).</w:t>
      </w:r>
    </w:p>
    <w:p>
      <w:pPr>
        <w:spacing w:after="0" w:line="59" w:lineRule="exact"/>
        <w:rPr>
          <w:rFonts w:ascii="Times New Roman" w:cs="Times New Roman" w:eastAsia="Times New Roman" w:hAnsi="Times New Roman"/>
          <w:sz w:val="20"/>
          <w:szCs w:val="20"/>
          <w:color w:val="auto"/>
        </w:rPr>
      </w:pPr>
    </w:p>
    <w:p>
      <w:pPr>
        <w:ind w:left="820" w:hanging="486"/>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 The LTI RSUs, if awarded, will be governed by the terms and conditions of the Company’s 2021 Plan, the respective provisions of the 2025 Executive Compensation Plan and applicable award agreements.</w:t>
      </w:r>
    </w:p>
    <w:p>
      <w:pPr>
        <w:spacing w:after="0" w:line="52" w:lineRule="exact"/>
        <w:rPr>
          <w:sz w:val="20"/>
          <w:szCs w:val="20"/>
          <w:color w:val="auto"/>
        </w:rPr>
      </w:pPr>
    </w:p>
    <w:p>
      <w:pPr>
        <w:jc w:val="both"/>
        <w:ind w:left="820"/>
        <w:spacing w:after="0" w:line="269" w:lineRule="auto"/>
        <w:rPr>
          <w:sz w:val="20"/>
          <w:szCs w:val="20"/>
          <w:color w:val="auto"/>
        </w:rPr>
      </w:pPr>
      <w:r>
        <w:rPr>
          <w:rFonts w:ascii="Times New Roman" w:cs="Times New Roman" w:eastAsia="Times New Roman" w:hAnsi="Times New Roman"/>
          <w:sz w:val="20"/>
          <w:szCs w:val="20"/>
          <w:color w:val="auto"/>
        </w:rPr>
        <w:t>Subject to the above, if and to the extent the Employee shall be granted LTI RSUs, then the grant thereof shall be subject to the following:</w:t>
      </w:r>
    </w:p>
    <w:p>
      <w:pPr>
        <w:spacing w:after="0" w:line="65" w:lineRule="exact"/>
        <w:rPr>
          <w:sz w:val="20"/>
          <w:szCs w:val="20"/>
          <w:color w:val="auto"/>
        </w:rPr>
      </w:pPr>
    </w:p>
    <w:p>
      <w:pPr>
        <w:jc w:val="both"/>
        <w:ind w:left="1540" w:hanging="728"/>
        <w:spacing w:after="0" w:line="269" w:lineRule="auto"/>
        <w:tabs>
          <w:tab w:leader="none" w:pos="152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effective as of the effective date of the Compensation Committee’s approval of the 2025 Executive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Compensation Plan, namely, January 6, 2025.</w:t>
      </w:r>
    </w:p>
    <w:p>
      <w:pPr>
        <w:spacing w:after="0" w:line="65" w:lineRule="exact"/>
        <w:rPr>
          <w:sz w:val="20"/>
          <w:szCs w:val="20"/>
          <w:color w:val="auto"/>
        </w:rPr>
      </w:pPr>
    </w:p>
    <w:p>
      <w:pPr>
        <w:jc w:val="both"/>
        <w:ind w:left="1540" w:hanging="728"/>
        <w:spacing w:after="0" w:line="239" w:lineRule="auto"/>
        <w:tabs>
          <w:tab w:leader="none" w:pos="152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Three-year quarterly, commencing retroactively from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2025, subject to the Employee’s continued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employment with, or services to, the Company or any of its affiliates or subsidiaries through the applicable vesting date unless determined otherwise under any applicable Corporate Transaction and/or Double Trigger provisions as stipulated in the 2021 Plan and/or any other agreements with the Employee (including the Employment Agreement).</w:t>
      </w:r>
    </w:p>
    <w:p>
      <w:pPr>
        <w:spacing w:after="0" w:line="80" w:lineRule="exact"/>
        <w:rPr>
          <w:sz w:val="20"/>
          <w:szCs w:val="20"/>
          <w:color w:val="auto"/>
        </w:rPr>
      </w:pPr>
    </w:p>
    <w:p>
      <w:pPr>
        <w:jc w:val="both"/>
        <w:ind w:left="1540" w:hanging="728"/>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4.2.3.</w:t>
      </w:r>
      <w:r>
        <w:rPr>
          <w:sz w:val="20"/>
          <w:szCs w:val="20"/>
          <w:color w:val="auto"/>
        </w:rPr>
        <w:tab/>
      </w: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the LTI RSUs award shall be made pursuant to the 2021 Plan, the 2025 Executive Compensation Plan,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appropriate award agreement to be executed by the Employee and countersigned by Kaltura, Inc., and to the execution and delivery of all required agreements and instruments pursuant to the 2021 Plan and Kaltura, Inc.’s policies.</w:t>
      </w:r>
    </w:p>
    <w:p>
      <w:pPr>
        <w:spacing w:after="0" w:line="73" w:lineRule="exact"/>
        <w:rPr>
          <w:sz w:val="20"/>
          <w:szCs w:val="20"/>
          <w:color w:val="auto"/>
        </w:rPr>
      </w:pPr>
    </w:p>
    <w:p>
      <w:pPr>
        <w:jc w:val="center"/>
        <w:ind w:left="1140"/>
        <w:spacing w:after="0" w:line="283" w:lineRule="auto"/>
        <w:rPr>
          <w:sz w:val="20"/>
          <w:szCs w:val="20"/>
          <w:color w:val="auto"/>
        </w:rPr>
      </w:pPr>
      <w:r>
        <w:rPr>
          <w:rFonts w:ascii="Times New Roman" w:cs="Times New Roman" w:eastAsia="Times New Roman" w:hAnsi="Times New Roman"/>
          <w:sz w:val="20"/>
          <w:szCs w:val="20"/>
          <w:color w:val="auto"/>
        </w:rPr>
        <w:t xml:space="preserve">4.2.4.   </w:t>
      </w:r>
      <w:r>
        <w:rPr>
          <w:rFonts w:ascii="Times New Roman" w:cs="Times New Roman" w:eastAsia="Times New Roman" w:hAnsi="Times New Roman"/>
          <w:sz w:val="20"/>
          <w:szCs w:val="20"/>
          <w:u w:val="single" w:color="auto"/>
          <w:color w:val="auto"/>
        </w:rPr>
        <w:t>Double Trigger</w:t>
      </w:r>
      <w:r>
        <w:rPr>
          <w:rFonts w:ascii="Times New Roman" w:cs="Times New Roman" w:eastAsia="Times New Roman" w:hAnsi="Times New Roman"/>
          <w:sz w:val="20"/>
          <w:szCs w:val="20"/>
          <w:color w:val="auto"/>
        </w:rPr>
        <w:t>: The LTI RSUs award agreement shall include the double trigger accelerated vesting mechanism as set forth in the 2021 Plan and the agreements and Compensation Committee resolutions applicable to the Employee.</w:t>
      </w:r>
    </w:p>
    <w:p>
      <w:pPr>
        <w:spacing w:after="0" w:line="277"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 Period for Termination</w:t>
      </w:r>
    </w:p>
    <w:p>
      <w:pPr>
        <w:spacing w:after="0" w:line="125" w:lineRule="exact"/>
        <w:rPr>
          <w:sz w:val="20"/>
          <w:szCs w:val="20"/>
          <w:color w:val="auto"/>
        </w:rPr>
      </w:pPr>
    </w:p>
    <w:p>
      <w:pPr>
        <w:ind w:left="900" w:hanging="569"/>
        <w:spacing w:after="0" w:line="269" w:lineRule="auto"/>
        <w:tabs>
          <w:tab w:leader="none" w:pos="880" w:val="left"/>
        </w:tabs>
        <w:rPr>
          <w:sz w:val="20"/>
          <w:szCs w:val="20"/>
          <w:color w:val="auto"/>
        </w:rPr>
      </w:pPr>
      <w:r>
        <w:rPr>
          <w:rFonts w:ascii="Times New Roman" w:cs="Times New Roman" w:eastAsia="Times New Roman" w:hAnsi="Times New Roman"/>
          <w:sz w:val="20"/>
          <w:szCs w:val="20"/>
          <w:color w:val="auto"/>
        </w:rPr>
        <w:t>5.1.</w:t>
        <w:tab/>
        <w:t>The term of the Notice Period for the Employee’s termination of employment or resignation under this Agreement (herein,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shall be extended as follows:</w:t>
      </w:r>
    </w:p>
    <w:p>
      <w:pPr>
        <w:spacing w:after="0" w:line="65" w:lineRule="exact"/>
        <w:rPr>
          <w:sz w:val="20"/>
          <w:szCs w:val="20"/>
          <w:color w:val="auto"/>
        </w:rPr>
      </w:pPr>
    </w:p>
    <w:p>
      <w:pPr>
        <w:jc w:val="both"/>
        <w:ind w:left="1540" w:hanging="647"/>
        <w:spacing w:after="0" w:line="258" w:lineRule="auto"/>
        <w:tabs>
          <w:tab w:leader="none" w:pos="1520" w:val="left"/>
        </w:tabs>
        <w:rPr>
          <w:sz w:val="20"/>
          <w:szCs w:val="20"/>
          <w:color w:val="auto"/>
        </w:rPr>
      </w:pPr>
      <w:r>
        <w:rPr>
          <w:rFonts w:ascii="Times New Roman" w:cs="Times New Roman" w:eastAsia="Times New Roman" w:hAnsi="Times New Roman"/>
          <w:sz w:val="20"/>
          <w:szCs w:val="20"/>
          <w:color w:val="auto"/>
        </w:rPr>
        <w:t>5.1.1.</w:t>
        <w:tab/>
        <w:t>In the event of termination of the Term of Employment by the Company without Cause, the Employee shall be entitled to receive from the Company a 180-day advance written notice of termination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or a payment in lieu thereof (the In Lieu Payment as defined in Section 5.1.3 below); as the Company may elect at its sole and absolute discretion.</w:t>
      </w:r>
    </w:p>
    <w:p>
      <w:pPr>
        <w:spacing w:after="0" w:line="64" w:lineRule="exact"/>
        <w:rPr>
          <w:sz w:val="20"/>
          <w:szCs w:val="20"/>
          <w:color w:val="auto"/>
        </w:rPr>
      </w:pPr>
    </w:p>
    <w:p>
      <w:pPr>
        <w:jc w:val="both"/>
        <w:ind w:left="1540" w:hanging="647"/>
        <w:spacing w:after="0" w:line="276" w:lineRule="auto"/>
        <w:tabs>
          <w:tab w:leader="none" w:pos="152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color w:val="auto"/>
        </w:rPr>
        <w:t>In the event of resignation by the Employee, the Employee shall provide the Company a 180-day advance written notice of Termination (“</w:t>
      </w:r>
      <w:r>
        <w:rPr>
          <w:rFonts w:ascii="Times New Roman" w:cs="Times New Roman" w:eastAsia="Times New Roman" w:hAnsi="Times New Roman"/>
          <w:sz w:val="19"/>
          <w:szCs w:val="19"/>
          <w:b w:val="1"/>
          <w:bCs w:val="1"/>
          <w:color w:val="auto"/>
        </w:rPr>
        <w:t>Resignation Notice Period</w:t>
      </w:r>
      <w:r>
        <w:rPr>
          <w:rFonts w:ascii="Times New Roman" w:cs="Times New Roman" w:eastAsia="Times New Roman" w:hAnsi="Times New Roman"/>
          <w:sz w:val="19"/>
          <w:szCs w:val="19"/>
          <w:color w:val="auto"/>
        </w:rPr>
        <w:t>”), regardless of any employment-at-will provisions that may apply, where in such case, the Company may elect, at its sole discretion, to waive the Employee’s employment during such notice period (or any part thereof) and pay the Employee an In Lieu Payment in redemption thereof as set forth in Section 5.1.3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IL Employment Agmt - 2-11-2025</w:t>
      </w:r>
    </w:p>
    <w:p>
      <w:pPr>
        <w:sectPr>
          <w:pgSz w:w="11900" w:h="16838" w:orient="portrait"/>
          <w:cols w:equalWidth="0" w:num="1">
            <w:col w:w="11240"/>
          </w:cols>
          <w:pgMar w:left="320" w:top="121"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5.1.3.</w:t>
        <w:tab/>
        <w:t>During the Notice Period, whether notice has been given by the Employee or by the Company, the Employee shall continue to work unless instructed otherwise by the Company and shall cooperate with the Company in handing over his roles and responsibilities to his successor.</w:t>
      </w:r>
    </w:p>
    <w:p>
      <w:pPr>
        <w:spacing w:after="0" w:line="73" w:lineRule="exact"/>
        <w:rPr>
          <w:sz w:val="20"/>
          <w:szCs w:val="20"/>
          <w:color w:val="auto"/>
        </w:rPr>
      </w:pPr>
    </w:p>
    <w:p>
      <w:pPr>
        <w:jc w:val="both"/>
        <w:ind w:left="1540"/>
        <w:spacing w:after="0" w:line="264" w:lineRule="auto"/>
        <w:rPr>
          <w:sz w:val="20"/>
          <w:szCs w:val="20"/>
          <w:color w:val="auto"/>
        </w:rPr>
      </w:pPr>
      <w:r>
        <w:rPr>
          <w:rFonts w:ascii="Times New Roman" w:cs="Times New Roman" w:eastAsia="Times New Roman" w:hAnsi="Times New Roman"/>
          <w:sz w:val="19"/>
          <w:szCs w:val="19"/>
          <w:color w:val="auto"/>
        </w:rPr>
        <w:t>Notwithstanding the above, the Company shall be entitled, but not obligated, at any time prior to the expiration of the Notice Period or Resignation Notice Period, as the case may be, at its sole discretion, either: (i) to waive the Employee’s actual work during such period, in which event the Company shall continue to pay and award to the Employee all the payments, rights, and benefits under the Employment Agreement payable to the Employee during the remainder of the Notice Period or Resignation Notice Period (namely, unpaid Monthly Salary (including the allowances accrued thereupon or associated therewith), unused paid time off, unpaid expense reimbursements, and earned but unpaid Performance Based Compensation from prior fiscal years); or (ii) to immediately terminate the Employment Agreement and the employment relationship thereunder at any time prior to the expiration of the Notice Period or Resignation Notice Period, as the case may be, and pay the Employee all accrued obligation for such 180-days’ Notice Period from the surrender of the notice through the supposed date of termination but for the cash conversion in lieu of the Notice Period, namely, unpaid Monthly Salary (including the allowances accrued thereupon or associated therewith), unused paid time off, unpaid expense reimbursements, and earned but unpaid Performance Based Compensation from prior fiscal years; all, until the lapse of the notice period but for the cash conversion in lieu thereof) (collectively, the “</w:t>
      </w:r>
      <w:r>
        <w:rPr>
          <w:rFonts w:ascii="Times New Roman" w:cs="Times New Roman" w:eastAsia="Times New Roman" w:hAnsi="Times New Roman"/>
          <w:sz w:val="19"/>
          <w:szCs w:val="19"/>
          <w:b w:val="1"/>
          <w:bCs w:val="1"/>
          <w:color w:val="auto"/>
        </w:rPr>
        <w:t>In Lieu Payment</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jc w:val="both"/>
        <w:ind w:left="1540" w:hanging="647"/>
        <w:spacing w:after="0" w:line="249" w:lineRule="auto"/>
        <w:tabs>
          <w:tab w:leader="none" w:pos="1520" w:val="left"/>
        </w:tabs>
        <w:rPr>
          <w:sz w:val="20"/>
          <w:szCs w:val="20"/>
          <w:color w:val="auto"/>
        </w:rPr>
      </w:pPr>
      <w:r>
        <w:rPr>
          <w:rFonts w:ascii="Times New Roman" w:cs="Times New Roman" w:eastAsia="Times New Roman" w:hAnsi="Times New Roman"/>
          <w:sz w:val="20"/>
          <w:szCs w:val="20"/>
          <w:color w:val="auto"/>
        </w:rPr>
        <w:t>5.1.4.</w:t>
        <w:tab/>
        <w:t>In the event of a Corporate Transaction that triggers the “double-trigger” mechanisms included in the Employment Agreement and/or in the 2021 Kaltura, Inc. Incentive Award Plan and Israeli Sub-Plan (the “</w:t>
      </w:r>
      <w:r>
        <w:rPr>
          <w:rFonts w:ascii="Times New Roman" w:cs="Times New Roman" w:eastAsia="Times New Roman" w:hAnsi="Times New Roman"/>
          <w:sz w:val="20"/>
          <w:szCs w:val="20"/>
          <w:b w:val="1"/>
          <w:bCs w:val="1"/>
          <w:color w:val="auto"/>
        </w:rPr>
        <w:t>2021 Plan</w:t>
      </w:r>
      <w:r>
        <w:rPr>
          <w:rFonts w:ascii="Times New Roman" w:cs="Times New Roman" w:eastAsia="Times New Roman" w:hAnsi="Times New Roman"/>
          <w:sz w:val="20"/>
          <w:szCs w:val="20"/>
          <w:color w:val="auto"/>
        </w:rPr>
        <w:t>”) and/or any previous incentive award plan of the Company applicable to the Employee, including termination or resignation for Good Reasons in such circumstances, the Employee shall also be entitled to the respective portion of the Performance Based Compensation for the employment period at the current year at which the Termination occurs until the Effective Date of Termination plus the respective advance written notice period (i.e., either the Employee’s notice period due to resignation for Good Reason or the Company’s Notice Period due to termination by the Company, both, under the double-trigger mechanism, regardless redemption thereof through In Lieu Payment), even if such period shall end at the subsequent calendar/fiscal year (the “</w:t>
      </w:r>
      <w:r>
        <w:rPr>
          <w:rFonts w:ascii="Times New Roman" w:cs="Times New Roman" w:eastAsia="Times New Roman" w:hAnsi="Times New Roman"/>
          <w:sz w:val="20"/>
          <w:szCs w:val="20"/>
          <w:b w:val="1"/>
          <w:bCs w:val="1"/>
          <w:color w:val="auto"/>
        </w:rPr>
        <w:t>MBO Entitlement Period</w:t>
      </w:r>
      <w:r>
        <w:rPr>
          <w:rFonts w:ascii="Times New Roman" w:cs="Times New Roman" w:eastAsia="Times New Roman" w:hAnsi="Times New Roman"/>
          <w:sz w:val="20"/>
          <w:szCs w:val="20"/>
          <w:color w:val="auto"/>
        </w:rPr>
        <w:t>”). Except as specifically agreed otherwise, the measurement of the MBO KPIs attainment for the individual and Company goals with respect to the MBO Entitlement Period, and the calculation and payment of the respective Performance Based Compensation in respect thereof, shall be made upon the settlement of accounts at the Effective Date of Termination or In Lieu Payment, as applicable, based on the Company’s estimation of the then expected Company’s target results and proforma financial statements. In such a case, the respective Performance Based Compensation amount shall be so affixed by the Company at its sole discretion regardless of the actual results de facto, and in the absent of any manifest error, the Company’s calculation shall be deemed as final non-appealable calculation of the respective Performance Based Compensation amount.</w:t>
      </w:r>
    </w:p>
    <w:p>
      <w:pPr>
        <w:spacing w:after="0" w:line="97"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To dispel doubt, the above shall not derogate anything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IL Employment Agmt - 2-11-2025</w:t>
      </w:r>
    </w:p>
    <w:p>
      <w:pPr>
        <w:sectPr>
          <w:pgSz w:w="11900" w:h="16838" w:orient="portrait"/>
          <w:cols w:equalWidth="0" w:num="1">
            <w:col w:w="11240"/>
          </w:cols>
          <w:pgMar w:left="320" w:top="122"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5.2.1.</w:t>
        <w:tab/>
        <w:t>Any specific special terms relating to termination for Cause, and in any event of discrepancy or inconsistency between the provisions of such special termination terms for Cause and the standard regular provisions as set forth herein, the special provisions regarding Cause event shall prevail; and</w:t>
      </w:r>
    </w:p>
    <w:p>
      <w:pPr>
        <w:spacing w:after="0" w:line="73" w:lineRule="exact"/>
        <w:rPr>
          <w:sz w:val="20"/>
          <w:szCs w:val="20"/>
          <w:color w:val="auto"/>
        </w:rPr>
      </w:pPr>
    </w:p>
    <w:p>
      <w:pPr>
        <w:jc w:val="both"/>
        <w:ind w:left="1540" w:hanging="647"/>
        <w:spacing w:after="0" w:line="242" w:lineRule="auto"/>
        <w:tabs>
          <w:tab w:leader="none" w:pos="1520" w:val="left"/>
        </w:tabs>
        <w:rPr>
          <w:sz w:val="20"/>
          <w:szCs w:val="20"/>
          <w:color w:val="auto"/>
        </w:rPr>
      </w:pPr>
      <w:r>
        <w:rPr>
          <w:rFonts w:ascii="Times New Roman" w:cs="Times New Roman" w:eastAsia="Times New Roman" w:hAnsi="Times New Roman"/>
          <w:sz w:val="20"/>
          <w:szCs w:val="20"/>
          <w:color w:val="auto"/>
        </w:rPr>
        <w:t>5.2.2.</w:t>
        <w:tab/>
        <w:t>Any specific special terms referring to (i) Relocation as defined under the Kaltura, Inc. Relocation Policy and Executives Relocation Policy as approved by the Compensation Committee on November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2024, and the Board of Directors on November 20, 2024, to the extent applicable; (ii) Corporate Transactions, Change in Control, and “double trigger” mechanisms included and defined in the Employment Agreement (if included), the 2021 Plan and any previous incentive award plan of the Company applicable to the Employee; and (iii) any other particular arrangements;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terms under subsections (i), (ii) and (iii) above are more beneficiary to the Employee than the terms hereof. Accordingly, in any event of discrepancy or inconsistency between the provisions of such special terms and arrangements and the standard regular provisions as set forth in Section 5.1 herein, the employee-favorable conditions shall apply and the special provisions shall prevail inasmuch as they award more beneficial terms in such circumstances.</w:t>
      </w:r>
    </w:p>
    <w:p>
      <w:pPr>
        <w:spacing w:after="0" w:line="335"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25"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spacing w:after="0" w:line="70" w:lineRule="exact"/>
        <w:rPr>
          <w:rFonts w:ascii="Times New Roman" w:cs="Times New Roman" w:eastAsia="Times New Roman" w:hAnsi="Times New Roman"/>
          <w:sz w:val="20"/>
          <w:szCs w:val="20"/>
          <w:color w:val="auto"/>
        </w:rPr>
      </w:pPr>
    </w:p>
    <w:p>
      <w:pPr>
        <w:ind w:left="820" w:hanging="486"/>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 This Amendment may be executed in one or more counterparts, each of which shall be deemed an original, but all of which together shall constitute one and the same instrument.</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as of the date first hereinabove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Kaltura Ltd.</w:t>
            </w: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spacing w:after="0"/>
              <w:rPr>
                <w:sz w:val="24"/>
                <w:szCs w:val="24"/>
                <w:color w:val="auto"/>
              </w:rPr>
            </w:pP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Sigal Srur</w:t>
            </w:r>
          </w:p>
        </w:tc>
        <w:tc>
          <w:tcPr>
            <w:tcW w:w="14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Ron Yekutiel</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Human Resources Officer</w:t>
            </w: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IL Employment Agmt - 2-11-2025</w:t>
      </w:r>
    </w:p>
    <w:p>
      <w:pPr>
        <w:sectPr>
          <w:pgSz w:w="11900" w:h="16838" w:orient="portrait"/>
          <w:cols w:equalWidth="0" w:num="1">
            <w:col w:w="11240"/>
          </w:cols>
          <w:pgMar w:left="320" w:top="122" w:right="339" w:bottom="1440" w:gutter="0" w:footer="0" w:header="0"/>
        </w:sectPr>
      </w:pPr>
    </w:p>
    <w:bookmarkStart w:id="154" w:name="page155"/>
    <w:bookmarkEnd w:id="154"/>
    <w:p>
      <w:pPr>
        <w:jc w:val="right"/>
        <w:ind w:right="435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Attachments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- 2025 Executive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IL Employment Agmt - 2-11-2025</w:t>
      </w:r>
    </w:p>
    <w:p>
      <w:pPr>
        <w:sectPr>
          <w:pgSz w:w="11900" w:h="16838" w:orient="portrait"/>
          <w:cols w:equalWidth="0" w:num="1">
            <w:col w:w="10139"/>
          </w:cols>
          <w:pgMar w:left="320" w:top="122" w:right="144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Consultancy Agreement</w:t>
      </w:r>
    </w:p>
    <w:p>
      <w:pPr>
        <w:spacing w:after="0" w:line="337" w:lineRule="exact"/>
        <w:rPr>
          <w:sz w:val="20"/>
          <w:szCs w:val="20"/>
          <w:color w:val="auto"/>
        </w:rPr>
      </w:pPr>
    </w:p>
    <w:p>
      <w:pPr>
        <w:jc w:val="both"/>
        <w:ind w:firstLine="259"/>
        <w:spacing w:after="0" w:line="221" w:lineRule="auto"/>
        <w:rPr>
          <w:sz w:val="20"/>
          <w:szCs w:val="20"/>
          <w:color w:val="auto"/>
        </w:rPr>
      </w:pPr>
      <w:r>
        <w:rPr>
          <w:rFonts w:ascii="Times New Roman" w:cs="Times New Roman" w:eastAsia="Times New Roman" w:hAnsi="Times New Roman"/>
          <w:sz w:val="20"/>
          <w:szCs w:val="20"/>
          <w:color w:val="auto"/>
        </w:rPr>
        <w:t>This AMENDMENT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that certain Consultancy Agreement (as defined below), is made and entered into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2025, by and between </w:t>
      </w:r>
      <w:r>
        <w:rPr>
          <w:rFonts w:ascii="Times New Roman" w:cs="Times New Roman" w:eastAsia="Times New Roman" w:hAnsi="Times New Roman"/>
          <w:sz w:val="20"/>
          <w:szCs w:val="20"/>
          <w:b w:val="1"/>
          <w:bCs w:val="1"/>
          <w:color w:val="auto"/>
        </w:rPr>
        <w:t>Kaltura, Inc.</w:t>
      </w:r>
      <w:r>
        <w:rPr>
          <w:rFonts w:ascii="Times New Roman" w:cs="Times New Roman" w:eastAsia="Times New Roman" w:hAnsi="Times New Roman"/>
          <w:sz w:val="20"/>
          <w:szCs w:val="20"/>
          <w:color w:val="auto"/>
        </w:rPr>
        <w:t>, a Delaware corporation of 860 Broadway,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Floor, New York, NY 10003, USA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Client</w:t>
      </w:r>
      <w:r>
        <w:rPr>
          <w:rFonts w:ascii="Times New Roman" w:cs="Times New Roman" w:eastAsia="Times New Roman" w:hAnsi="Times New Roman"/>
          <w:sz w:val="20"/>
          <w:szCs w:val="20"/>
          <w:color w:val="auto"/>
        </w:rPr>
        <w:t>”) and Mr. Ron Yekutiel (the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Each of the above is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1300" w:hanging="1295"/>
        <w:spacing w:after="0" w:line="239"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Parties have entered into a Consultancy agreement dated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2018, in connection with the grant of certain management consulting services by the Consultant to the Company, as from time to time amended (the said agreement, together with all the exhibits, attachments and addendums thereto, and any amendments hereto or thereto in accordance with the provisions thereof or hereof, shall be referred to herein as the “</w:t>
      </w:r>
      <w:r>
        <w:rPr>
          <w:rFonts w:ascii="Times New Roman" w:cs="Times New Roman" w:eastAsia="Times New Roman" w:hAnsi="Times New Roman"/>
          <w:sz w:val="20"/>
          <w:szCs w:val="20"/>
          <w:b w:val="1"/>
          <w:bCs w:val="1"/>
          <w:color w:val="auto"/>
        </w:rPr>
        <w:t>Consultancy Agreement</w:t>
      </w:r>
      <w:r>
        <w:rPr>
          <w:rFonts w:ascii="Times New Roman" w:cs="Times New Roman" w:eastAsia="Times New Roman" w:hAnsi="Times New Roman"/>
          <w:sz w:val="20"/>
          <w:szCs w:val="20"/>
          <w:color w:val="auto"/>
        </w:rPr>
        <w:t>”); and</w:t>
      </w:r>
    </w:p>
    <w:p>
      <w:pPr>
        <w:spacing w:after="0" w:line="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wish to amend the Consultancy Agreement in accordance with the terms herewith;</w:t>
      </w:r>
    </w:p>
    <w:p>
      <w:pPr>
        <w:spacing w:after="0" w:line="200" w:lineRule="exact"/>
        <w:rPr>
          <w:sz w:val="20"/>
          <w:szCs w:val="20"/>
          <w:color w:val="auto"/>
        </w:rPr>
      </w:pPr>
    </w:p>
    <w:p>
      <w:pPr>
        <w:spacing w:after="0" w:line="23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mutual agreements and covenants contained in this Amendment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 adequacy of which are hereby mutually acknowledged), each of the Parties hereby agree as follows:</w:t>
      </w:r>
    </w:p>
    <w:p>
      <w:pPr>
        <w:spacing w:after="0" w:line="310"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 and Interpretation</w:t>
      </w:r>
    </w:p>
    <w:p>
      <w:pPr>
        <w:spacing w:after="0" w:line="111" w:lineRule="exact"/>
        <w:rPr>
          <w:rFonts w:ascii="Times New Roman" w:cs="Times New Roman" w:eastAsia="Times New Roman" w:hAnsi="Times New Roman"/>
          <w:sz w:val="20"/>
          <w:szCs w:val="20"/>
          <w:color w:val="auto"/>
        </w:rPr>
      </w:pPr>
    </w:p>
    <w:p>
      <w:pPr>
        <w:ind w:left="900" w:hanging="57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Capitalized terms used but not otherwise defined herein have the respective meanings set forth in the Consultancy Agreement. All capitalized terms used but not defined hereinabove or in the Consultancy Agreement, shall have the meaning ascribed for them as in the recitals or as hereinbelow defined.</w:t>
      </w:r>
    </w:p>
    <w:p>
      <w:pPr>
        <w:spacing w:after="0" w:line="73"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The preface to this Amendment constitutes an indivisible and integral part thereof.</w:t>
      </w:r>
    </w:p>
    <w:p>
      <w:pPr>
        <w:spacing w:after="0" w:line="121" w:lineRule="exact"/>
        <w:rPr>
          <w:rFonts w:ascii="Times New Roman" w:cs="Times New Roman" w:eastAsia="Times New Roman" w:hAnsi="Times New Roman"/>
          <w:sz w:val="20"/>
          <w:szCs w:val="20"/>
          <w:color w:val="auto"/>
        </w:rPr>
      </w:pPr>
    </w:p>
    <w:p>
      <w:pPr>
        <w:ind w:left="900" w:hanging="57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The provisions of this Amendment are in addition to, and in amendment of, the provisions of the Consultancy Agreement and in the event of any discrepancy or inconsistency between the provisions of the Consultancy Agreement and the provisions of this Amendment, the provisions of this Amendment shall prevail. Any reference in the Consultancy Agreement or herein to “this Agreement” shall mean the Consultancy Agreement as amended by this Amendment.</w:t>
      </w:r>
    </w:p>
    <w:p>
      <w:pPr>
        <w:spacing w:after="0" w:line="31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125" w:lineRule="exact"/>
        <w:rPr>
          <w:rFonts w:ascii="Times New Roman" w:cs="Times New Roman" w:eastAsia="Times New Roman" w:hAnsi="Times New Roman"/>
          <w:sz w:val="20"/>
          <w:szCs w:val="20"/>
          <w:color w:val="auto"/>
        </w:rPr>
      </w:pPr>
    </w:p>
    <w:p>
      <w:pPr>
        <w:ind w:left="820" w:hanging="486"/>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The Employee’s entitlement to an annual Bonus for the calendar year of 2025 shall be determined, for such year only, on the basis of the Employee’s and the Company’s attainment of certain goals and objectives defined by the Company, which are set forth in the Employee’s annual bonus plan according to the Company’s 2025 Executive Compensation Plan as approved by its Compensation Committee on or about January 6, 2025, a summary of which is enclosed as </w:t>
      </w:r>
      <w:r>
        <w:rPr>
          <w:rFonts w:ascii="Times New Roman" w:cs="Times New Roman" w:eastAsia="Times New Roman" w:hAnsi="Times New Roman"/>
          <w:sz w:val="20"/>
          <w:szCs w:val="20"/>
          <w:b w:val="1"/>
          <w:bCs w:val="1"/>
          <w:u w:val="single" w:color="auto"/>
          <w:color w:val="auto"/>
        </w:rPr>
        <w:t>Annex A</w:t>
      </w:r>
      <w:r>
        <w:rPr>
          <w:rFonts w:ascii="Times New Roman" w:cs="Times New Roman" w:eastAsia="Times New Roman" w:hAnsi="Times New Roman"/>
          <w:sz w:val="20"/>
          <w:szCs w:val="20"/>
          <w:color w:val="auto"/>
        </w:rPr>
        <w:t xml:space="preserve"> hereof, and as shall further be determined and approved by Kaltura, Inc.’s (the parent company of the Company) Compensation Committee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and Kaltura, Inc.’s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respect to the 2025 individual OKRs and performance targets and goals (the “</w:t>
      </w:r>
      <w:r>
        <w:rPr>
          <w:rFonts w:ascii="Times New Roman" w:cs="Times New Roman" w:eastAsia="Times New Roman" w:hAnsi="Times New Roman"/>
          <w:sz w:val="20"/>
          <w:szCs w:val="20"/>
          <w:b w:val="1"/>
          <w:bCs w:val="1"/>
          <w:color w:val="auto"/>
        </w:rPr>
        <w:t>2025 Executive Compensation Plan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US Consultancy Agmt - 2-10-2025</w:t>
      </w:r>
    </w:p>
    <w:p>
      <w:pPr>
        <w:sectPr>
          <w:pgSz w:w="11900" w:h="16838" w:orient="portrait"/>
          <w:cols w:equalWidth="0" w:num="1">
            <w:col w:w="11240"/>
          </w:cols>
          <w:pgMar w:left="320" w:top="1395" w:right="3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Accordingly, subject to the successive Subsections of this Section 2, the 2025 annual Bonus shall be as follows:</w:t>
      </w:r>
    </w:p>
    <w:p>
      <w:pPr>
        <w:spacing w:after="0" w:line="108" w:lineRule="exact"/>
        <w:rPr>
          <w:sz w:val="20"/>
          <w:szCs w:val="20"/>
          <w:color w:val="auto"/>
        </w:rPr>
      </w:pPr>
    </w:p>
    <w:p>
      <w:pPr>
        <w:jc w:val="both"/>
        <w:ind w:left="1460" w:hanging="647"/>
        <w:spacing w:after="0" w:line="258" w:lineRule="auto"/>
        <w:tabs>
          <w:tab w:leader="none" w:pos="1440" w:val="left"/>
        </w:tabs>
        <w:rPr>
          <w:sz w:val="20"/>
          <w:szCs w:val="20"/>
          <w:color w:val="auto"/>
        </w:rPr>
      </w:pPr>
      <w:r>
        <w:rPr>
          <w:rFonts w:ascii="Times New Roman" w:cs="Times New Roman" w:eastAsia="Times New Roman" w:hAnsi="Times New Roman"/>
          <w:sz w:val="20"/>
          <w:szCs w:val="20"/>
          <w:color w:val="auto"/>
        </w:rPr>
        <w:t>2.1.1.</w:t>
        <w:tab/>
        <w:t xml:space="preserve">The potential maximum annual Bonus with respect to 100% attainment, satisfaction and performance against the 2025 Executive Compensation Plan’s targets and thresholds (namely, Individual Objectives and Company Financial Goals KPIs and OKRs) as elaborated in the 2025 Executive Compensation Plan, shall equal under this Agreement the gross amount of </w:t>
      </w:r>
      <w:r>
        <w:rPr>
          <w:rFonts w:ascii="Times New Roman" w:cs="Times New Roman" w:eastAsia="Times New Roman" w:hAnsi="Times New Roman"/>
          <w:sz w:val="20"/>
          <w:szCs w:val="20"/>
          <w:b w:val="1"/>
          <w:bCs w:val="1"/>
          <w:color w:val="auto"/>
        </w:rPr>
        <w:t xml:space="preserve">USD 42,500 </w:t>
      </w:r>
      <w:r>
        <w:rPr>
          <w:rFonts w:ascii="Times New Roman" w:cs="Times New Roman" w:eastAsia="Times New Roman" w:hAnsi="Times New Roman"/>
          <w:sz w:val="20"/>
          <w:szCs w:val="20"/>
          <w:color w:val="auto"/>
        </w:rPr>
        <w:t>(herein, the “</w:t>
      </w:r>
      <w:r>
        <w:rPr>
          <w:rFonts w:ascii="Times New Roman" w:cs="Times New Roman" w:eastAsia="Times New Roman" w:hAnsi="Times New Roman"/>
          <w:sz w:val="20"/>
          <w:szCs w:val="20"/>
          <w:b w:val="1"/>
          <w:bCs w:val="1"/>
          <w:color w:val="auto"/>
        </w:rPr>
        <w:t>Base OTB</w:t>
      </w:r>
      <w:r>
        <w:rPr>
          <w:rFonts w:ascii="Times New Roman" w:cs="Times New Roman" w:eastAsia="Times New Roman" w:hAnsi="Times New Roman"/>
          <w:sz w:val="20"/>
          <w:szCs w:val="20"/>
          <w:color w:val="auto"/>
        </w:rPr>
        <w:t>”).</w:t>
      </w:r>
    </w:p>
    <w:p>
      <w:pPr>
        <w:spacing w:after="0" w:line="74"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2.1.2.</w:t>
        <w:tab/>
        <w:t>The potential maximum annual additional stretch bonus for overachievement against such goals (&gt;100%) (the “</w:t>
      </w:r>
      <w:r>
        <w:rPr>
          <w:rFonts w:ascii="Times New Roman" w:cs="Times New Roman" w:eastAsia="Times New Roman" w:hAnsi="Times New Roman"/>
          <w:sz w:val="20"/>
          <w:szCs w:val="20"/>
          <w:b w:val="1"/>
          <w:bCs w:val="1"/>
          <w:color w:val="auto"/>
        </w:rPr>
        <w:t>Stretch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is still subject to the determination and approval of the metrics by the Compensation Committee and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Based on past year’s metrics, if approved for 2025, the potential Stretch Bonus under this Agreement is expected to equal the gross amount of up to </w:t>
      </w:r>
      <w:r>
        <w:rPr>
          <w:rFonts w:ascii="Times New Roman" w:cs="Times New Roman" w:eastAsia="Times New Roman" w:hAnsi="Times New Roman"/>
          <w:sz w:val="20"/>
          <w:szCs w:val="20"/>
          <w:b w:val="1"/>
          <w:bCs w:val="1"/>
          <w:color w:val="auto"/>
        </w:rPr>
        <w:t>USD 63,750</w:t>
      </w:r>
      <w:r>
        <w:rPr>
          <w:rFonts w:ascii="Times New Roman" w:cs="Times New Roman" w:eastAsia="Times New Roman" w:hAnsi="Times New Roman"/>
          <w:sz w:val="20"/>
          <w:szCs w:val="20"/>
          <w:color w:val="auto"/>
        </w:rPr>
        <w:t xml:space="preserve"> (which amount is the product of a Stretch Bonus of 137.5% of the total Base OTB of the Employee under all instruments pursuant to the 2025 Executive Compensation Plan, divided by three); however, the final amount shall be determined by the Compensation Committee and the Board at their sole discretion.</w:t>
      </w:r>
    </w:p>
    <w:p>
      <w:pPr>
        <w:spacing w:after="0" w:line="69" w:lineRule="exact"/>
        <w:rPr>
          <w:sz w:val="20"/>
          <w:szCs w:val="20"/>
          <w:color w:val="auto"/>
        </w:rPr>
      </w:pPr>
    </w:p>
    <w:p>
      <w:pPr>
        <w:ind w:left="820" w:right="20" w:hanging="485"/>
        <w:spacing w:after="0" w:line="283" w:lineRule="auto"/>
        <w:tabs>
          <w:tab w:leader="none" w:pos="800" w:val="left"/>
        </w:tabs>
        <w:rPr>
          <w:sz w:val="20"/>
          <w:szCs w:val="20"/>
          <w:color w:val="auto"/>
        </w:rPr>
      </w:pPr>
      <w:r>
        <w:rPr>
          <w:rFonts w:ascii="Times New Roman" w:cs="Times New Roman" w:eastAsia="Times New Roman" w:hAnsi="Times New Roman"/>
          <w:sz w:val="20"/>
          <w:szCs w:val="20"/>
          <w:color w:val="auto"/>
        </w:rPr>
        <w:t>2.2.</w:t>
        <w:tab/>
        <w:t>All Bonus payments, if any, shall be subject to all mandatory withholdings and deductions, and shall be deemed to be quoted in gross figures.</w:t>
      </w:r>
    </w:p>
    <w:p>
      <w:pPr>
        <w:spacing w:after="0" w:line="291"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 Period for Termination</w:t>
      </w:r>
    </w:p>
    <w:p>
      <w:pPr>
        <w:spacing w:after="0" w:line="112" w:lineRule="exact"/>
        <w:rPr>
          <w:sz w:val="20"/>
          <w:szCs w:val="20"/>
          <w:color w:val="auto"/>
        </w:rPr>
      </w:pPr>
    </w:p>
    <w:p>
      <w:pPr>
        <w:ind w:left="900" w:hanging="569"/>
        <w:spacing w:after="0" w:line="283" w:lineRule="auto"/>
        <w:tabs>
          <w:tab w:leader="none" w:pos="880" w:val="left"/>
        </w:tabs>
        <w:rPr>
          <w:sz w:val="20"/>
          <w:szCs w:val="20"/>
          <w:color w:val="auto"/>
        </w:rPr>
      </w:pPr>
      <w:r>
        <w:rPr>
          <w:rFonts w:ascii="Times New Roman" w:cs="Times New Roman" w:eastAsia="Times New Roman" w:hAnsi="Times New Roman"/>
          <w:sz w:val="20"/>
          <w:szCs w:val="20"/>
          <w:color w:val="auto"/>
        </w:rPr>
        <w:t>3.1.</w:t>
        <w:tab/>
        <w:t>The term of the Notice Period for the Consultant’s termination of service by either Party under this Consultancy Agreement (herein,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shall be extended as follows:</w:t>
      </w:r>
    </w:p>
    <w:p>
      <w:pPr>
        <w:spacing w:after="0" w:line="38"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3.1.1.</w:t>
        <w:tab/>
        <w:t>In the event of termination of the Agreement by the Company without Cause, the Consultant shall be entitled to receive from the Company a 180-day advance written notice of termination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or a payment in lieu thereof (the In Lieu Payment as defined in Section 3.1.3 below); as the Company may elect at its sole and absolute discretion.</w:t>
      </w:r>
    </w:p>
    <w:p>
      <w:pPr>
        <w:spacing w:after="0" w:line="73" w:lineRule="exact"/>
        <w:rPr>
          <w:sz w:val="20"/>
          <w:szCs w:val="20"/>
          <w:color w:val="auto"/>
        </w:rPr>
      </w:pPr>
    </w:p>
    <w:p>
      <w:pPr>
        <w:jc w:val="both"/>
        <w:ind w:left="1540" w:hanging="647"/>
        <w:spacing w:after="0" w:line="253" w:lineRule="auto"/>
        <w:tabs>
          <w:tab w:leader="none" w:pos="1520" w:val="left"/>
        </w:tabs>
        <w:rPr>
          <w:sz w:val="20"/>
          <w:szCs w:val="20"/>
          <w:color w:val="auto"/>
        </w:rPr>
      </w:pPr>
      <w:r>
        <w:rPr>
          <w:rFonts w:ascii="Times New Roman" w:cs="Times New Roman" w:eastAsia="Times New Roman" w:hAnsi="Times New Roman"/>
          <w:sz w:val="20"/>
          <w:szCs w:val="20"/>
          <w:color w:val="auto"/>
        </w:rPr>
        <w:t>3.1.2.</w:t>
        <w:tab/>
        <w:t>In the event of termination of the Agreement by the Consultant, the Consultant shall provide the Company a 180-day advance written notice of Termination (“</w:t>
      </w:r>
      <w:r>
        <w:rPr>
          <w:rFonts w:ascii="Times New Roman" w:cs="Times New Roman" w:eastAsia="Times New Roman" w:hAnsi="Times New Roman"/>
          <w:sz w:val="20"/>
          <w:szCs w:val="20"/>
          <w:b w:val="1"/>
          <w:bCs w:val="1"/>
          <w:color w:val="auto"/>
        </w:rPr>
        <w:t>Consultant’s Termination Notice Period</w:t>
      </w:r>
      <w:r>
        <w:rPr>
          <w:rFonts w:ascii="Times New Roman" w:cs="Times New Roman" w:eastAsia="Times New Roman" w:hAnsi="Times New Roman"/>
          <w:sz w:val="20"/>
          <w:szCs w:val="20"/>
          <w:color w:val="auto"/>
        </w:rPr>
        <w:t>”), regardless of any service-at-will provisions that may apply, where in such case, the Company may elect, at its sole discretion, to waive the Consultant’s grant of Services during such notice period (or any part thereof) and pay the Consultant an In Lieu Payment in redemption thereof as set forth in Section 3.1.3 below.</w:t>
      </w:r>
    </w:p>
    <w:p>
      <w:pPr>
        <w:spacing w:after="0" w:line="84"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3.1.3.</w:t>
        <w:tab/>
        <w:t>During the Notice Period, whether notice has been given by the Consultant or by the Company, the Consultant shall continue to render the Services unless instructed otherwise by the Company and shall cooperate with the Company in transferring the rendering and performance of the Services to his successor.</w:t>
      </w:r>
    </w:p>
    <w:p>
      <w:pPr>
        <w:spacing w:after="0" w:line="73" w:lineRule="exact"/>
        <w:rPr>
          <w:sz w:val="20"/>
          <w:szCs w:val="20"/>
          <w:color w:val="auto"/>
        </w:rPr>
      </w:pPr>
    </w:p>
    <w:p>
      <w:pPr>
        <w:jc w:val="both"/>
        <w:ind w:left="1540"/>
        <w:spacing w:after="0" w:line="258" w:lineRule="auto"/>
        <w:rPr>
          <w:sz w:val="20"/>
          <w:szCs w:val="20"/>
          <w:color w:val="auto"/>
        </w:rPr>
      </w:pPr>
      <w:r>
        <w:rPr>
          <w:rFonts w:ascii="Times New Roman" w:cs="Times New Roman" w:eastAsia="Times New Roman" w:hAnsi="Times New Roman"/>
          <w:sz w:val="20"/>
          <w:szCs w:val="20"/>
          <w:color w:val="auto"/>
        </w:rPr>
        <w:t>Notwithstanding the above, the Company shall be entitled, but not obligated, at any time prior to the expiration of the Notice Period or Consultant’s Termination Notice Period, as the case may be, at its sole discretion, either: (i) to waive the Consultant’s actual grant of Services during such period, in which event the Company shall continue to pay and award to the Consultant all the payments, rights, and benefits under the Agreement payable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US Consultancy Agmt - 2-10-2025</w:t>
      </w:r>
    </w:p>
    <w:p>
      <w:pPr>
        <w:sectPr>
          <w:pgSz w:w="11900" w:h="16838" w:orient="portrait"/>
          <w:cols w:equalWidth="0" w:num="1">
            <w:col w:w="11240"/>
          </w:cols>
          <w:pgMar w:left="320" w:top="122"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540"/>
        <w:spacing w:after="0" w:line="251" w:lineRule="auto"/>
        <w:rPr>
          <w:sz w:val="20"/>
          <w:szCs w:val="20"/>
          <w:color w:val="auto"/>
        </w:rPr>
      </w:pPr>
      <w:r>
        <w:rPr>
          <w:rFonts w:ascii="Times New Roman" w:cs="Times New Roman" w:eastAsia="Times New Roman" w:hAnsi="Times New Roman"/>
          <w:sz w:val="20"/>
          <w:szCs w:val="20"/>
          <w:color w:val="auto"/>
        </w:rPr>
        <w:t>Consultant during the remainder of the Notice Period or Consultant’s Termination Notice Period (namely, unpaid Monthly Fee, unpaid expense reimbursements, and earned but unpaid performance Bonus from prior fiscal years); or (ii) to immediately terminate the Agreement at any time prior to the expiration of the Notice Period or Consultant’s Termination Notice Period, as the case may be, and pay the Consultant all accrued obligation for such 180-days’ Notice Period from the surrender of the notice through the supposed date of termination but for the cash conversion in lieu of the Notice Period, namely, unpaid Monthly Fee, unpaid expense reimbursements, and earned but unpaid performance Bonus from prior fiscal years; all, until the lapse of the notice period but for the cash conversion in lieu thereof) (collectively, the “</w:t>
      </w:r>
      <w:r>
        <w:rPr>
          <w:rFonts w:ascii="Times New Roman" w:cs="Times New Roman" w:eastAsia="Times New Roman" w:hAnsi="Times New Roman"/>
          <w:sz w:val="20"/>
          <w:szCs w:val="20"/>
          <w:b w:val="1"/>
          <w:bCs w:val="1"/>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Lieu Payment</w:t>
      </w:r>
      <w:r>
        <w:rPr>
          <w:rFonts w:ascii="Times New Roman" w:cs="Times New Roman" w:eastAsia="Times New Roman" w:hAnsi="Times New Roman"/>
          <w:sz w:val="20"/>
          <w:szCs w:val="20"/>
          <w:color w:val="auto"/>
        </w:rPr>
        <w:t>”).</w:t>
      </w:r>
    </w:p>
    <w:p>
      <w:pPr>
        <w:spacing w:after="0" w:line="87" w:lineRule="exact"/>
        <w:rPr>
          <w:sz w:val="20"/>
          <w:szCs w:val="20"/>
          <w:color w:val="auto"/>
        </w:rPr>
      </w:pPr>
    </w:p>
    <w:p>
      <w:pPr>
        <w:jc w:val="both"/>
        <w:ind w:left="1540" w:hanging="647"/>
        <w:spacing w:after="0" w:line="263" w:lineRule="auto"/>
        <w:tabs>
          <w:tab w:leader="none" w:pos="152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In the event of a Corporate Transaction that triggers the “double-trigger” mechanisms included in the Consultancy Agreement and/or in the 2021 Kaltura, Inc. Incentive Award Plan (the “</w:t>
      </w:r>
      <w:r>
        <w:rPr>
          <w:rFonts w:ascii="Times New Roman" w:cs="Times New Roman" w:eastAsia="Times New Roman" w:hAnsi="Times New Roman"/>
          <w:sz w:val="19"/>
          <w:szCs w:val="19"/>
          <w:b w:val="1"/>
          <w:bCs w:val="1"/>
          <w:color w:val="auto"/>
        </w:rPr>
        <w:t>2021 Plan</w:t>
      </w:r>
      <w:r>
        <w:rPr>
          <w:rFonts w:ascii="Times New Roman" w:cs="Times New Roman" w:eastAsia="Times New Roman" w:hAnsi="Times New Roman"/>
          <w:sz w:val="19"/>
          <w:szCs w:val="19"/>
          <w:color w:val="auto"/>
        </w:rPr>
        <w:t>”) and/or any previous incentive award plan of the Company applicable to the Consultant, including termination by either Party for Good Reasons in such circumstances, the Consultant shall also be entitled to the respective portion of the performance Bonus for the service period at the current year at which the Termination occurs until the Effective Date of Termination plus the respective advance written notice period (i.e., either the Consultant’s notice period for Good Reason or the Company’s Notice Period due to termination by the Company, both, under the double-trigger mechanism, regardless redemption thereof through In Lieu Payment), even if such period shall end at the subsequent calendar/fiscal year (the “</w:t>
      </w:r>
      <w:r>
        <w:rPr>
          <w:rFonts w:ascii="Times New Roman" w:cs="Times New Roman" w:eastAsia="Times New Roman" w:hAnsi="Times New Roman"/>
          <w:sz w:val="19"/>
          <w:szCs w:val="19"/>
          <w:b w:val="1"/>
          <w:bCs w:val="1"/>
          <w:color w:val="auto"/>
        </w:rPr>
        <w:t>MBO Entitlement Period</w:t>
      </w:r>
      <w:r>
        <w:rPr>
          <w:rFonts w:ascii="Times New Roman" w:cs="Times New Roman" w:eastAsia="Times New Roman" w:hAnsi="Times New Roman"/>
          <w:sz w:val="19"/>
          <w:szCs w:val="19"/>
          <w:color w:val="auto"/>
        </w:rPr>
        <w:t>”). Except as specifically agreed otherwise, the measurement of the MBO KPIs attainment for the individual and Company goals with respect to the MBO Entitlement Period, and the calculation and payment of the respective performance Bonus in respect thereof, shall be made upon the settlement of accounts at the Effective Date of Termination or In Lieu Payment, as applicable, based on the Company’s estimation of the then expected Company’s target results and proforma financial statements. In such a case, the respective performance Bonus amount shall be so affixed by the Company at its sole discretion regardless of the actual results de facto, and in the absent of any manifest error, the Company’s calculation shall be deemed as final non-appealable calculation of the respective performance Bonus amount.</w:t>
      </w:r>
    </w:p>
    <w:p>
      <w:pPr>
        <w:spacing w:after="0" w:line="67"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To dispel doubt, the above shall not derogate anything from:</w:t>
      </w:r>
    </w:p>
    <w:p>
      <w:pPr>
        <w:spacing w:after="0" w:line="121"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3.2.1.</w:t>
        <w:tab/>
        <w:t>Any specific special terms relating to termination for Cause, and in any event of discrepancy or inconsistency between the provisions of such special termination terms for Cause and the standard regular provisions as set forth herein, the special provisions regarding Cause event shall prevail; and</w:t>
      </w:r>
    </w:p>
    <w:p>
      <w:pPr>
        <w:spacing w:after="0" w:line="73" w:lineRule="exact"/>
        <w:rPr>
          <w:sz w:val="20"/>
          <w:szCs w:val="20"/>
          <w:color w:val="auto"/>
        </w:rPr>
      </w:pPr>
    </w:p>
    <w:p>
      <w:pPr>
        <w:jc w:val="both"/>
        <w:ind w:left="1540" w:hanging="647"/>
        <w:spacing w:after="0" w:line="243" w:lineRule="auto"/>
        <w:tabs>
          <w:tab w:leader="none" w:pos="1520" w:val="left"/>
        </w:tabs>
        <w:rPr>
          <w:sz w:val="20"/>
          <w:szCs w:val="20"/>
          <w:color w:val="auto"/>
        </w:rPr>
      </w:pPr>
      <w:r>
        <w:rPr>
          <w:rFonts w:ascii="Times New Roman" w:cs="Times New Roman" w:eastAsia="Times New Roman" w:hAnsi="Times New Roman"/>
          <w:sz w:val="20"/>
          <w:szCs w:val="20"/>
          <w:color w:val="auto"/>
        </w:rPr>
        <w:t>3.2.2.</w:t>
        <w:tab/>
        <w:t>Any specific special terms referring to (i) Relocation as defined under the Company’s Relocation Policy and Executives Relocation Policy as approved by the Company’s Compensation Committee on November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2024, and the Company’s Board of Directors on November 20, 2024, to the extent applicable; (ii) Corporate Transactions, Change in Control, and “double trigger” mechanisms included and defined in the Consultancy Agreement (if included), the 2021 Plan and any previous incentive award plan of the Company applicable to the Consultant; and (iii) any other particular arrangements;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terms under subsections (i), (ii) and (iii) above are more beneficiary to the Consultant than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hereof. Accordingly, in any event of discrepancy or inconsistency between the provisions of such special terms and arrangements and the standard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US Consultancy Agmt - 2-10-2025</w:t>
      </w:r>
    </w:p>
    <w:p>
      <w:pPr>
        <w:sectPr>
          <w:pgSz w:w="11900" w:h="16838" w:orient="portrait"/>
          <w:cols w:equalWidth="0" w:num="1">
            <w:col w:w="11240"/>
          </w:cols>
          <w:pgMar w:left="320" w:top="122"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40"/>
        <w:spacing w:after="0" w:line="269" w:lineRule="auto"/>
        <w:rPr>
          <w:sz w:val="20"/>
          <w:szCs w:val="20"/>
          <w:color w:val="auto"/>
        </w:rPr>
      </w:pPr>
      <w:r>
        <w:rPr>
          <w:rFonts w:ascii="Times New Roman" w:cs="Times New Roman" w:eastAsia="Times New Roman" w:hAnsi="Times New Roman"/>
          <w:sz w:val="20"/>
          <w:szCs w:val="20"/>
          <w:color w:val="auto"/>
        </w:rPr>
        <w:t>provisions as set forth in Section 3.1 herein, the Consultant-favorable conditions shall apply and the special provisions shall prevail inasmuch as they award more beneficial terms in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25"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 The Consultancy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Consultancy Agreement as one agreement and, save as expressly amended by this Amendment, the Consultancy Agreement shall remain unaltered and in full force and effect.</w:t>
      </w:r>
    </w:p>
    <w:p>
      <w:pPr>
        <w:spacing w:after="0" w:line="83" w:lineRule="exact"/>
        <w:rPr>
          <w:rFonts w:ascii="Times New Roman" w:cs="Times New Roman" w:eastAsia="Times New Roman" w:hAnsi="Times New Roman"/>
          <w:sz w:val="20"/>
          <w:szCs w:val="20"/>
          <w:color w:val="auto"/>
        </w:rPr>
      </w:pPr>
    </w:p>
    <w:p>
      <w:pPr>
        <w:ind w:left="820" w:hanging="486"/>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 This Amendment may be executed in one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as of the date first hereinabove set forth:</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Kaltura, Inc.</w:t>
            </w: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Consultant</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spacing w:after="0"/>
              <w:rPr>
                <w:sz w:val="24"/>
                <w:szCs w:val="24"/>
                <w:color w:val="auto"/>
              </w:rPr>
            </w:pP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Sigal Srur</w:t>
            </w:r>
          </w:p>
        </w:tc>
        <w:tc>
          <w:tcPr>
            <w:tcW w:w="14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Ron Yekutiel</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Resources Officer</w:t>
            </w: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Attachments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- 2025 Executive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US Consultancy Agmt - 2-10-2025</w:t>
      </w:r>
    </w:p>
    <w:p>
      <w:pPr>
        <w:sectPr>
          <w:pgSz w:w="11900" w:h="16838" w:orient="portrait"/>
          <w:cols w:equalWidth="0" w:num="1">
            <w:col w:w="11240"/>
          </w:cols>
          <w:pgMar w:left="320" w:top="122"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Consultancy Agreement</w:t>
      </w:r>
    </w:p>
    <w:p>
      <w:pPr>
        <w:spacing w:after="0" w:line="337" w:lineRule="exact"/>
        <w:rPr>
          <w:sz w:val="20"/>
          <w:szCs w:val="20"/>
          <w:color w:val="auto"/>
        </w:rPr>
      </w:pPr>
    </w:p>
    <w:p>
      <w:pPr>
        <w:jc w:val="both"/>
        <w:ind w:firstLine="259"/>
        <w:spacing w:after="0" w:line="225" w:lineRule="auto"/>
        <w:rPr>
          <w:sz w:val="20"/>
          <w:szCs w:val="20"/>
          <w:color w:val="auto"/>
        </w:rPr>
      </w:pPr>
      <w:r>
        <w:rPr>
          <w:rFonts w:ascii="Times New Roman" w:cs="Times New Roman" w:eastAsia="Times New Roman" w:hAnsi="Times New Roman"/>
          <w:sz w:val="20"/>
          <w:szCs w:val="20"/>
          <w:color w:val="auto"/>
        </w:rPr>
        <w:t>This AMENDMENT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that certain Consultancy Agreement (as defined below), is made and entered into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2025, by and between </w:t>
      </w:r>
      <w:r>
        <w:rPr>
          <w:rFonts w:ascii="Times New Roman" w:cs="Times New Roman" w:eastAsia="Times New Roman" w:hAnsi="Times New Roman"/>
          <w:sz w:val="20"/>
          <w:szCs w:val="20"/>
          <w:b w:val="1"/>
          <w:bCs w:val="1"/>
          <w:color w:val="auto"/>
        </w:rPr>
        <w:t>Kaltura, Europe Ltd.</w:t>
      </w:r>
      <w:r>
        <w:rPr>
          <w:rFonts w:ascii="Times New Roman" w:cs="Times New Roman" w:eastAsia="Times New Roman" w:hAnsi="Times New Roman"/>
          <w:sz w:val="20"/>
          <w:szCs w:val="20"/>
          <w:color w:val="auto"/>
        </w:rPr>
        <w:t>, a company incorporated and registered in England and Wales with company number 8012257, whose registered office is at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Northumberland House, 303-306 High Holborn, London WC1V 7JZ, England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Mr. Ron Yekutiel (the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Each of the above is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both"/>
        <w:ind w:left="1280" w:hanging="1295"/>
        <w:spacing w:after="0" w:line="241" w:lineRule="auto"/>
        <w:tabs>
          <w:tab w:leader="none" w:pos="126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Parties have entered into a Consultancy agreement on or about July 1, 2016 (effective as of May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2014), in connection with the grant of certain management consulting services by the Consultant to the Company, as from time to time amended (the said agreement, together with all the exhibits, attachments and addendums thereto, and any amendments hereto or thereto in accordance with the provisions thereof or hereof, shall be referred to herein as the “</w:t>
      </w:r>
      <w:r>
        <w:rPr>
          <w:rFonts w:ascii="Times New Roman" w:cs="Times New Roman" w:eastAsia="Times New Roman" w:hAnsi="Times New Roman"/>
          <w:sz w:val="20"/>
          <w:szCs w:val="20"/>
          <w:b w:val="1"/>
          <w:bCs w:val="1"/>
          <w:color w:val="auto"/>
        </w:rPr>
        <w:t>Consultancy Agreement</w:t>
      </w:r>
      <w:r>
        <w:rPr>
          <w:rFonts w:ascii="Times New Roman" w:cs="Times New Roman" w:eastAsia="Times New Roman" w:hAnsi="Times New Roman"/>
          <w:sz w:val="20"/>
          <w:szCs w:val="20"/>
          <w:color w:val="auto"/>
        </w:rPr>
        <w:t>”); and</w:t>
      </w:r>
    </w:p>
    <w:p>
      <w:pPr>
        <w:spacing w:after="0" w:line="9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wish to amend the Consultancy Agreement in accordance with the terms herewith;</w:t>
      </w:r>
    </w:p>
    <w:p>
      <w:pPr>
        <w:spacing w:after="0" w:line="200" w:lineRule="exact"/>
        <w:rPr>
          <w:sz w:val="20"/>
          <w:szCs w:val="20"/>
          <w:color w:val="auto"/>
        </w:rPr>
      </w:pPr>
    </w:p>
    <w:p>
      <w:pPr>
        <w:spacing w:after="0" w:line="218"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mutual agreements and covenants contained in this Amendment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 adequacy of which are hereby mutually acknowledged), each of the Parties hereby agree as follows:</w:t>
      </w:r>
    </w:p>
    <w:p>
      <w:pPr>
        <w:spacing w:after="0" w:line="310"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 and Interpretation</w:t>
      </w:r>
    </w:p>
    <w:p>
      <w:pPr>
        <w:spacing w:after="0" w:line="111" w:lineRule="exact"/>
        <w:rPr>
          <w:rFonts w:ascii="Times New Roman" w:cs="Times New Roman" w:eastAsia="Times New Roman" w:hAnsi="Times New Roman"/>
          <w:sz w:val="20"/>
          <w:szCs w:val="20"/>
          <w:color w:val="auto"/>
        </w:rPr>
      </w:pPr>
    </w:p>
    <w:p>
      <w:pPr>
        <w:ind w:left="900" w:hanging="570"/>
        <w:spacing w:after="0" w:line="26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Capitalized terms used but not otherwise defined herein have the respective meanings set forth in the Consultancy Agreement. All capitalized terms used but not defined hereinabove or in the Consultancy Agreement, shall have the meaning ascribed for them as in the recitals or as hereinbelow defined.</w:t>
      </w:r>
    </w:p>
    <w:p>
      <w:pPr>
        <w:spacing w:after="0" w:line="53"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The preface to this Amendment constitutes an indivisible and integral part thereof.</w:t>
      </w:r>
    </w:p>
    <w:p>
      <w:pPr>
        <w:spacing w:after="0" w:line="121" w:lineRule="exact"/>
        <w:rPr>
          <w:rFonts w:ascii="Times New Roman" w:cs="Times New Roman" w:eastAsia="Times New Roman" w:hAnsi="Times New Roman"/>
          <w:sz w:val="20"/>
          <w:szCs w:val="20"/>
          <w:color w:val="auto"/>
        </w:rPr>
      </w:pPr>
    </w:p>
    <w:p>
      <w:pPr>
        <w:ind w:left="900" w:hanging="57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The provisions of this Amendment are in addition to, and in amendment of, the provisions of the Consultancy Agreement and in the event of any discrepancy or inconsistency between the provisions of the Consultancy Agreement and the provisions of this Amendment, the provisions of this Amendment shall prevail. Any reference in the Consultancy Agreement or herein to “this Agreement” shall mean the Consultancy Agreement as amended by this Amendment.</w:t>
      </w:r>
    </w:p>
    <w:p>
      <w:pPr>
        <w:spacing w:after="0" w:line="30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125"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The Employee’s entitlement to an annual Bonus for the calendar year of 2025 shall be determined, for such year only, on the basis of the Employee’s and the Company’s attainment of certain goals and objectives defined by the Company, which are set forth in the Employee’s annual bonus plan according to the Company’s 2025 Executive Compensation Plan as approved by its Compensation Committee on or about January 6, 2025, a summary of which is enclosed as </w:t>
      </w:r>
      <w:r>
        <w:rPr>
          <w:rFonts w:ascii="Times New Roman" w:cs="Times New Roman" w:eastAsia="Times New Roman" w:hAnsi="Times New Roman"/>
          <w:sz w:val="20"/>
          <w:szCs w:val="20"/>
          <w:b w:val="1"/>
          <w:bCs w:val="1"/>
          <w:u w:val="single" w:color="auto"/>
          <w:color w:val="auto"/>
        </w:rPr>
        <w:t>Annex A</w:t>
      </w:r>
      <w:r>
        <w:rPr>
          <w:rFonts w:ascii="Times New Roman" w:cs="Times New Roman" w:eastAsia="Times New Roman" w:hAnsi="Times New Roman"/>
          <w:sz w:val="20"/>
          <w:szCs w:val="20"/>
          <w:color w:val="auto"/>
        </w:rPr>
        <w:t xml:space="preserve"> hereof, and as shall further be determined and approved by Kaltura, Inc.’s (the parent company of the Company) Compensation Committee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and Kaltura,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UK Consultancy Agmt - 2-10-2025</w:t>
      </w:r>
    </w:p>
    <w:p>
      <w:pPr>
        <w:sectPr>
          <w:pgSz w:w="11900" w:h="16838" w:orient="portrait"/>
          <w:cols w:equalWidth="0" w:num="1">
            <w:col w:w="11240"/>
          </w:cols>
          <w:pgMar w:left="320" w:top="1152"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820"/>
        <w:spacing w:after="0" w:line="273" w:lineRule="auto"/>
        <w:rPr>
          <w:sz w:val="20"/>
          <w:szCs w:val="20"/>
          <w:color w:val="auto"/>
        </w:rPr>
      </w:pPr>
      <w:r>
        <w:rPr>
          <w:rFonts w:ascii="Times New Roman" w:cs="Times New Roman" w:eastAsia="Times New Roman" w:hAnsi="Times New Roman"/>
          <w:sz w:val="20"/>
          <w:szCs w:val="20"/>
          <w:color w:val="auto"/>
        </w:rPr>
        <w:t>Inc.’s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respect to the 2025 individual OKRs and performance targets and goals (the “</w:t>
      </w:r>
      <w:r>
        <w:rPr>
          <w:rFonts w:ascii="Times New Roman" w:cs="Times New Roman" w:eastAsia="Times New Roman" w:hAnsi="Times New Roman"/>
          <w:sz w:val="20"/>
          <w:szCs w:val="20"/>
          <w:b w:val="1"/>
          <w:bCs w:val="1"/>
          <w:color w:val="auto"/>
        </w:rPr>
        <w:t>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Executive Compensation Plan</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Accordingly, subject to the successive Subsections of this Section 2, the 2025 annual Bonus shall be as follows:</w:t>
      </w:r>
    </w:p>
    <w:p>
      <w:pPr>
        <w:spacing w:after="0" w:line="121"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2.1.1.</w:t>
        <w:tab/>
        <w:t xml:space="preserve">The potential maximum annual Bonus with respect to 100% attainment, satisfaction and performance against the 2025 Executive Compensation Plan’s targets and thresholds (namely, Individual Objectives and Company Financial Goals KPIs and OKRs) as elaborated in the 2025 Executive Compensation Plan, shall equal under this Agreement the gross amount of </w:t>
      </w:r>
      <w:r>
        <w:rPr>
          <w:rFonts w:ascii="Times New Roman" w:cs="Times New Roman" w:eastAsia="Times New Roman" w:hAnsi="Times New Roman"/>
          <w:sz w:val="20"/>
          <w:szCs w:val="20"/>
          <w:b w:val="1"/>
          <w:bCs w:val="1"/>
          <w:color w:val="auto"/>
        </w:rPr>
        <w:t xml:space="preserve">USD 233,750 </w:t>
      </w:r>
      <w:r>
        <w:rPr>
          <w:rFonts w:ascii="Times New Roman" w:cs="Times New Roman" w:eastAsia="Times New Roman" w:hAnsi="Times New Roman"/>
          <w:sz w:val="20"/>
          <w:szCs w:val="20"/>
          <w:color w:val="auto"/>
        </w:rPr>
        <w:t>(herein, the “</w:t>
      </w:r>
      <w:r>
        <w:rPr>
          <w:rFonts w:ascii="Times New Roman" w:cs="Times New Roman" w:eastAsia="Times New Roman" w:hAnsi="Times New Roman"/>
          <w:sz w:val="20"/>
          <w:szCs w:val="20"/>
          <w:b w:val="1"/>
          <w:bCs w:val="1"/>
          <w:color w:val="auto"/>
        </w:rPr>
        <w:t>Base OTB</w:t>
      </w:r>
      <w:r>
        <w:rPr>
          <w:rFonts w:ascii="Times New Roman" w:cs="Times New Roman" w:eastAsia="Times New Roman" w:hAnsi="Times New Roman"/>
          <w:sz w:val="20"/>
          <w:szCs w:val="20"/>
          <w:color w:val="auto"/>
        </w:rPr>
        <w:t>”).</w:t>
      </w:r>
    </w:p>
    <w:p>
      <w:pPr>
        <w:spacing w:after="0" w:line="75"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2.1.2.</w:t>
        <w:tab/>
        <w:t>The potential maximum annual additional stretch bonus for overachievement against such goals (&gt;100%) (the “</w:t>
      </w:r>
      <w:r>
        <w:rPr>
          <w:rFonts w:ascii="Times New Roman" w:cs="Times New Roman" w:eastAsia="Times New Roman" w:hAnsi="Times New Roman"/>
          <w:sz w:val="20"/>
          <w:szCs w:val="20"/>
          <w:b w:val="1"/>
          <w:bCs w:val="1"/>
          <w:color w:val="auto"/>
        </w:rPr>
        <w:t>Stretch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is still subject to the determination and approval of the metrics by the Compensation Committee and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Based on past year’s metrics, if approved for 2025, the potential Stretch Bonus under this Agreement is expected to equal the gross amount of up to </w:t>
      </w:r>
      <w:r>
        <w:rPr>
          <w:rFonts w:ascii="Times New Roman" w:cs="Times New Roman" w:eastAsia="Times New Roman" w:hAnsi="Times New Roman"/>
          <w:sz w:val="20"/>
          <w:szCs w:val="20"/>
          <w:b w:val="1"/>
          <w:bCs w:val="1"/>
          <w:color w:val="auto"/>
        </w:rPr>
        <w:t>USD 63,750</w:t>
      </w:r>
      <w:r>
        <w:rPr>
          <w:rFonts w:ascii="Times New Roman" w:cs="Times New Roman" w:eastAsia="Times New Roman" w:hAnsi="Times New Roman"/>
          <w:sz w:val="20"/>
          <w:szCs w:val="20"/>
          <w:color w:val="auto"/>
        </w:rPr>
        <w:t xml:space="preserve"> (which amount is the product of a Stretch Bonus of 137.5% of the total Base OTB of the Employee under all instruments pursuant to the 2025 Executive Compensation Plan, divided by three); however, the final amount shall be determined by the Compensation Committee and the Board at their sole discretion.</w:t>
      </w:r>
    </w:p>
    <w:p>
      <w:pPr>
        <w:spacing w:after="0" w:line="83" w:lineRule="exact"/>
        <w:rPr>
          <w:sz w:val="20"/>
          <w:szCs w:val="20"/>
          <w:color w:val="auto"/>
        </w:rPr>
      </w:pPr>
    </w:p>
    <w:p>
      <w:pPr>
        <w:ind w:left="820" w:right="20" w:hanging="485"/>
        <w:spacing w:after="0" w:line="269" w:lineRule="auto"/>
        <w:tabs>
          <w:tab w:leader="none" w:pos="800" w:val="left"/>
        </w:tabs>
        <w:rPr>
          <w:sz w:val="20"/>
          <w:szCs w:val="20"/>
          <w:color w:val="auto"/>
        </w:rPr>
      </w:pPr>
      <w:r>
        <w:rPr>
          <w:rFonts w:ascii="Times New Roman" w:cs="Times New Roman" w:eastAsia="Times New Roman" w:hAnsi="Times New Roman"/>
          <w:sz w:val="20"/>
          <w:szCs w:val="20"/>
          <w:color w:val="auto"/>
        </w:rPr>
        <w:t>2.2.</w:t>
        <w:tab/>
        <w:t>All Bonus payments, if any, shall be subject to all mandatory withholdings and deductions, and shall be deemed to be quoted in gross figures.</w:t>
      </w:r>
    </w:p>
    <w:p>
      <w:pPr>
        <w:spacing w:after="0" w:line="304"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 Period for Termination</w:t>
      </w:r>
    </w:p>
    <w:p>
      <w:pPr>
        <w:spacing w:after="0" w:line="112" w:lineRule="exact"/>
        <w:rPr>
          <w:sz w:val="20"/>
          <w:szCs w:val="20"/>
          <w:color w:val="auto"/>
        </w:rPr>
      </w:pPr>
    </w:p>
    <w:p>
      <w:pPr>
        <w:ind w:left="900" w:hanging="569"/>
        <w:spacing w:after="0" w:line="283" w:lineRule="auto"/>
        <w:tabs>
          <w:tab w:leader="none" w:pos="880" w:val="left"/>
        </w:tabs>
        <w:rPr>
          <w:sz w:val="20"/>
          <w:szCs w:val="20"/>
          <w:color w:val="auto"/>
        </w:rPr>
      </w:pPr>
      <w:r>
        <w:rPr>
          <w:rFonts w:ascii="Times New Roman" w:cs="Times New Roman" w:eastAsia="Times New Roman" w:hAnsi="Times New Roman"/>
          <w:sz w:val="20"/>
          <w:szCs w:val="20"/>
          <w:color w:val="auto"/>
        </w:rPr>
        <w:t>3.1.</w:t>
        <w:tab/>
        <w:t>The term of the Notice Period for the Consultant’s termination of service by either Party under this Consultancy Agreement (herein,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shall be extended as follows:</w:t>
      </w:r>
    </w:p>
    <w:p>
      <w:pPr>
        <w:spacing w:after="0" w:line="38" w:lineRule="exact"/>
        <w:rPr>
          <w:sz w:val="20"/>
          <w:szCs w:val="20"/>
          <w:color w:val="auto"/>
        </w:rPr>
      </w:pPr>
    </w:p>
    <w:p>
      <w:pPr>
        <w:jc w:val="both"/>
        <w:ind w:left="1540" w:hanging="647"/>
        <w:spacing w:after="0" w:line="268" w:lineRule="auto"/>
        <w:tabs>
          <w:tab w:leader="none" w:pos="1520" w:val="left"/>
        </w:tabs>
        <w:rPr>
          <w:sz w:val="20"/>
          <w:szCs w:val="20"/>
          <w:color w:val="auto"/>
        </w:rPr>
      </w:pPr>
      <w:r>
        <w:rPr>
          <w:rFonts w:ascii="Times New Roman" w:cs="Times New Roman" w:eastAsia="Times New Roman" w:hAnsi="Times New Roman"/>
          <w:sz w:val="20"/>
          <w:szCs w:val="20"/>
          <w:color w:val="auto"/>
        </w:rPr>
        <w:t>3.1.1.</w:t>
        <w:tab/>
        <w:t>In the event of termination of the Agreement by the Company without Cause, the Consultant shall be entitled to receive from the Company a 180-day advance written notice of termination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or a payment in lieu thereof (the In Lieu Payment as defined in Section 3.1.3 below); as the Company may elect at its sole and absolute discretion.</w:t>
      </w:r>
    </w:p>
    <w:p>
      <w:pPr>
        <w:spacing w:after="0" w:line="53" w:lineRule="exact"/>
        <w:rPr>
          <w:sz w:val="20"/>
          <w:szCs w:val="20"/>
          <w:color w:val="auto"/>
        </w:rPr>
      </w:pPr>
    </w:p>
    <w:p>
      <w:pPr>
        <w:jc w:val="both"/>
        <w:ind w:left="1540" w:hanging="647"/>
        <w:spacing w:after="0" w:line="257" w:lineRule="auto"/>
        <w:tabs>
          <w:tab w:leader="none" w:pos="1520" w:val="left"/>
        </w:tabs>
        <w:rPr>
          <w:sz w:val="20"/>
          <w:szCs w:val="20"/>
          <w:color w:val="auto"/>
        </w:rPr>
      </w:pPr>
      <w:r>
        <w:rPr>
          <w:rFonts w:ascii="Times New Roman" w:cs="Times New Roman" w:eastAsia="Times New Roman" w:hAnsi="Times New Roman"/>
          <w:sz w:val="20"/>
          <w:szCs w:val="20"/>
          <w:color w:val="auto"/>
        </w:rPr>
        <w:t>3.1.2.</w:t>
        <w:tab/>
        <w:t>In the event of termination of the Agreement by the Consultant, the Consultant shall provide the Company a 180-day advance written notice of Termination (“</w:t>
      </w:r>
      <w:r>
        <w:rPr>
          <w:rFonts w:ascii="Times New Roman" w:cs="Times New Roman" w:eastAsia="Times New Roman" w:hAnsi="Times New Roman"/>
          <w:sz w:val="20"/>
          <w:szCs w:val="20"/>
          <w:b w:val="1"/>
          <w:bCs w:val="1"/>
          <w:color w:val="auto"/>
        </w:rPr>
        <w:t>Consultant’s Termination Notice Period</w:t>
      </w:r>
      <w:r>
        <w:rPr>
          <w:rFonts w:ascii="Times New Roman" w:cs="Times New Roman" w:eastAsia="Times New Roman" w:hAnsi="Times New Roman"/>
          <w:sz w:val="20"/>
          <w:szCs w:val="20"/>
          <w:color w:val="auto"/>
        </w:rPr>
        <w:t>”), regardless of any service-at-will provisions that may apply, where in such case, the Company may elect, at its sole discretion, to waive the Consultant’s grant of Services during such notice period (or any part thereof) and pay the Consultant an In Lieu Payment in redemption thereof as set forth in Section 3.1.3 below.</w:t>
      </w:r>
    </w:p>
    <w:p>
      <w:pPr>
        <w:spacing w:after="0" w:line="65"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3.1.3.</w:t>
        <w:tab/>
        <w:t>During the Notice Period, whether notice has been given by the Consultant or by the Company, the Consultant shall continue to render the Services unless instructed otherwise by the Company and shall cooperate with the Company in transferring the rendering and performance of the Services to his successor.</w:t>
      </w:r>
    </w:p>
    <w:p>
      <w:pPr>
        <w:spacing w:after="0" w:line="73" w:lineRule="exact"/>
        <w:rPr>
          <w:sz w:val="20"/>
          <w:szCs w:val="20"/>
          <w:color w:val="auto"/>
        </w:rPr>
      </w:pPr>
    </w:p>
    <w:p>
      <w:pPr>
        <w:jc w:val="both"/>
        <w:ind w:left="1540"/>
        <w:spacing w:after="0" w:line="258" w:lineRule="auto"/>
        <w:rPr>
          <w:sz w:val="20"/>
          <w:szCs w:val="20"/>
          <w:color w:val="auto"/>
        </w:rPr>
      </w:pPr>
      <w:r>
        <w:rPr>
          <w:rFonts w:ascii="Times New Roman" w:cs="Times New Roman" w:eastAsia="Times New Roman" w:hAnsi="Times New Roman"/>
          <w:sz w:val="20"/>
          <w:szCs w:val="20"/>
          <w:color w:val="auto"/>
        </w:rPr>
        <w:t>Notwithstanding the above, the Company shall be entitled, but not obligated, at any time prior to the expiration of the Notice Period or Consultant’s Termination Notice Period, as the case may be, at its sole discretion, either: (i) to waive the Consultant’s actual grant of Services during such period, in which event the Company shall continue to pay and award to the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UK Consultancy Agmt - 2-10-2025</w:t>
      </w:r>
    </w:p>
    <w:p>
      <w:pPr>
        <w:sectPr>
          <w:pgSz w:w="11900" w:h="16838" w:orient="portrait"/>
          <w:cols w:equalWidth="0" w:num="1">
            <w:col w:w="11240"/>
          </w:cols>
          <w:pgMar w:left="320" w:top="122"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540"/>
        <w:spacing w:after="0" w:line="251" w:lineRule="auto"/>
        <w:rPr>
          <w:sz w:val="20"/>
          <w:szCs w:val="20"/>
          <w:color w:val="auto"/>
        </w:rPr>
      </w:pPr>
      <w:r>
        <w:rPr>
          <w:rFonts w:ascii="Times New Roman" w:cs="Times New Roman" w:eastAsia="Times New Roman" w:hAnsi="Times New Roman"/>
          <w:sz w:val="20"/>
          <w:szCs w:val="20"/>
          <w:color w:val="auto"/>
        </w:rPr>
        <w:t>all the payments, rights, and benefits under the Agreement payable to the Consultant during the remainder of the Notice Period or Consultant’s Termination Notice Period (namely, unpaid Monthly Fee, unpaid expense reimbursements, and earned but unpaid performance Bonus from prior fiscal years); or (ii) to immediately terminate the Agreement at any time prior to the expiration of the Notice Period or Consultant’s Termination Notice Period, as the case may be, and pay the Consultant all accrued obligation for such 180-days’ Notice Period from the surrender of the notice through the supposed date of termination but for the cash conversion in lieu of the Notice Period, namely, unpaid Monthly Fee, unpaid expense reimbursements, and earned but unpaid performance Bonus from prior fiscal years; all, until the lapse of the notice period but for the cash conversion in lieu thereof) (collectively, the “</w:t>
      </w:r>
      <w:r>
        <w:rPr>
          <w:rFonts w:ascii="Times New Roman" w:cs="Times New Roman" w:eastAsia="Times New Roman" w:hAnsi="Times New Roman"/>
          <w:sz w:val="20"/>
          <w:szCs w:val="20"/>
          <w:b w:val="1"/>
          <w:bCs w:val="1"/>
          <w:color w:val="auto"/>
        </w:rPr>
        <w:t>In Lieu Payment</w:t>
      </w:r>
      <w:r>
        <w:rPr>
          <w:rFonts w:ascii="Times New Roman" w:cs="Times New Roman" w:eastAsia="Times New Roman" w:hAnsi="Times New Roman"/>
          <w:sz w:val="20"/>
          <w:szCs w:val="20"/>
          <w:color w:val="auto"/>
        </w:rPr>
        <w:t>”).</w:t>
      </w:r>
    </w:p>
    <w:p>
      <w:pPr>
        <w:spacing w:after="0" w:line="87" w:lineRule="exact"/>
        <w:rPr>
          <w:sz w:val="20"/>
          <w:szCs w:val="20"/>
          <w:color w:val="auto"/>
        </w:rPr>
      </w:pPr>
    </w:p>
    <w:p>
      <w:pPr>
        <w:jc w:val="both"/>
        <w:ind w:left="1540" w:hanging="647"/>
        <w:spacing w:after="0" w:line="263" w:lineRule="auto"/>
        <w:tabs>
          <w:tab w:leader="none" w:pos="152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In the event of a Corporate Transaction that triggers the “double-trigger” mechanisms included in the Consultancy Agreement and/or in the 2021 Kaltura, Inc. Incentive Award Plan (the “</w:t>
      </w:r>
      <w:r>
        <w:rPr>
          <w:rFonts w:ascii="Times New Roman" w:cs="Times New Roman" w:eastAsia="Times New Roman" w:hAnsi="Times New Roman"/>
          <w:sz w:val="19"/>
          <w:szCs w:val="19"/>
          <w:b w:val="1"/>
          <w:bCs w:val="1"/>
          <w:color w:val="auto"/>
        </w:rPr>
        <w:t>2021 Plan</w:t>
      </w:r>
      <w:r>
        <w:rPr>
          <w:rFonts w:ascii="Times New Roman" w:cs="Times New Roman" w:eastAsia="Times New Roman" w:hAnsi="Times New Roman"/>
          <w:sz w:val="19"/>
          <w:szCs w:val="19"/>
          <w:color w:val="auto"/>
        </w:rPr>
        <w:t>”) and/or any previous incentive award plan of the Company applicable to the Consultant, including termination by either Party for Good Reasons in such circumstances, the Consultant shall also be entitled to the respective portion of the performance Bonus for the service period at the current year at which the Termination occurs until the Effective Date of Termination plus the respective advance written notice period (i.e., either the Consultant’s notice period for Good Reason or the Company’s Notice Period due to termination by the Company, both, under the double-trigger mechanism, regardless redemption thereof through In Lieu Payment), even if such period shall end at the subsequent calendar/fiscal year (the “</w:t>
      </w:r>
      <w:r>
        <w:rPr>
          <w:rFonts w:ascii="Times New Roman" w:cs="Times New Roman" w:eastAsia="Times New Roman" w:hAnsi="Times New Roman"/>
          <w:sz w:val="19"/>
          <w:szCs w:val="19"/>
          <w:b w:val="1"/>
          <w:bCs w:val="1"/>
          <w:color w:val="auto"/>
        </w:rPr>
        <w:t>MBO Entitlement Period</w:t>
      </w:r>
      <w:r>
        <w:rPr>
          <w:rFonts w:ascii="Times New Roman" w:cs="Times New Roman" w:eastAsia="Times New Roman" w:hAnsi="Times New Roman"/>
          <w:sz w:val="19"/>
          <w:szCs w:val="19"/>
          <w:color w:val="auto"/>
        </w:rPr>
        <w:t>”). Except as specifically agreed otherwise, the measurement of the MBO KPIs attainment for the individual and Company goals with respect to the MBO Entitlement Period, and the calculation and payment of the respective performance Bonus in respect thereof, shall be made upon the settlement of accounts at the Effective Date of Termination or In Lieu Payment, as applicable, based on the Company’s estimation of the then expected Company’s target results and proforma financial statements. In such a case, the respective performance Bonus amount shall be so affixed by the Company at its sole discretion regardless of the actual results de facto, and in the absent of any manifest error, the Company’s calculation shall be deemed as final non-appealable calculation of the respective performance Bonus amount.</w:t>
      </w:r>
    </w:p>
    <w:p>
      <w:pPr>
        <w:spacing w:after="0" w:line="67"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To dispel doubt, the above shall not derogate anything from:</w:t>
      </w:r>
    </w:p>
    <w:p>
      <w:pPr>
        <w:spacing w:after="0" w:line="121"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3.2.1.</w:t>
        <w:tab/>
        <w:t>Any specific special terms relating to termination for Cause, and in any event of discrepancy or inconsistency between the provisions of such special termination terms for Cause and the standard regular provisions as set forth herein, the special provisions regarding Cause event shall prevail; and</w:t>
      </w:r>
    </w:p>
    <w:p>
      <w:pPr>
        <w:spacing w:after="0" w:line="73" w:lineRule="exact"/>
        <w:rPr>
          <w:sz w:val="20"/>
          <w:szCs w:val="20"/>
          <w:color w:val="auto"/>
        </w:rPr>
      </w:pPr>
    </w:p>
    <w:p>
      <w:pPr>
        <w:jc w:val="both"/>
        <w:ind w:left="1540" w:hanging="647"/>
        <w:spacing w:after="0" w:line="241" w:lineRule="auto"/>
        <w:tabs>
          <w:tab w:leader="none" w:pos="1520" w:val="left"/>
        </w:tabs>
        <w:rPr>
          <w:sz w:val="20"/>
          <w:szCs w:val="20"/>
          <w:color w:val="auto"/>
        </w:rPr>
      </w:pPr>
      <w:r>
        <w:rPr>
          <w:rFonts w:ascii="Times New Roman" w:cs="Times New Roman" w:eastAsia="Times New Roman" w:hAnsi="Times New Roman"/>
          <w:sz w:val="20"/>
          <w:szCs w:val="20"/>
          <w:color w:val="auto"/>
        </w:rPr>
        <w:t>3.2.2.</w:t>
        <w:tab/>
        <w:t>Any specific special terms referring to (i) Relocation as defined under the Kaltura, Inc. (the Company’s parent company) Relocation Policy and Executives Relocation Policy as approved by Kaltura Inc.’s Compensation Committee on November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2024, and Kaltura Inc.’s Board of Directors on November 20, 2024, to the extent applicable; (ii) Corporate Transactions, Change in Control, and “double trigger” mechanisms included and defined in the Consultancy Agreement (if included), the 2021 Plan and any previous incentive award plan of Kaltura Inc. applicable to the Consultant; and (iii) any other particular arrangements;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terms under subsections (i), (ii) and (iii) above are more beneficiary to the Consultant than the terms hereof. Accordingly, in any event of discrepancy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UK Consultancy Agmt - 2-10-2025</w:t>
      </w:r>
    </w:p>
    <w:p>
      <w:pPr>
        <w:sectPr>
          <w:pgSz w:w="11900" w:h="16838" w:orient="portrait"/>
          <w:cols w:equalWidth="0" w:num="1">
            <w:col w:w="11240"/>
          </w:cols>
          <w:pgMar w:left="320" w:top="122"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20"/>
          <w:szCs w:val="20"/>
          <w:color w:val="auto"/>
        </w:rPr>
        <w:t>inconsistency between the provisions of such special terms and arrangements and the standard regular provisions as set forth in Section 3.1 herein, the Consultant-favorable conditions shall apply and the special provisions shall prevail inasmuch as they award more beneficial terms in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11" w:lineRule="exact"/>
        <w:rPr>
          <w:rFonts w:ascii="Times New Roman" w:cs="Times New Roman" w:eastAsia="Times New Roman" w:hAnsi="Times New Roman"/>
          <w:sz w:val="20"/>
          <w:szCs w:val="20"/>
          <w:color w:val="auto"/>
        </w:rPr>
      </w:pPr>
    </w:p>
    <w:p>
      <w:pPr>
        <w:ind w:left="820" w:hanging="486"/>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 The Consultancy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Consultancy Agreement as one agreement and, save as expressly amended by this Amendment, the Consultancy Agreement shall remain unaltered and in full force and effect.</w:t>
      </w:r>
    </w:p>
    <w:p>
      <w:pPr>
        <w:spacing w:after="0" w:line="64" w:lineRule="exact"/>
        <w:rPr>
          <w:rFonts w:ascii="Times New Roman" w:cs="Times New Roman" w:eastAsia="Times New Roman" w:hAnsi="Times New Roman"/>
          <w:sz w:val="20"/>
          <w:szCs w:val="20"/>
          <w:color w:val="auto"/>
        </w:rPr>
      </w:pPr>
    </w:p>
    <w:p>
      <w:pPr>
        <w:ind w:left="820" w:hanging="486"/>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 This Amendment may be executed in one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as of the date first hereinabove set forth:</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Kaltura Europe Ltd.</w:t>
            </w: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Consultant</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spacing w:after="0"/>
              <w:rPr>
                <w:sz w:val="24"/>
                <w:szCs w:val="24"/>
                <w:color w:val="auto"/>
              </w:rPr>
            </w:pP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Sigal Srur</w:t>
            </w:r>
          </w:p>
        </w:tc>
        <w:tc>
          <w:tcPr>
            <w:tcW w:w="14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Ron Yekutiel</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Human Resources Officer</w:t>
            </w: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Attachments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- 2025 Executive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 Yekutiel - 2025 Amendment to UK Consultancy Agmt - 2-10-2025</w:t>
      </w:r>
    </w:p>
    <w:p>
      <w:pPr>
        <w:sectPr>
          <w:pgSz w:w="11900" w:h="16838" w:orient="portrait"/>
          <w:cols w:equalWidth="0" w:num="1">
            <w:col w:w="11240"/>
          </w:cols>
          <w:pgMar w:left="320" w:top="122"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259"/>
        <w:spacing w:after="0" w:line="236" w:lineRule="auto"/>
        <w:rPr>
          <w:sz w:val="20"/>
          <w:szCs w:val="20"/>
          <w:color w:val="auto"/>
        </w:rPr>
      </w:pPr>
      <w:r>
        <w:rPr>
          <w:rFonts w:ascii="Times New Roman" w:cs="Times New Roman" w:eastAsia="Times New Roman" w:hAnsi="Times New Roman"/>
          <w:sz w:val="20"/>
          <w:szCs w:val="20"/>
          <w:color w:val="auto"/>
        </w:rPr>
        <w:t>This AMENDMENT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that certain individual Employment Agreement (as defined below), is made and entered into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2025, by and between </w:t>
      </w:r>
      <w:r>
        <w:rPr>
          <w:rFonts w:ascii="Times New Roman" w:cs="Times New Roman" w:eastAsia="Times New Roman" w:hAnsi="Times New Roman"/>
          <w:sz w:val="20"/>
          <w:szCs w:val="20"/>
          <w:b w:val="1"/>
          <w:bCs w:val="1"/>
          <w:color w:val="auto"/>
        </w:rPr>
        <w:t>Kaltura Ltd.</w:t>
      </w:r>
      <w:r>
        <w:rPr>
          <w:rFonts w:ascii="Times New Roman" w:cs="Times New Roman" w:eastAsia="Times New Roman" w:hAnsi="Times New Roman"/>
          <w:sz w:val="20"/>
          <w:szCs w:val="20"/>
          <w:color w:val="auto"/>
        </w:rPr>
        <w:t>, a company organized under the laws of the State of Israel and having an office and principal place of business at Allied Tower, 9 Ben-Gurion Road, Bnei-Brak, Israel 5126014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and Mr. </w:t>
      </w:r>
      <w:r>
        <w:rPr>
          <w:rFonts w:ascii="Times New Roman" w:cs="Times New Roman" w:eastAsia="Times New Roman" w:hAnsi="Times New Roman"/>
          <w:sz w:val="20"/>
          <w:szCs w:val="20"/>
          <w:b w:val="1"/>
          <w:bCs w:val="1"/>
          <w:color w:val="auto"/>
        </w:rPr>
        <w:t>Eynav (Navi) Azaria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Each of the above is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1300" w:hanging="1295"/>
        <w:spacing w:after="0" w:line="254"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Parties have entered into an individual employment agreement dated December 22, 2020, in connection with the Employee’s employment by the Company, as from time to time amended (the said agreement, together with all the exhibits, attachments and addendums thereto, and any amendments hereto or thereto in accordance with the provisions thereof or hereof, shall be referred to herein as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and</w:t>
      </w:r>
    </w:p>
    <w:p>
      <w:pPr>
        <w:spacing w:after="0" w:line="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wish to amend the Employment Agreement in accordance with the terms herewith;</w:t>
      </w:r>
    </w:p>
    <w:p>
      <w:pPr>
        <w:spacing w:after="0" w:line="200" w:lineRule="exact"/>
        <w:rPr>
          <w:sz w:val="20"/>
          <w:szCs w:val="20"/>
          <w:color w:val="auto"/>
        </w:rPr>
      </w:pPr>
    </w:p>
    <w:p>
      <w:pPr>
        <w:spacing w:after="0" w:line="23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mutual agreements and covenants contained in this Amendment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 adequacy of which are hereby mutually acknowledged), each of the Parties hereby agree as follows:</w:t>
      </w:r>
    </w:p>
    <w:p>
      <w:pPr>
        <w:spacing w:after="0" w:line="297"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 and Interpretation</w:t>
      </w:r>
    </w:p>
    <w:p>
      <w:pPr>
        <w:spacing w:after="0" w:line="125" w:lineRule="exact"/>
        <w:rPr>
          <w:rFonts w:ascii="Times New Roman" w:cs="Times New Roman" w:eastAsia="Times New Roman" w:hAnsi="Times New Roman"/>
          <w:sz w:val="20"/>
          <w:szCs w:val="20"/>
          <w:color w:val="auto"/>
        </w:rPr>
      </w:pPr>
    </w:p>
    <w:p>
      <w:pPr>
        <w:ind w:left="900" w:hanging="57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Capitalized terms used but not otherwise defined herein have the respective meanings set forth in the Employment Agreement. All capitalized terms used but not defined hereinabove or in the Employment Agreement, shall have the meaning ascribed for them as in the recitals or as hereinbelow defined.</w:t>
      </w:r>
    </w:p>
    <w:p>
      <w:pPr>
        <w:spacing w:after="0" w:line="73"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The preface to this Amendment constitutes an indivisible and integral part thereof.</w:t>
      </w:r>
    </w:p>
    <w:p>
      <w:pPr>
        <w:spacing w:after="0" w:line="107" w:lineRule="exact"/>
        <w:rPr>
          <w:rFonts w:ascii="Times New Roman" w:cs="Times New Roman" w:eastAsia="Times New Roman" w:hAnsi="Times New Roman"/>
          <w:sz w:val="20"/>
          <w:szCs w:val="20"/>
          <w:color w:val="auto"/>
        </w:rPr>
      </w:pPr>
    </w:p>
    <w:p>
      <w:pPr>
        <w:ind w:left="900" w:hanging="57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spacing w:after="0" w:line="31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111"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The Employee’s entitlement to an annual Bonus for the calendar year of 2025 shall be determined, for such year only, on the basis of the Employee’s and the Company’s attainment of certain goals and objectives defined by the Company, which are set forth in the Employee’s annual bonus plan according to the Company’s 2025 Executive Compensation Plan as approved by its Compensation Committee on or about January 6, 2025, a summary of which is enclosed as </w:t>
      </w:r>
      <w:r>
        <w:rPr>
          <w:rFonts w:ascii="Times New Roman" w:cs="Times New Roman" w:eastAsia="Times New Roman" w:hAnsi="Times New Roman"/>
          <w:sz w:val="20"/>
          <w:szCs w:val="20"/>
          <w:b w:val="1"/>
          <w:bCs w:val="1"/>
          <w:u w:val="single" w:color="auto"/>
          <w:color w:val="auto"/>
        </w:rPr>
        <w:t>Annex A</w:t>
      </w:r>
      <w:r>
        <w:rPr>
          <w:rFonts w:ascii="Times New Roman" w:cs="Times New Roman" w:eastAsia="Times New Roman" w:hAnsi="Times New Roman"/>
          <w:sz w:val="20"/>
          <w:szCs w:val="20"/>
          <w:color w:val="auto"/>
        </w:rPr>
        <w:t xml:space="preserve"> hereof, and as shall further be determined and approved by Kaltura, Inc.’s (the parent company of the Company) Compensation Committee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and Kaltura,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Navi Azaria - 2025 Amendment to Employment Agmt - 2-10-2025</w:t>
      </w:r>
    </w:p>
    <w:p>
      <w:pPr>
        <w:sectPr>
          <w:pgSz w:w="11900" w:h="16838" w:orient="portrait"/>
          <w:cols w:equalWidth="0" w:num="1">
            <w:col w:w="11240"/>
          </w:cols>
          <w:pgMar w:left="320" w:top="1152"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820"/>
        <w:spacing w:after="0" w:line="273" w:lineRule="auto"/>
        <w:rPr>
          <w:sz w:val="20"/>
          <w:szCs w:val="20"/>
          <w:color w:val="auto"/>
        </w:rPr>
      </w:pPr>
      <w:r>
        <w:rPr>
          <w:rFonts w:ascii="Times New Roman" w:cs="Times New Roman" w:eastAsia="Times New Roman" w:hAnsi="Times New Roman"/>
          <w:sz w:val="20"/>
          <w:szCs w:val="20"/>
          <w:color w:val="auto"/>
        </w:rPr>
        <w:t>Inc.’s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respect to the 2025 individual OKRs and performance targets and goals (the “</w:t>
      </w:r>
      <w:r>
        <w:rPr>
          <w:rFonts w:ascii="Times New Roman" w:cs="Times New Roman" w:eastAsia="Times New Roman" w:hAnsi="Times New Roman"/>
          <w:sz w:val="20"/>
          <w:szCs w:val="20"/>
          <w:b w:val="1"/>
          <w:bCs w:val="1"/>
          <w:color w:val="auto"/>
        </w:rPr>
        <w:t>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Executive Compensation Plan</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Accordingly, subject to the successive Subsections of this Section 5, the 2025 annual Bonus shall be as follows:</w:t>
      </w:r>
    </w:p>
    <w:p>
      <w:pPr>
        <w:spacing w:after="0" w:line="121"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2.1.1.</w:t>
        <w:tab/>
        <w:t xml:space="preserve">The potential maximum annual Bonus with respect to 100% attainment, satisfaction and performance against the 2025 Executive Compensation Plan’s targets and thresholds (namely, Individual Objectives and Company Financial Goals KPIs and OKRs) as elaborated in the 2025 Executive Compensation Plan, shall equal the gross amount of USD 224,000, namely, </w:t>
      </w:r>
      <w:r>
        <w:rPr>
          <w:rFonts w:ascii="Times New Roman" w:cs="Times New Roman" w:eastAsia="Times New Roman" w:hAnsi="Times New Roman"/>
          <w:sz w:val="20"/>
          <w:szCs w:val="20"/>
          <w:b w:val="1"/>
          <w:bCs w:val="1"/>
          <w:color w:val="auto"/>
        </w:rPr>
        <w:t>NIS 828,800</w:t>
      </w:r>
      <w:r>
        <w:rPr>
          <w:rFonts w:ascii="Times New Roman" w:cs="Times New Roman" w:eastAsia="Times New Roman" w:hAnsi="Times New Roman"/>
          <w:sz w:val="20"/>
          <w:szCs w:val="20"/>
          <w:color w:val="auto"/>
        </w:rPr>
        <w:t xml:space="preserve"> (herein, the “</w:t>
      </w:r>
      <w:r>
        <w:rPr>
          <w:rFonts w:ascii="Times New Roman" w:cs="Times New Roman" w:eastAsia="Times New Roman" w:hAnsi="Times New Roman"/>
          <w:sz w:val="20"/>
          <w:szCs w:val="20"/>
          <w:b w:val="1"/>
          <w:bCs w:val="1"/>
          <w:color w:val="auto"/>
        </w:rPr>
        <w:t>Base OTB</w:t>
      </w:r>
      <w:r>
        <w:rPr>
          <w:rFonts w:ascii="Times New Roman" w:cs="Times New Roman" w:eastAsia="Times New Roman" w:hAnsi="Times New Roman"/>
          <w:sz w:val="20"/>
          <w:szCs w:val="20"/>
          <w:color w:val="auto"/>
        </w:rPr>
        <w:t>”).</w:t>
      </w:r>
    </w:p>
    <w:p>
      <w:pPr>
        <w:spacing w:after="0" w:line="75"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2.1.2.</w:t>
        <w:tab/>
        <w:t>The potential maximum annual additional stretch bonus for overachievement against such goals (&gt;100%) (the “</w:t>
      </w:r>
      <w:r>
        <w:rPr>
          <w:rFonts w:ascii="Times New Roman" w:cs="Times New Roman" w:eastAsia="Times New Roman" w:hAnsi="Times New Roman"/>
          <w:sz w:val="20"/>
          <w:szCs w:val="20"/>
          <w:b w:val="1"/>
          <w:bCs w:val="1"/>
          <w:color w:val="auto"/>
        </w:rPr>
        <w:t>Stretch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is still subject to the determination and approval of the metrics by the Compensation Committee and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Based on past year’s metrics, if approved for 2025, the potential Stretch Bonus is expected to equal the gross amount of up to USD 84,000, namely, </w:t>
      </w:r>
      <w:r>
        <w:rPr>
          <w:rFonts w:ascii="Times New Roman" w:cs="Times New Roman" w:eastAsia="Times New Roman" w:hAnsi="Times New Roman"/>
          <w:sz w:val="20"/>
          <w:szCs w:val="20"/>
          <w:b w:val="1"/>
          <w:bCs w:val="1"/>
          <w:color w:val="auto"/>
        </w:rPr>
        <w:t>NIS 310,800</w:t>
      </w:r>
      <w:r>
        <w:rPr>
          <w:rFonts w:ascii="Times New Roman" w:cs="Times New Roman" w:eastAsia="Times New Roman" w:hAnsi="Times New Roman"/>
          <w:sz w:val="20"/>
          <w:szCs w:val="20"/>
          <w:color w:val="auto"/>
        </w:rPr>
        <w:t xml:space="preserve"> (based on a Stretch Bonus of 137.5% of Base OTB); however, the final amount shall be determined by the Compensation Committee and the Board at their sole discretion.</w:t>
      </w:r>
    </w:p>
    <w:p>
      <w:pPr>
        <w:spacing w:after="0" w:line="83" w:lineRule="exact"/>
        <w:rPr>
          <w:sz w:val="20"/>
          <w:szCs w:val="20"/>
          <w:color w:val="auto"/>
        </w:rPr>
      </w:pPr>
    </w:p>
    <w:p>
      <w:pPr>
        <w:ind w:left="820" w:right="20" w:hanging="485"/>
        <w:spacing w:after="0" w:line="283" w:lineRule="auto"/>
        <w:tabs>
          <w:tab w:leader="none" w:pos="800" w:val="left"/>
        </w:tabs>
        <w:rPr>
          <w:sz w:val="20"/>
          <w:szCs w:val="20"/>
          <w:color w:val="auto"/>
        </w:rPr>
      </w:pPr>
      <w:r>
        <w:rPr>
          <w:rFonts w:ascii="Times New Roman" w:cs="Times New Roman" w:eastAsia="Times New Roman" w:hAnsi="Times New Roman"/>
          <w:sz w:val="20"/>
          <w:szCs w:val="20"/>
          <w:color w:val="auto"/>
        </w:rPr>
        <w:t>2.2.</w:t>
        <w:tab/>
        <w:t>All Bonus payments, if any, shall be subject to all mandatory withholdings and deductions, and shall be deemed to be quoted in gross figures.</w:t>
      </w:r>
    </w:p>
    <w:p>
      <w:pPr>
        <w:spacing w:after="0" w:line="277"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Benefits</w:t>
      </w:r>
    </w:p>
    <w:p>
      <w:pPr>
        <w:spacing w:after="0" w:line="125" w:lineRule="exact"/>
        <w:rPr>
          <w:rFonts w:ascii="Times New Roman" w:cs="Times New Roman" w:eastAsia="Times New Roman" w:hAnsi="Times New Roman"/>
          <w:sz w:val="20"/>
          <w:szCs w:val="20"/>
          <w:color w:val="auto"/>
        </w:rPr>
      </w:pPr>
    </w:p>
    <w:p>
      <w:pPr>
        <w:ind w:left="820" w:hanging="486"/>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3.1. Subject to the approval of the Compensation Committee of the Board of Directors of Kaltura, Inc., and the terms and conditions stipulated below, the Company anticipates granting the Employee </w:t>
      </w:r>
      <w:r>
        <w:rPr>
          <w:rFonts w:ascii="Times New Roman" w:cs="Times New Roman" w:eastAsia="Times New Roman" w:hAnsi="Times New Roman"/>
          <w:sz w:val="20"/>
          <w:szCs w:val="20"/>
          <w:b w:val="1"/>
          <w:bCs w:val="1"/>
          <w:color w:val="auto"/>
        </w:rPr>
        <w:t>605,263</w:t>
      </w:r>
      <w:r>
        <w:rPr>
          <w:rFonts w:ascii="Times New Roman" w:cs="Times New Roman" w:eastAsia="Times New Roman" w:hAnsi="Times New Roman"/>
          <w:sz w:val="20"/>
          <w:szCs w:val="20"/>
          <w:color w:val="auto"/>
        </w:rPr>
        <w:t xml:space="preserve"> RSUs as stipulated in the 2025 Executive Compensation Plan (herein, “</w:t>
      </w:r>
      <w:r>
        <w:rPr>
          <w:rFonts w:ascii="Times New Roman" w:cs="Times New Roman" w:eastAsia="Times New Roman" w:hAnsi="Times New Roman"/>
          <w:sz w:val="20"/>
          <w:szCs w:val="20"/>
          <w:b w:val="1"/>
          <w:bCs w:val="1"/>
          <w:color w:val="auto"/>
        </w:rPr>
        <w:t>LTI RSUs</w:t>
      </w:r>
      <w:r>
        <w:rPr>
          <w:rFonts w:ascii="Times New Roman" w:cs="Times New Roman" w:eastAsia="Times New Roman" w:hAnsi="Times New Roman"/>
          <w:sz w:val="20"/>
          <w:szCs w:val="20"/>
          <w:color w:val="auto"/>
        </w:rPr>
        <w:t>”).</w:t>
      </w:r>
    </w:p>
    <w:p>
      <w:pPr>
        <w:spacing w:after="0" w:line="59" w:lineRule="exact"/>
        <w:rPr>
          <w:rFonts w:ascii="Times New Roman" w:cs="Times New Roman" w:eastAsia="Times New Roman" w:hAnsi="Times New Roman"/>
          <w:sz w:val="20"/>
          <w:szCs w:val="20"/>
          <w:color w:val="auto"/>
        </w:rPr>
      </w:pPr>
    </w:p>
    <w:p>
      <w:pPr>
        <w:ind w:left="820" w:hanging="486"/>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The LTI RSUs, if awarded, will be governed by the terms and conditions of the Company’s 2021 Plan, the respective provisions of the 2025 Executive Compensation Plan and applicable award agreements.</w:t>
      </w:r>
    </w:p>
    <w:p>
      <w:pPr>
        <w:spacing w:after="0" w:line="52" w:lineRule="exact"/>
        <w:rPr>
          <w:sz w:val="20"/>
          <w:szCs w:val="20"/>
          <w:color w:val="auto"/>
        </w:rPr>
      </w:pPr>
    </w:p>
    <w:p>
      <w:pPr>
        <w:jc w:val="both"/>
        <w:ind w:left="820"/>
        <w:spacing w:after="0" w:line="269" w:lineRule="auto"/>
        <w:rPr>
          <w:sz w:val="20"/>
          <w:szCs w:val="20"/>
          <w:color w:val="auto"/>
        </w:rPr>
      </w:pPr>
      <w:r>
        <w:rPr>
          <w:rFonts w:ascii="Times New Roman" w:cs="Times New Roman" w:eastAsia="Times New Roman" w:hAnsi="Times New Roman"/>
          <w:sz w:val="20"/>
          <w:szCs w:val="20"/>
          <w:color w:val="auto"/>
        </w:rPr>
        <w:t>Subject to the above, if and to the extent the Employee shall be granted LTI RSUs, then the grant thereof shall be subject to the following:</w:t>
      </w:r>
    </w:p>
    <w:p>
      <w:pPr>
        <w:spacing w:after="0" w:line="65" w:lineRule="exact"/>
        <w:rPr>
          <w:sz w:val="20"/>
          <w:szCs w:val="20"/>
          <w:color w:val="auto"/>
        </w:rPr>
      </w:pPr>
    </w:p>
    <w:p>
      <w:pPr>
        <w:jc w:val="both"/>
        <w:ind w:left="1540" w:hanging="728"/>
        <w:spacing w:after="0" w:line="269" w:lineRule="auto"/>
        <w:tabs>
          <w:tab w:leader="none" w:pos="15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effective as of the effective date of the Compensation Committee’s approval of the 2025 Executive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Compensation Plan, namely, January 6, 2025.</w:t>
      </w:r>
    </w:p>
    <w:p>
      <w:pPr>
        <w:spacing w:after="0" w:line="65" w:lineRule="exact"/>
        <w:rPr>
          <w:sz w:val="20"/>
          <w:szCs w:val="20"/>
          <w:color w:val="auto"/>
        </w:rPr>
      </w:pPr>
    </w:p>
    <w:p>
      <w:pPr>
        <w:jc w:val="both"/>
        <w:ind w:left="1540" w:hanging="728"/>
        <w:spacing w:after="0" w:line="239" w:lineRule="auto"/>
        <w:tabs>
          <w:tab w:leader="none" w:pos="152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Three-year quarterly, commencing retroactively from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2025, subject to the Employee’s continued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employment with, or services to, the Company or any of its affiliates or subsidiaries through the applicable vesting date unless determined otherwise under any applicable Corporate Transaction and/or Double Trigger provisions as stipulated in the 2021 Plan and/or any other agreements with the Employee (including the Employment Agreement).</w:t>
      </w:r>
    </w:p>
    <w:p>
      <w:pPr>
        <w:spacing w:after="0" w:line="80" w:lineRule="exact"/>
        <w:rPr>
          <w:sz w:val="20"/>
          <w:szCs w:val="20"/>
          <w:color w:val="auto"/>
        </w:rPr>
      </w:pPr>
    </w:p>
    <w:p>
      <w:pPr>
        <w:jc w:val="both"/>
        <w:ind w:left="1540" w:hanging="728"/>
        <w:spacing w:after="0" w:line="268" w:lineRule="auto"/>
        <w:tabs>
          <w:tab w:leader="none" w:pos="152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the LTI RSUs award shall be made pursuant to the 2021 Plan, the 2025 Executive Compensation Plan,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appropriate award agreement to be executed by the Employee and countersigned by Kaltura, Inc., and to the execution and delivery of all required agreements and instruments pursuant to the 2021 Plan and Kaltura, Inc.’s policies.</w:t>
      </w:r>
    </w:p>
    <w:p>
      <w:pPr>
        <w:spacing w:after="0" w:line="53" w:lineRule="exact"/>
        <w:rPr>
          <w:sz w:val="20"/>
          <w:szCs w:val="20"/>
          <w:color w:val="auto"/>
        </w:rPr>
      </w:pPr>
    </w:p>
    <w:p>
      <w:pPr>
        <w:jc w:val="both"/>
        <w:ind w:left="1540" w:hanging="728"/>
        <w:spacing w:after="0" w:line="283" w:lineRule="auto"/>
        <w:tabs>
          <w:tab w:leader="none" w:pos="152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20"/>
          <w:szCs w:val="20"/>
          <w:u w:val="single" w:color="auto"/>
          <w:color w:val="auto"/>
        </w:rPr>
        <w:t>Double Trigger</w:t>
      </w:r>
      <w:r>
        <w:rPr>
          <w:rFonts w:ascii="Times New Roman" w:cs="Times New Roman" w:eastAsia="Times New Roman" w:hAnsi="Times New Roman"/>
          <w:sz w:val="20"/>
          <w:szCs w:val="20"/>
          <w:color w:val="auto"/>
        </w:rPr>
        <w:t>: The LTI RSUs award agreement shall include the double trigger accelerated vesting mechanism as set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forth in the 2021 Plan and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Navi Azaria - 2025 Amendment to Employment Agmt - 2-10-2025</w:t>
      </w:r>
    </w:p>
    <w:p>
      <w:pPr>
        <w:sectPr>
          <w:pgSz w:w="11900" w:h="16838" w:orient="portrait"/>
          <w:cols w:equalWidth="0" w:num="1">
            <w:col w:w="11240"/>
          </w:cols>
          <w:pgMar w:left="320" w:top="122"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agreements and Compensation Committee resolutions applicable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 Period for Termination</w:t>
      </w:r>
    </w:p>
    <w:p>
      <w:pPr>
        <w:spacing w:after="0" w:line="125" w:lineRule="exact"/>
        <w:rPr>
          <w:sz w:val="20"/>
          <w:szCs w:val="20"/>
          <w:color w:val="auto"/>
        </w:rPr>
      </w:pPr>
    </w:p>
    <w:p>
      <w:pPr>
        <w:ind w:left="900" w:hanging="569"/>
        <w:spacing w:after="0" w:line="283" w:lineRule="auto"/>
        <w:tabs>
          <w:tab w:leader="none" w:pos="880" w:val="left"/>
        </w:tabs>
        <w:rPr>
          <w:sz w:val="20"/>
          <w:szCs w:val="20"/>
          <w:color w:val="auto"/>
        </w:rPr>
      </w:pPr>
      <w:r>
        <w:rPr>
          <w:rFonts w:ascii="Times New Roman" w:cs="Times New Roman" w:eastAsia="Times New Roman" w:hAnsi="Times New Roman"/>
          <w:sz w:val="20"/>
          <w:szCs w:val="20"/>
          <w:color w:val="auto"/>
        </w:rPr>
        <w:t>4.1.</w:t>
        <w:tab/>
        <w:t>The term of the Notice Period for the Employee’s termination of employment or resignation under this Agreement (herein,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shall be extended as follows:</w:t>
      </w:r>
    </w:p>
    <w:p>
      <w:pPr>
        <w:spacing w:after="0" w:line="38" w:lineRule="exact"/>
        <w:rPr>
          <w:sz w:val="20"/>
          <w:szCs w:val="20"/>
          <w:color w:val="auto"/>
        </w:rPr>
      </w:pPr>
    </w:p>
    <w:p>
      <w:pPr>
        <w:jc w:val="both"/>
        <w:ind w:left="1540" w:hanging="647"/>
        <w:spacing w:after="0" w:line="258" w:lineRule="auto"/>
        <w:tabs>
          <w:tab w:leader="none" w:pos="1520" w:val="left"/>
        </w:tabs>
        <w:rPr>
          <w:sz w:val="20"/>
          <w:szCs w:val="20"/>
          <w:color w:val="auto"/>
        </w:rPr>
      </w:pPr>
      <w:r>
        <w:rPr>
          <w:rFonts w:ascii="Times New Roman" w:cs="Times New Roman" w:eastAsia="Times New Roman" w:hAnsi="Times New Roman"/>
          <w:sz w:val="20"/>
          <w:szCs w:val="20"/>
          <w:color w:val="auto"/>
        </w:rPr>
        <w:t>4.1.1.</w:t>
        <w:tab/>
        <w:t>In the event of termination of the Term of Employment by the Company without Cause, the Employee shall be entitled to receive from the Company a 120-day advance written notice of termination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or a payment in lieu thereof (the In Lieu Payment as defined in Section 5.1.3 below); as the Company may elect at its sole and absolute discretion.</w:t>
      </w:r>
    </w:p>
    <w:p>
      <w:pPr>
        <w:spacing w:after="0" w:line="78" w:lineRule="exact"/>
        <w:rPr>
          <w:sz w:val="20"/>
          <w:szCs w:val="20"/>
          <w:color w:val="auto"/>
        </w:rPr>
      </w:pPr>
    </w:p>
    <w:p>
      <w:pPr>
        <w:jc w:val="both"/>
        <w:ind w:left="1540" w:hanging="647"/>
        <w:spacing w:after="0" w:line="271" w:lineRule="auto"/>
        <w:tabs>
          <w:tab w:leader="none" w:pos="15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color w:val="auto"/>
        </w:rPr>
        <w:t>In the event of resignation by the Employee, the Employee shall provide the Company a 90-day advance written notice of Termination (“</w:t>
      </w:r>
      <w:r>
        <w:rPr>
          <w:rFonts w:ascii="Times New Roman" w:cs="Times New Roman" w:eastAsia="Times New Roman" w:hAnsi="Times New Roman"/>
          <w:sz w:val="19"/>
          <w:szCs w:val="19"/>
          <w:b w:val="1"/>
          <w:bCs w:val="1"/>
          <w:color w:val="auto"/>
        </w:rPr>
        <w:t>Resignation Notice Period</w:t>
      </w:r>
      <w:r>
        <w:rPr>
          <w:rFonts w:ascii="Times New Roman" w:cs="Times New Roman" w:eastAsia="Times New Roman" w:hAnsi="Times New Roman"/>
          <w:sz w:val="19"/>
          <w:szCs w:val="19"/>
          <w:color w:val="auto"/>
        </w:rPr>
        <w:t>”), regardless of any employment-at-will provisions that may apply, where in such case, the Company may elect, at its sole discretion, to waive the Employee’s employment during such notice period (or any part thereof) and pay the Employee an In Lieu Payment in redemption thereof as set forth in Section 5.1.3 below.</w:t>
      </w:r>
    </w:p>
    <w:p>
      <w:pPr>
        <w:spacing w:after="0" w:line="66"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4.1.3.</w:t>
        <w:tab/>
        <w:t>During the Notice Period, whether notice has been given by the Employee or by the Company, the Employee shall continue to work unless instructed otherwise by the Company and shall cooperate with the Company in handing over his roles and responsibilities to his successor.</w:t>
      </w:r>
    </w:p>
    <w:p>
      <w:pPr>
        <w:spacing w:after="0" w:line="73" w:lineRule="exact"/>
        <w:rPr>
          <w:sz w:val="20"/>
          <w:szCs w:val="20"/>
          <w:color w:val="auto"/>
        </w:rPr>
      </w:pPr>
    </w:p>
    <w:p>
      <w:pPr>
        <w:jc w:val="both"/>
        <w:ind w:left="1540"/>
        <w:spacing w:after="0" w:line="264" w:lineRule="auto"/>
        <w:rPr>
          <w:sz w:val="20"/>
          <w:szCs w:val="20"/>
          <w:color w:val="auto"/>
        </w:rPr>
      </w:pPr>
      <w:r>
        <w:rPr>
          <w:rFonts w:ascii="Times New Roman" w:cs="Times New Roman" w:eastAsia="Times New Roman" w:hAnsi="Times New Roman"/>
          <w:sz w:val="19"/>
          <w:szCs w:val="19"/>
          <w:color w:val="auto"/>
        </w:rPr>
        <w:t>Notwithstanding the above, the Company shall be entitled, but not obligated, at any time prior to the expiration of the Notice Period or Resignation Notice Period, as the case may be, at its sole discretion, either: (i) to waive the Employee’s actual work during such period, in which event the Company shall continue to pay and award to the Employee all the payments, rights, and benefits under the Employment Agreement payable to the Employee during the remainder of the Notice Period or Resignation Notice Period (namely, unpaid Monthly Salary (including the allowances accrued thereupon or associated therewith), unused paid time off, unpaid expense reimbursements, and earned but unpaid Performance Based Compensation from prior fiscal years); or (ii) to immediately terminate the Employment Agreement and the employment relationship thereunder at any time prior to the expiration of the Notice Period or Resignation Notice Period, as the case may be, and pay the Employee all accrued obligation for such 180-days’ Notice Period from the surrender of the notice through the supposed date of termination but for the cash conversion in lieu of the Notice Period, namely, unpaid Monthly Salary (including the allowances accrued thereupon or associated therewith), unused paid time off, unpaid expense reimbursements, and earned but unpaid Performance Based Compensation from prior fiscal years; all, until the lapse of the notice period but for the cash conversion in lieu thereof) (collectively, the “</w:t>
      </w:r>
      <w:r>
        <w:rPr>
          <w:rFonts w:ascii="Times New Roman" w:cs="Times New Roman" w:eastAsia="Times New Roman" w:hAnsi="Times New Roman"/>
          <w:sz w:val="19"/>
          <w:szCs w:val="19"/>
          <w:b w:val="1"/>
          <w:bCs w:val="1"/>
          <w:color w:val="auto"/>
        </w:rPr>
        <w:t>In Lieu Payment</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ind w:left="1540" w:right="20" w:hanging="647"/>
        <w:spacing w:after="0" w:line="283" w:lineRule="auto"/>
        <w:tabs>
          <w:tab w:leader="none" w:pos="1520" w:val="left"/>
        </w:tabs>
        <w:rPr>
          <w:sz w:val="20"/>
          <w:szCs w:val="20"/>
          <w:color w:val="auto"/>
        </w:rPr>
      </w:pPr>
      <w:r>
        <w:rPr>
          <w:rFonts w:ascii="Times New Roman" w:cs="Times New Roman" w:eastAsia="Times New Roman" w:hAnsi="Times New Roman"/>
          <w:sz w:val="20"/>
          <w:szCs w:val="20"/>
          <w:color w:val="auto"/>
        </w:rPr>
        <w:t>4.1.4.</w:t>
        <w:tab/>
        <w:t>In the event of a Corporate Transaction that triggers the “double-trigger” mechanisms included in the Employment Agreement and/or in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Navi Azaria - 2025 Amendment to Employment Agmt - 2-10-2025</w:t>
      </w:r>
    </w:p>
    <w:p>
      <w:pPr>
        <w:sectPr>
          <w:pgSz w:w="11900" w:h="16838" w:orient="portrait"/>
          <w:cols w:equalWidth="0" w:num="1">
            <w:col w:w="11240"/>
          </w:cols>
          <w:pgMar w:left="320" w:top="122"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540"/>
        <w:spacing w:after="0" w:line="249" w:lineRule="auto"/>
        <w:rPr>
          <w:sz w:val="20"/>
          <w:szCs w:val="20"/>
          <w:color w:val="auto"/>
        </w:rPr>
      </w:pPr>
      <w:r>
        <w:rPr>
          <w:rFonts w:ascii="Times New Roman" w:cs="Times New Roman" w:eastAsia="Times New Roman" w:hAnsi="Times New Roman"/>
          <w:sz w:val="20"/>
          <w:szCs w:val="20"/>
          <w:color w:val="auto"/>
        </w:rPr>
        <w:t>Kaltura, Inc. Incentive Award Plan and Israeli Sub-Plan (the “</w:t>
      </w:r>
      <w:r>
        <w:rPr>
          <w:rFonts w:ascii="Times New Roman" w:cs="Times New Roman" w:eastAsia="Times New Roman" w:hAnsi="Times New Roman"/>
          <w:sz w:val="20"/>
          <w:szCs w:val="20"/>
          <w:b w:val="1"/>
          <w:bCs w:val="1"/>
          <w:color w:val="auto"/>
        </w:rPr>
        <w:t>2021 Plan</w:t>
      </w:r>
      <w:r>
        <w:rPr>
          <w:rFonts w:ascii="Times New Roman" w:cs="Times New Roman" w:eastAsia="Times New Roman" w:hAnsi="Times New Roman"/>
          <w:sz w:val="20"/>
          <w:szCs w:val="20"/>
          <w:color w:val="auto"/>
        </w:rPr>
        <w:t>”) and/or any previous incentive award plan of the Company applicable to the Employee, including termination or resignation for Good Reasons in such circumstances, the Employee shall also be entitled to the respective portion of the Performance Based Compensation for the employment period at the current year at which the Termination occurs until the Effective Date of Termination plus the respective advance written notice period (i.e., either the Employee’s notice period due to resignation for Good Reason or the Company’s Notice Period due to termination by the Company, both, under the double-trigger mechanism, regardless redemption thereof through In Lieu Payment), even if such period shall end at the subsequent calendar/fiscal year (the “</w:t>
      </w:r>
      <w:r>
        <w:rPr>
          <w:rFonts w:ascii="Times New Roman" w:cs="Times New Roman" w:eastAsia="Times New Roman" w:hAnsi="Times New Roman"/>
          <w:sz w:val="20"/>
          <w:szCs w:val="20"/>
          <w:b w:val="1"/>
          <w:bCs w:val="1"/>
          <w:color w:val="auto"/>
        </w:rPr>
        <w:t>MBO Entitlement Period</w:t>
      </w:r>
      <w:r>
        <w:rPr>
          <w:rFonts w:ascii="Times New Roman" w:cs="Times New Roman" w:eastAsia="Times New Roman" w:hAnsi="Times New Roman"/>
          <w:sz w:val="20"/>
          <w:szCs w:val="20"/>
          <w:color w:val="auto"/>
        </w:rPr>
        <w:t>”). Except as specifically agreed otherwise, the measurement of the MBO KPIs attainment for the individual and Company goals with respect to the MBO Entitlement Period, and the calculation and payment of the respective Performance Based Compensation in respect thereof, shall be made upon the settlement of accounts at the Effective Date of Termination or In Lieu Payment, as applicable, based on the Company’s estimation of the then expected Company’s target results and proforma financial statements. In such a case, the respective Performance Based Compensation amount shall be so affixed by the Company at its sole discretion regardless of the actual results de facto, and in the absent of any manifest error, the Company’s calculation shall be deemed as final non-appealable calculation of the respective Performance Based Compensation amount.</w:t>
      </w:r>
    </w:p>
    <w:p>
      <w:pPr>
        <w:spacing w:after="0" w:line="97"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To dispel doubt, the above shall not derogate anything from:</w:t>
      </w:r>
    </w:p>
    <w:p>
      <w:pPr>
        <w:spacing w:after="0" w:line="108"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4.2.1.</w:t>
        <w:tab/>
        <w:t>Any specific special terms relating to termination for Cause, and in any event of discrepancy or inconsistency between the provisions of such special termination terms for Cause and the standard regular provisions as set forth herein, the special provisions regarding Cause event shall prevail; and</w:t>
      </w:r>
    </w:p>
    <w:p>
      <w:pPr>
        <w:spacing w:after="0" w:line="73" w:lineRule="exact"/>
        <w:rPr>
          <w:sz w:val="20"/>
          <w:szCs w:val="20"/>
          <w:color w:val="auto"/>
        </w:rPr>
      </w:pPr>
    </w:p>
    <w:p>
      <w:pPr>
        <w:jc w:val="both"/>
        <w:ind w:left="1540" w:hanging="647"/>
        <w:spacing w:after="0" w:line="244" w:lineRule="auto"/>
        <w:tabs>
          <w:tab w:leader="none" w:pos="1520" w:val="left"/>
        </w:tabs>
        <w:rPr>
          <w:sz w:val="20"/>
          <w:szCs w:val="20"/>
          <w:color w:val="auto"/>
        </w:rPr>
      </w:pPr>
      <w:r>
        <w:rPr>
          <w:rFonts w:ascii="Times New Roman" w:cs="Times New Roman" w:eastAsia="Times New Roman" w:hAnsi="Times New Roman"/>
          <w:sz w:val="20"/>
          <w:szCs w:val="20"/>
          <w:color w:val="auto"/>
        </w:rPr>
        <w:t>4.2.2.</w:t>
        <w:tab/>
        <w:t>Any specific special terms referring to (i) Relocation as defined under the Kaltura, Inc. Relocation Policy and Executives Relocation Policy as approved by the Compensation Committee on November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2024, and the Board of Directors on November 20, 2024, to the extent applicable; (ii) Corporate Transactions, Change in Control, and “double trigger” mechanisms included and defined in the Employment Agreement (if included), the 2021 Plan and any previous incentive award plan of the Company applicable to the Employee; and (iii) any other particular arrangements;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terms under subsections (i), (ii) and (iii) above are more beneficiary to the Employee than the terms hereof. Accordingly, in any event of discrepancy or inconsistency between the provisions of such special terms and arrangements and the standard regular provisions as set forth in Section 5.1 herein, the employee-favorable conditions shall apply and the special provisions shall prevail inasmuch as they award more beneficial terms in such circumstances.</w:t>
      </w:r>
    </w:p>
    <w:p>
      <w:pPr>
        <w:spacing w:after="0" w:line="317"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25"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 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Navi Azaria - 2025 Amendment to Employment Agmt - 2-10-2025</w:t>
      </w:r>
    </w:p>
    <w:p>
      <w:pPr>
        <w:sectPr>
          <w:pgSz w:w="11900" w:h="16838" w:orient="portrait"/>
          <w:cols w:equalWidth="0" w:num="1">
            <w:col w:w="11240"/>
          </w:cols>
          <w:pgMar w:left="320" w:top="122"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hanging="485"/>
        <w:spacing w:after="0" w:line="269" w:lineRule="auto"/>
        <w:tabs>
          <w:tab w:leader="none" w:pos="800" w:val="left"/>
        </w:tabs>
        <w:rPr>
          <w:sz w:val="20"/>
          <w:szCs w:val="20"/>
          <w:color w:val="auto"/>
        </w:rPr>
      </w:pPr>
      <w:r>
        <w:rPr>
          <w:rFonts w:ascii="Times New Roman" w:cs="Times New Roman" w:eastAsia="Times New Roman" w:hAnsi="Times New Roman"/>
          <w:sz w:val="20"/>
          <w:szCs w:val="20"/>
          <w:color w:val="auto"/>
        </w:rPr>
        <w:t>5.2.</w:t>
        <w:tab/>
        <w:t>This Amendment may be executed in one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as of the date first hereinabove set forth: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Kaltura Ltd.</w:t>
            </w: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spacing w:after="0"/>
              <w:rPr>
                <w:sz w:val="24"/>
                <w:szCs w:val="24"/>
                <w:color w:val="auto"/>
              </w:rPr>
            </w:pP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Sigal Srur</w:t>
            </w:r>
          </w:p>
        </w:tc>
        <w:tc>
          <w:tcPr>
            <w:tcW w:w="14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Eynav Azaria</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Human Resources Officer</w:t>
            </w: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Attachments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- 2025 Executive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Navi Azaria - 2025 Amendment to Employment Agmt - 2-10-2025</w:t>
      </w:r>
    </w:p>
    <w:p>
      <w:pPr>
        <w:sectPr>
          <w:pgSz w:w="11900" w:h="16838" w:orient="portrait"/>
          <w:cols w:equalWidth="0" w:num="1">
            <w:col w:w="11240"/>
          </w:cols>
          <w:pgMar w:left="320" w:top="122"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259"/>
        <w:spacing w:after="0" w:line="236" w:lineRule="auto"/>
        <w:rPr>
          <w:sz w:val="20"/>
          <w:szCs w:val="20"/>
          <w:color w:val="auto"/>
        </w:rPr>
      </w:pPr>
      <w:r>
        <w:rPr>
          <w:rFonts w:ascii="Times New Roman" w:cs="Times New Roman" w:eastAsia="Times New Roman" w:hAnsi="Times New Roman"/>
          <w:sz w:val="20"/>
          <w:szCs w:val="20"/>
          <w:color w:val="auto"/>
        </w:rPr>
        <w:t>This AMENDMENT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that certain individual Employment Agreement (as defined below), is made and entered into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2025, by and between </w:t>
      </w:r>
      <w:r>
        <w:rPr>
          <w:rFonts w:ascii="Times New Roman" w:cs="Times New Roman" w:eastAsia="Times New Roman" w:hAnsi="Times New Roman"/>
          <w:sz w:val="20"/>
          <w:szCs w:val="20"/>
          <w:b w:val="1"/>
          <w:bCs w:val="1"/>
          <w:color w:val="auto"/>
        </w:rPr>
        <w:t>Kaltura Ltd.</w:t>
      </w:r>
      <w:r>
        <w:rPr>
          <w:rFonts w:ascii="Times New Roman" w:cs="Times New Roman" w:eastAsia="Times New Roman" w:hAnsi="Times New Roman"/>
          <w:sz w:val="20"/>
          <w:szCs w:val="20"/>
          <w:color w:val="auto"/>
        </w:rPr>
        <w:t>, a company organized under the laws of the State of Israel and having an office and principal place of business at Allied Tower, 9 Ben-Gurion Road, Bnei-Brak, Israel 5126014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and Mr. </w:t>
      </w:r>
      <w:r>
        <w:rPr>
          <w:rFonts w:ascii="Times New Roman" w:cs="Times New Roman" w:eastAsia="Times New Roman" w:hAnsi="Times New Roman"/>
          <w:sz w:val="20"/>
          <w:szCs w:val="20"/>
          <w:b w:val="1"/>
          <w:bCs w:val="1"/>
          <w:color w:val="auto"/>
        </w:rPr>
        <w:t>Natan Israeli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Each of the above is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1300" w:hanging="1295"/>
        <w:spacing w:after="0" w:line="254"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Parties have entered into an individual employment agreement dated November 26, 2020, in connection with the Employee’s employment by the Company, as from time to time amended (the said agreement, together with all the exhibits, attachments and addendums thereto, and any amendments hereto or thereto in accordance with the provisions thereof or hereof, shall be referred to herein as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and</w:t>
      </w:r>
    </w:p>
    <w:p>
      <w:pPr>
        <w:spacing w:after="0" w:line="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wish to amend the Employment Agreement in accordance with the terms herewith;</w:t>
      </w:r>
    </w:p>
    <w:p>
      <w:pPr>
        <w:spacing w:after="0" w:line="200" w:lineRule="exact"/>
        <w:rPr>
          <w:sz w:val="20"/>
          <w:szCs w:val="20"/>
          <w:color w:val="auto"/>
        </w:rPr>
      </w:pPr>
    </w:p>
    <w:p>
      <w:pPr>
        <w:spacing w:after="0" w:line="23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mutual agreements and covenants contained in this Amendment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 adequacy of which are hereby mutually acknowledged), each of the Parties hereby agree as follows:</w:t>
      </w:r>
    </w:p>
    <w:p>
      <w:pPr>
        <w:spacing w:after="0" w:line="297"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 and Interpretation</w:t>
      </w:r>
    </w:p>
    <w:p>
      <w:pPr>
        <w:spacing w:after="0" w:line="125" w:lineRule="exact"/>
        <w:rPr>
          <w:rFonts w:ascii="Times New Roman" w:cs="Times New Roman" w:eastAsia="Times New Roman" w:hAnsi="Times New Roman"/>
          <w:sz w:val="20"/>
          <w:szCs w:val="20"/>
          <w:color w:val="auto"/>
        </w:rPr>
      </w:pPr>
    </w:p>
    <w:p>
      <w:pPr>
        <w:ind w:left="900" w:hanging="57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Capitalized terms used but not otherwise defined herein have the respective meanings set forth in the Employment Agreement. All capitalized terms used but not defined hereinabove or in the Employment Agreement, shall have the meaning ascribed for them as in the recitals or as hereinbelow defined.</w:t>
      </w:r>
    </w:p>
    <w:p>
      <w:pPr>
        <w:spacing w:after="0" w:line="73"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The preface to this Amendment constitutes an indivisible and integral part thereof.</w:t>
      </w:r>
    </w:p>
    <w:p>
      <w:pPr>
        <w:spacing w:after="0" w:line="107" w:lineRule="exact"/>
        <w:rPr>
          <w:rFonts w:ascii="Times New Roman" w:cs="Times New Roman" w:eastAsia="Times New Roman" w:hAnsi="Times New Roman"/>
          <w:sz w:val="20"/>
          <w:szCs w:val="20"/>
          <w:color w:val="auto"/>
        </w:rPr>
      </w:pPr>
    </w:p>
    <w:p>
      <w:pPr>
        <w:ind w:left="900" w:hanging="57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spacing w:after="0" w:line="31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111"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The Employee’s entitlement to an annual Bonus for the calendar year of 2025 shall be determined, for such year only, on the basis of the Employee’s and the Company’s attainment of certain goals and objectives defined by the Company, which are set forth in the Employee’s annual bonus plan according to the Company’s 2025 Executive Compensation Plan as approved by its Compensation Committee on or about January 6, 2025, a summary of which is enclosed as </w:t>
      </w:r>
      <w:r>
        <w:rPr>
          <w:rFonts w:ascii="Times New Roman" w:cs="Times New Roman" w:eastAsia="Times New Roman" w:hAnsi="Times New Roman"/>
          <w:sz w:val="20"/>
          <w:szCs w:val="20"/>
          <w:b w:val="1"/>
          <w:bCs w:val="1"/>
          <w:u w:val="single" w:color="auto"/>
          <w:color w:val="auto"/>
        </w:rPr>
        <w:t>Annex A</w:t>
      </w:r>
      <w:r>
        <w:rPr>
          <w:rFonts w:ascii="Times New Roman" w:cs="Times New Roman" w:eastAsia="Times New Roman" w:hAnsi="Times New Roman"/>
          <w:sz w:val="20"/>
          <w:szCs w:val="20"/>
          <w:color w:val="auto"/>
        </w:rPr>
        <w:t xml:space="preserve"> hereof, and as shall further be determined and approved by Kaltura, Inc.’s (the parent company of the Company) Compensation Committee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and Kaltura,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Natan Israeli - 2025 Amendment to Employment Agmt - 2-10-2025</w:t>
      </w:r>
    </w:p>
    <w:p>
      <w:pPr>
        <w:sectPr>
          <w:pgSz w:w="11900" w:h="16838" w:orient="portrait"/>
          <w:cols w:equalWidth="0" w:num="1">
            <w:col w:w="11240"/>
          </w:cols>
          <w:pgMar w:left="320" w:top="1152"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820"/>
        <w:spacing w:after="0" w:line="273" w:lineRule="auto"/>
        <w:rPr>
          <w:sz w:val="20"/>
          <w:szCs w:val="20"/>
          <w:color w:val="auto"/>
        </w:rPr>
      </w:pPr>
      <w:r>
        <w:rPr>
          <w:rFonts w:ascii="Times New Roman" w:cs="Times New Roman" w:eastAsia="Times New Roman" w:hAnsi="Times New Roman"/>
          <w:sz w:val="20"/>
          <w:szCs w:val="20"/>
          <w:color w:val="auto"/>
        </w:rPr>
        <w:t>Inc.’s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respect to the 2025 individual OKRs and performance targets and goals (the “</w:t>
      </w:r>
      <w:r>
        <w:rPr>
          <w:rFonts w:ascii="Times New Roman" w:cs="Times New Roman" w:eastAsia="Times New Roman" w:hAnsi="Times New Roman"/>
          <w:sz w:val="20"/>
          <w:szCs w:val="20"/>
          <w:b w:val="1"/>
          <w:bCs w:val="1"/>
          <w:color w:val="auto"/>
        </w:rPr>
        <w:t>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Executive Compensation Plan</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Accordingly, subject to the successive Subsections of this Section 5, the 2025 annual Bonus shall be as follows:</w:t>
      </w:r>
    </w:p>
    <w:p>
      <w:pPr>
        <w:spacing w:after="0" w:line="121"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2.1.1.</w:t>
        <w:tab/>
        <w:t xml:space="preserve">The potential maximum annual Bonus with respect to 100% attainment, satisfaction and performance against the 2025 Executive Compensation Plan’s targets and thresholds (namely, Individual Objectives and Company Financial Goals KPIs and OKRs) as elaborated in the 2025 Executive Compensation Plan, shall equal the gross amount of USD 223,000, namely, </w:t>
      </w:r>
      <w:r>
        <w:rPr>
          <w:rFonts w:ascii="Times New Roman" w:cs="Times New Roman" w:eastAsia="Times New Roman" w:hAnsi="Times New Roman"/>
          <w:sz w:val="20"/>
          <w:szCs w:val="20"/>
          <w:b w:val="1"/>
          <w:bCs w:val="1"/>
          <w:color w:val="auto"/>
        </w:rPr>
        <w:t>NIS 825,100</w:t>
      </w:r>
      <w:r>
        <w:rPr>
          <w:rFonts w:ascii="Times New Roman" w:cs="Times New Roman" w:eastAsia="Times New Roman" w:hAnsi="Times New Roman"/>
          <w:sz w:val="20"/>
          <w:szCs w:val="20"/>
          <w:color w:val="auto"/>
        </w:rPr>
        <w:t xml:space="preserve"> (herein, the “</w:t>
      </w:r>
      <w:r>
        <w:rPr>
          <w:rFonts w:ascii="Times New Roman" w:cs="Times New Roman" w:eastAsia="Times New Roman" w:hAnsi="Times New Roman"/>
          <w:sz w:val="20"/>
          <w:szCs w:val="20"/>
          <w:b w:val="1"/>
          <w:bCs w:val="1"/>
          <w:color w:val="auto"/>
        </w:rPr>
        <w:t>Base OTB</w:t>
      </w:r>
      <w:r>
        <w:rPr>
          <w:rFonts w:ascii="Times New Roman" w:cs="Times New Roman" w:eastAsia="Times New Roman" w:hAnsi="Times New Roman"/>
          <w:sz w:val="20"/>
          <w:szCs w:val="20"/>
          <w:color w:val="auto"/>
        </w:rPr>
        <w:t>”).</w:t>
      </w:r>
    </w:p>
    <w:p>
      <w:pPr>
        <w:spacing w:after="0" w:line="75" w:lineRule="exact"/>
        <w:rPr>
          <w:sz w:val="20"/>
          <w:szCs w:val="20"/>
          <w:color w:val="auto"/>
        </w:rPr>
      </w:pPr>
    </w:p>
    <w:p>
      <w:pPr>
        <w:jc w:val="both"/>
        <w:ind w:left="1460" w:hanging="647"/>
        <w:spacing w:after="0" w:line="254" w:lineRule="auto"/>
        <w:tabs>
          <w:tab w:leader="none" w:pos="1440" w:val="left"/>
        </w:tabs>
        <w:rPr>
          <w:sz w:val="20"/>
          <w:szCs w:val="20"/>
          <w:color w:val="auto"/>
        </w:rPr>
      </w:pPr>
      <w:r>
        <w:rPr>
          <w:rFonts w:ascii="Times New Roman" w:cs="Times New Roman" w:eastAsia="Times New Roman" w:hAnsi="Times New Roman"/>
          <w:sz w:val="20"/>
          <w:szCs w:val="20"/>
          <w:color w:val="auto"/>
        </w:rPr>
        <w:t>2.1.2.</w:t>
        <w:tab/>
        <w:t>The potential maximum annual additional stretch bonus for overachievement against such goals (&gt;100%) (the “</w:t>
      </w:r>
      <w:r>
        <w:rPr>
          <w:rFonts w:ascii="Times New Roman" w:cs="Times New Roman" w:eastAsia="Times New Roman" w:hAnsi="Times New Roman"/>
          <w:sz w:val="20"/>
          <w:szCs w:val="20"/>
          <w:b w:val="1"/>
          <w:bCs w:val="1"/>
          <w:color w:val="auto"/>
        </w:rPr>
        <w:t>Stretch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is still subject to the determination and approval of the metrics by the Compensation Committee and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Based on past year’s metrics, if approved for 2025, the potential Stretch Bonus is expected to equal the gross amount of up to USD 84,000, namely, </w:t>
      </w:r>
      <w:r>
        <w:rPr>
          <w:rFonts w:ascii="Times New Roman" w:cs="Times New Roman" w:eastAsia="Times New Roman" w:hAnsi="Times New Roman"/>
          <w:sz w:val="20"/>
          <w:szCs w:val="20"/>
          <w:b w:val="1"/>
          <w:bCs w:val="1"/>
          <w:color w:val="auto"/>
        </w:rPr>
        <w:t>NIS 310,800</w:t>
      </w:r>
      <w:r>
        <w:rPr>
          <w:rFonts w:ascii="Times New Roman" w:cs="Times New Roman" w:eastAsia="Times New Roman" w:hAnsi="Times New Roman"/>
          <w:sz w:val="20"/>
          <w:szCs w:val="20"/>
          <w:color w:val="auto"/>
        </w:rPr>
        <w:t xml:space="preserve"> (based on a Stretch Bonus of 137.5% of Base OTB); however, the final amount shall be determined by the Compensation Committee and the Board at their sole discretion.</w:t>
      </w:r>
    </w:p>
    <w:p>
      <w:pPr>
        <w:spacing w:after="0" w:line="83" w:lineRule="exact"/>
        <w:rPr>
          <w:sz w:val="20"/>
          <w:szCs w:val="20"/>
          <w:color w:val="auto"/>
        </w:rPr>
      </w:pPr>
    </w:p>
    <w:p>
      <w:pPr>
        <w:ind w:left="820" w:right="20" w:hanging="485"/>
        <w:spacing w:after="0" w:line="283" w:lineRule="auto"/>
        <w:tabs>
          <w:tab w:leader="none" w:pos="800" w:val="left"/>
        </w:tabs>
        <w:rPr>
          <w:sz w:val="20"/>
          <w:szCs w:val="20"/>
          <w:color w:val="auto"/>
        </w:rPr>
      </w:pPr>
      <w:r>
        <w:rPr>
          <w:rFonts w:ascii="Times New Roman" w:cs="Times New Roman" w:eastAsia="Times New Roman" w:hAnsi="Times New Roman"/>
          <w:sz w:val="20"/>
          <w:szCs w:val="20"/>
          <w:color w:val="auto"/>
        </w:rPr>
        <w:t>2.2.</w:t>
        <w:tab/>
        <w:t>All Bonus payments, if any, shall be subject to all mandatory withholdings and deductions, and shall be deemed to be quoted in gross figures.</w:t>
      </w:r>
    </w:p>
    <w:p>
      <w:pPr>
        <w:spacing w:after="0" w:line="277"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Benefits</w:t>
      </w:r>
    </w:p>
    <w:p>
      <w:pPr>
        <w:spacing w:after="0" w:line="125" w:lineRule="exact"/>
        <w:rPr>
          <w:rFonts w:ascii="Times New Roman" w:cs="Times New Roman" w:eastAsia="Times New Roman" w:hAnsi="Times New Roman"/>
          <w:sz w:val="20"/>
          <w:szCs w:val="20"/>
          <w:color w:val="auto"/>
        </w:rPr>
      </w:pPr>
    </w:p>
    <w:p>
      <w:pPr>
        <w:ind w:left="820" w:hanging="486"/>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3.1. Subject to the approval of the Compensation Committee of the Board of Directors of Kaltura, Inc., and the terms and conditions stipulated below, the Company anticipates granting the Employee </w:t>
      </w:r>
      <w:r>
        <w:rPr>
          <w:rFonts w:ascii="Times New Roman" w:cs="Times New Roman" w:eastAsia="Times New Roman" w:hAnsi="Times New Roman"/>
          <w:sz w:val="20"/>
          <w:szCs w:val="20"/>
          <w:b w:val="1"/>
          <w:bCs w:val="1"/>
          <w:color w:val="auto"/>
        </w:rPr>
        <w:t>605,263</w:t>
      </w:r>
      <w:r>
        <w:rPr>
          <w:rFonts w:ascii="Times New Roman" w:cs="Times New Roman" w:eastAsia="Times New Roman" w:hAnsi="Times New Roman"/>
          <w:sz w:val="20"/>
          <w:szCs w:val="20"/>
          <w:color w:val="auto"/>
        </w:rPr>
        <w:t xml:space="preserve"> RSUs as stipulated in the 2025 Executive Compensation Plan (herein, “</w:t>
      </w:r>
      <w:r>
        <w:rPr>
          <w:rFonts w:ascii="Times New Roman" w:cs="Times New Roman" w:eastAsia="Times New Roman" w:hAnsi="Times New Roman"/>
          <w:sz w:val="20"/>
          <w:szCs w:val="20"/>
          <w:b w:val="1"/>
          <w:bCs w:val="1"/>
          <w:color w:val="auto"/>
        </w:rPr>
        <w:t>LTI RSUs</w:t>
      </w:r>
      <w:r>
        <w:rPr>
          <w:rFonts w:ascii="Times New Roman" w:cs="Times New Roman" w:eastAsia="Times New Roman" w:hAnsi="Times New Roman"/>
          <w:sz w:val="20"/>
          <w:szCs w:val="20"/>
          <w:color w:val="auto"/>
        </w:rPr>
        <w:t>”).</w:t>
      </w:r>
    </w:p>
    <w:p>
      <w:pPr>
        <w:spacing w:after="0" w:line="59" w:lineRule="exact"/>
        <w:rPr>
          <w:rFonts w:ascii="Times New Roman" w:cs="Times New Roman" w:eastAsia="Times New Roman" w:hAnsi="Times New Roman"/>
          <w:sz w:val="20"/>
          <w:szCs w:val="20"/>
          <w:color w:val="auto"/>
        </w:rPr>
      </w:pPr>
    </w:p>
    <w:p>
      <w:pPr>
        <w:ind w:left="820" w:hanging="486"/>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The LTI RSUs, if awarded, will be governed by the terms and conditions of the Company’s 2021 Plan, the respective provisions of the 2025 Executive Compensation Plan and applicable award agreements.</w:t>
      </w:r>
    </w:p>
    <w:p>
      <w:pPr>
        <w:spacing w:after="0" w:line="52" w:lineRule="exact"/>
        <w:rPr>
          <w:sz w:val="20"/>
          <w:szCs w:val="20"/>
          <w:color w:val="auto"/>
        </w:rPr>
      </w:pPr>
    </w:p>
    <w:p>
      <w:pPr>
        <w:jc w:val="both"/>
        <w:ind w:left="820"/>
        <w:spacing w:after="0" w:line="269" w:lineRule="auto"/>
        <w:rPr>
          <w:sz w:val="20"/>
          <w:szCs w:val="20"/>
          <w:color w:val="auto"/>
        </w:rPr>
      </w:pPr>
      <w:r>
        <w:rPr>
          <w:rFonts w:ascii="Times New Roman" w:cs="Times New Roman" w:eastAsia="Times New Roman" w:hAnsi="Times New Roman"/>
          <w:sz w:val="20"/>
          <w:szCs w:val="20"/>
          <w:color w:val="auto"/>
        </w:rPr>
        <w:t>Subject to the above, if and to the extent the Employee shall be granted LTI RSUs, then the grant thereof shall be subject to the following:</w:t>
      </w:r>
    </w:p>
    <w:p>
      <w:pPr>
        <w:spacing w:after="0" w:line="65" w:lineRule="exact"/>
        <w:rPr>
          <w:sz w:val="20"/>
          <w:szCs w:val="20"/>
          <w:color w:val="auto"/>
        </w:rPr>
      </w:pPr>
    </w:p>
    <w:p>
      <w:pPr>
        <w:jc w:val="both"/>
        <w:ind w:left="1540" w:hanging="728"/>
        <w:spacing w:after="0" w:line="269" w:lineRule="auto"/>
        <w:tabs>
          <w:tab w:leader="none" w:pos="15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effective as of the effective date of the Compensation Committee’s approval of the 2025 Executive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Compensation Plan, namely, January 6, 2025.</w:t>
      </w:r>
    </w:p>
    <w:p>
      <w:pPr>
        <w:spacing w:after="0" w:line="65" w:lineRule="exact"/>
        <w:rPr>
          <w:sz w:val="20"/>
          <w:szCs w:val="20"/>
          <w:color w:val="auto"/>
        </w:rPr>
      </w:pPr>
    </w:p>
    <w:p>
      <w:pPr>
        <w:jc w:val="both"/>
        <w:ind w:left="1540" w:hanging="728"/>
        <w:spacing w:after="0" w:line="239" w:lineRule="auto"/>
        <w:tabs>
          <w:tab w:leader="none" w:pos="152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Three-year quarterly, commencing retroactively from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2025, subject to the Employee’s continued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employment with, or services to, the Company or any of its affiliates or subsidiaries through the applicable vesting date unless determined otherwise under any applicable Corporate Transaction and/or Double Trigger provisions as stipulated in the 2021 Plan and/or any other agreements with the Employee (including the Employment Agreement).</w:t>
      </w:r>
    </w:p>
    <w:p>
      <w:pPr>
        <w:spacing w:after="0" w:line="80" w:lineRule="exact"/>
        <w:rPr>
          <w:sz w:val="20"/>
          <w:szCs w:val="20"/>
          <w:color w:val="auto"/>
        </w:rPr>
      </w:pPr>
    </w:p>
    <w:p>
      <w:pPr>
        <w:jc w:val="both"/>
        <w:ind w:left="1540" w:hanging="728"/>
        <w:spacing w:after="0" w:line="268" w:lineRule="auto"/>
        <w:tabs>
          <w:tab w:leader="none" w:pos="152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the LTI RSUs award shall be made pursuant to the 2021 Plan, the 2025 Executive Compensation Plan,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appropriate award agreement to be executed by the Employee and countersigned by Kaltura, Inc., and to the execution and delivery of all required agreements and instruments pursuant to the 2021 Plan and Kaltura, Inc.’s policies.</w:t>
      </w:r>
    </w:p>
    <w:p>
      <w:pPr>
        <w:spacing w:after="0" w:line="53" w:lineRule="exact"/>
        <w:rPr>
          <w:sz w:val="20"/>
          <w:szCs w:val="20"/>
          <w:color w:val="auto"/>
        </w:rPr>
      </w:pPr>
    </w:p>
    <w:p>
      <w:pPr>
        <w:jc w:val="both"/>
        <w:ind w:left="1540" w:hanging="728"/>
        <w:spacing w:after="0" w:line="283" w:lineRule="auto"/>
        <w:tabs>
          <w:tab w:leader="none" w:pos="152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20"/>
          <w:szCs w:val="20"/>
          <w:u w:val="single" w:color="auto"/>
          <w:color w:val="auto"/>
        </w:rPr>
        <w:t>Double Trigger</w:t>
      </w:r>
      <w:r>
        <w:rPr>
          <w:rFonts w:ascii="Times New Roman" w:cs="Times New Roman" w:eastAsia="Times New Roman" w:hAnsi="Times New Roman"/>
          <w:sz w:val="20"/>
          <w:szCs w:val="20"/>
          <w:color w:val="auto"/>
        </w:rPr>
        <w:t>: The LTI RSUs award agreement shall include the double trigger accelerated vesting mechanism as set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forth in the 2021 Plan and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Natan Israeli - 2025 Amendment to Employment Agmt - 2-10-2025</w:t>
      </w:r>
    </w:p>
    <w:p>
      <w:pPr>
        <w:sectPr>
          <w:pgSz w:w="11900" w:h="16838" w:orient="portrait"/>
          <w:cols w:equalWidth="0" w:num="1">
            <w:col w:w="11240"/>
          </w:cols>
          <w:pgMar w:left="320" w:top="122"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agreements and Compensation Committee resolutions applicable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 Period for Termination</w:t>
      </w:r>
    </w:p>
    <w:p>
      <w:pPr>
        <w:spacing w:after="0" w:line="125" w:lineRule="exact"/>
        <w:rPr>
          <w:sz w:val="20"/>
          <w:szCs w:val="20"/>
          <w:color w:val="auto"/>
        </w:rPr>
      </w:pPr>
    </w:p>
    <w:p>
      <w:pPr>
        <w:ind w:left="900" w:hanging="569"/>
        <w:spacing w:after="0" w:line="283" w:lineRule="auto"/>
        <w:tabs>
          <w:tab w:leader="none" w:pos="880" w:val="left"/>
        </w:tabs>
        <w:rPr>
          <w:sz w:val="20"/>
          <w:szCs w:val="20"/>
          <w:color w:val="auto"/>
        </w:rPr>
      </w:pPr>
      <w:r>
        <w:rPr>
          <w:rFonts w:ascii="Times New Roman" w:cs="Times New Roman" w:eastAsia="Times New Roman" w:hAnsi="Times New Roman"/>
          <w:sz w:val="20"/>
          <w:szCs w:val="20"/>
          <w:color w:val="auto"/>
        </w:rPr>
        <w:t>4.1.</w:t>
        <w:tab/>
        <w:t>The term of the Notice Period for the Employee’s termination of employment or resignation under this Agreement (herein,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shall be extended as follows:</w:t>
      </w:r>
    </w:p>
    <w:p>
      <w:pPr>
        <w:spacing w:after="0" w:line="38" w:lineRule="exact"/>
        <w:rPr>
          <w:sz w:val="20"/>
          <w:szCs w:val="20"/>
          <w:color w:val="auto"/>
        </w:rPr>
      </w:pPr>
    </w:p>
    <w:p>
      <w:pPr>
        <w:jc w:val="both"/>
        <w:ind w:left="1540" w:hanging="647"/>
        <w:spacing w:after="0" w:line="258" w:lineRule="auto"/>
        <w:tabs>
          <w:tab w:leader="none" w:pos="1520" w:val="left"/>
        </w:tabs>
        <w:rPr>
          <w:sz w:val="20"/>
          <w:szCs w:val="20"/>
          <w:color w:val="auto"/>
        </w:rPr>
      </w:pPr>
      <w:r>
        <w:rPr>
          <w:rFonts w:ascii="Times New Roman" w:cs="Times New Roman" w:eastAsia="Times New Roman" w:hAnsi="Times New Roman"/>
          <w:sz w:val="20"/>
          <w:szCs w:val="20"/>
          <w:color w:val="auto"/>
        </w:rPr>
        <w:t>4.1.1.</w:t>
        <w:tab/>
        <w:t>In the event of termination of the Term of Employment by the Company without Cause, the Employee shall be entitled to receive from the Company a 120-day advance written notice of termination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or a payment in lieu thereof (the In Lieu Payment as defined in Section 5.1.3 below); as the Company may elect at its sole and absolute discretion.</w:t>
      </w:r>
    </w:p>
    <w:p>
      <w:pPr>
        <w:spacing w:after="0" w:line="78" w:lineRule="exact"/>
        <w:rPr>
          <w:sz w:val="20"/>
          <w:szCs w:val="20"/>
          <w:color w:val="auto"/>
        </w:rPr>
      </w:pPr>
    </w:p>
    <w:p>
      <w:pPr>
        <w:jc w:val="both"/>
        <w:ind w:left="1540" w:hanging="647"/>
        <w:spacing w:after="0" w:line="271" w:lineRule="auto"/>
        <w:tabs>
          <w:tab w:leader="none" w:pos="15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color w:val="auto"/>
        </w:rPr>
        <w:t>In the event of resignation by the Employee, the Employee shall provide the Company a 90-day advance written notice of Termination (“</w:t>
      </w:r>
      <w:r>
        <w:rPr>
          <w:rFonts w:ascii="Times New Roman" w:cs="Times New Roman" w:eastAsia="Times New Roman" w:hAnsi="Times New Roman"/>
          <w:sz w:val="19"/>
          <w:szCs w:val="19"/>
          <w:b w:val="1"/>
          <w:bCs w:val="1"/>
          <w:color w:val="auto"/>
        </w:rPr>
        <w:t>Resignation Notice Period</w:t>
      </w:r>
      <w:r>
        <w:rPr>
          <w:rFonts w:ascii="Times New Roman" w:cs="Times New Roman" w:eastAsia="Times New Roman" w:hAnsi="Times New Roman"/>
          <w:sz w:val="19"/>
          <w:szCs w:val="19"/>
          <w:color w:val="auto"/>
        </w:rPr>
        <w:t>”), regardless of any employment-at-will provisions that may apply, where in such case, the Company may elect, at its sole discretion, to waive the Employee’s employment during such notice period (or any part thereof) and pay the Employee an In Lieu Payment in redemption thereof as set forth in Section 5.1.3 below.</w:t>
      </w:r>
    </w:p>
    <w:p>
      <w:pPr>
        <w:spacing w:after="0" w:line="66"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4.1.3.</w:t>
        <w:tab/>
        <w:t>During the Notice Period, whether notice has been given by the Employee or by the Company, the Employee shall continue to work unless instructed otherwise by the Company and shall cooperate with the Company in handing over his roles and responsibilities to his successor.</w:t>
      </w:r>
    </w:p>
    <w:p>
      <w:pPr>
        <w:spacing w:after="0" w:line="73" w:lineRule="exact"/>
        <w:rPr>
          <w:sz w:val="20"/>
          <w:szCs w:val="20"/>
          <w:color w:val="auto"/>
        </w:rPr>
      </w:pPr>
    </w:p>
    <w:p>
      <w:pPr>
        <w:jc w:val="both"/>
        <w:ind w:left="1540"/>
        <w:spacing w:after="0" w:line="264" w:lineRule="auto"/>
        <w:rPr>
          <w:sz w:val="20"/>
          <w:szCs w:val="20"/>
          <w:color w:val="auto"/>
        </w:rPr>
      </w:pPr>
      <w:r>
        <w:rPr>
          <w:rFonts w:ascii="Times New Roman" w:cs="Times New Roman" w:eastAsia="Times New Roman" w:hAnsi="Times New Roman"/>
          <w:sz w:val="19"/>
          <w:szCs w:val="19"/>
          <w:color w:val="auto"/>
        </w:rPr>
        <w:t>Notwithstanding the above, the Company shall be entitled, but not obligated, at any time prior to the expiration of the Notice Period or Resignation Notice Period, as the case may be, at its sole discretion, either: (i) to waive the Employee’s actual work during such period, in which event the Company shall continue to pay and award to the Employee all the payments, rights, and benefits under the Employment Agreement payable to the Employee during the remainder of the Notice Period or Resignation Notice Period (namely, unpaid Monthly Salary (including the allowances accrued thereupon or associated therewith), unused paid time off, unpaid expense reimbursements, and earned but unpaid Performance Based Compensation from prior fiscal years); or (ii) to immediately terminate the Employment Agreement and the employment relationship thereunder at any time prior to the expiration of the Notice Period or Resignation Notice Period, as the case may be, and pay the Employee all accrued obligation for such 180-days’ Notice Period from the surrender of the notice through the supposed date of termination but for the cash conversion in lieu of the Notice Period, namely, unpaid Monthly Salary (including the allowances accrued thereupon or associated therewith), unused paid time off, unpaid expense reimbursements, and earned but unpaid Performance Based Compensation from prior fiscal years; all, until the lapse of the notice period but for the cash conversion in lieu thereof) (collectively, the “</w:t>
      </w:r>
      <w:r>
        <w:rPr>
          <w:rFonts w:ascii="Times New Roman" w:cs="Times New Roman" w:eastAsia="Times New Roman" w:hAnsi="Times New Roman"/>
          <w:sz w:val="19"/>
          <w:szCs w:val="19"/>
          <w:b w:val="1"/>
          <w:bCs w:val="1"/>
          <w:color w:val="auto"/>
        </w:rPr>
        <w:t>In Lieu Payment</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ind w:left="1540" w:right="20" w:hanging="647"/>
        <w:spacing w:after="0" w:line="283" w:lineRule="auto"/>
        <w:tabs>
          <w:tab w:leader="none" w:pos="1520" w:val="left"/>
        </w:tabs>
        <w:rPr>
          <w:sz w:val="20"/>
          <w:szCs w:val="20"/>
          <w:color w:val="auto"/>
        </w:rPr>
      </w:pPr>
      <w:r>
        <w:rPr>
          <w:rFonts w:ascii="Times New Roman" w:cs="Times New Roman" w:eastAsia="Times New Roman" w:hAnsi="Times New Roman"/>
          <w:sz w:val="20"/>
          <w:szCs w:val="20"/>
          <w:color w:val="auto"/>
        </w:rPr>
        <w:t>4.1.4.</w:t>
        <w:tab/>
        <w:t>In the event of a Corporate Transaction that triggers the “double-trigger” mechanisms included in the Employment Agreement and/or in the 2021 Kaltura, Inc. Incentive Award Plan and Israeli Sub-Plan (the “</w:t>
      </w:r>
      <w:r>
        <w:rPr>
          <w:rFonts w:ascii="Times New Roman" w:cs="Times New Roman" w:eastAsia="Times New Roman" w:hAnsi="Times New Roman"/>
          <w:sz w:val="20"/>
          <w:szCs w:val="20"/>
          <w:b w:val="1"/>
          <w:bCs w:val="1"/>
          <w:color w:val="auto"/>
        </w:rPr>
        <w:t>2021 Plan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Natan Israeli - 2025 Amendment to Employment Agmt - 2-10-2025</w:t>
      </w:r>
    </w:p>
    <w:p>
      <w:pPr>
        <w:sectPr>
          <w:pgSz w:w="11900" w:h="16838" w:orient="portrait"/>
          <w:cols w:equalWidth="0" w:num="1">
            <w:col w:w="11240"/>
          </w:cols>
          <w:pgMar w:left="320" w:top="122"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540"/>
        <w:spacing w:after="0" w:line="264" w:lineRule="auto"/>
        <w:rPr>
          <w:sz w:val="20"/>
          <w:szCs w:val="20"/>
          <w:color w:val="auto"/>
        </w:rPr>
      </w:pPr>
      <w:r>
        <w:rPr>
          <w:rFonts w:ascii="Times New Roman" w:cs="Times New Roman" w:eastAsia="Times New Roman" w:hAnsi="Times New Roman"/>
          <w:sz w:val="19"/>
          <w:szCs w:val="19"/>
          <w:color w:val="auto"/>
        </w:rPr>
        <w:t>and/or any previous incentive award plan of the Company applicable to the Employee, including termination or resignation for Good Reasons in such circumstances, the Employee shall also be entitled to the respective portion of the Performance Based Compensation for the employment period at the current year at which the Termination occurs until the Effective Date of Termination plus the respective advance written notice period (i.e., either the Employee’s notice period due to resignation for Good Reason or the Company’s Notice Period due to termination by the Company, both, under the double-trigger mechanism, regardless redemption thereof through In Lieu Payment), even if such period shall end at the subsequent calendar/fiscal year (the “</w:t>
      </w:r>
      <w:r>
        <w:rPr>
          <w:rFonts w:ascii="Times New Roman" w:cs="Times New Roman" w:eastAsia="Times New Roman" w:hAnsi="Times New Roman"/>
          <w:sz w:val="19"/>
          <w:szCs w:val="19"/>
          <w:b w:val="1"/>
          <w:bCs w:val="1"/>
          <w:color w:val="auto"/>
        </w:rPr>
        <w:t>MBO Entitlement Period</w:t>
      </w:r>
      <w:r>
        <w:rPr>
          <w:rFonts w:ascii="Times New Roman" w:cs="Times New Roman" w:eastAsia="Times New Roman" w:hAnsi="Times New Roman"/>
          <w:sz w:val="19"/>
          <w:szCs w:val="19"/>
          <w:color w:val="auto"/>
        </w:rPr>
        <w:t>”). Except as specifically agreed otherwise, the measurement of the MBO KPIs attainment for the individual and Company goals with respect to the MBO Entitlement Period, and the calculation and payment of the respective Performance Based Compensation in respect thereof, shall be made upon the settlement of accounts at the Effective Date of Termination or In Lieu Payment, as applicable, based on the Company’s estimation of the then expected Company’s target results and proforma financial statements. In such a case, the respective Performance Based Compensation amount shall be so affixed by the Company at its sole discretion regardless of the actual results de facto, and in the absent of any manifest error, the Company’s calculation shall be deemed as final non-appealable calculation of the respective Performance Based Compensation amount.</w:t>
      </w:r>
    </w:p>
    <w:p>
      <w:pPr>
        <w:spacing w:after="0" w:line="6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To dispel doubt, the above shall not derogate anything from:</w:t>
      </w:r>
    </w:p>
    <w:p>
      <w:pPr>
        <w:spacing w:after="0" w:line="121" w:lineRule="exact"/>
        <w:rPr>
          <w:sz w:val="20"/>
          <w:szCs w:val="20"/>
          <w:color w:val="auto"/>
        </w:rPr>
      </w:pPr>
    </w:p>
    <w:p>
      <w:pPr>
        <w:jc w:val="both"/>
        <w:ind w:left="1540" w:hanging="647"/>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4.2.1.</w:t>
        <w:tab/>
        <w:t>Any specific special terms relating to termination for Cause, and in any event of discrepancy or inconsistency between the provisions of such special termination terms for Cause and the standard regular provisions as set forth herein, the special provisions regarding Cause event shall prevail; and</w:t>
      </w:r>
    </w:p>
    <w:p>
      <w:pPr>
        <w:spacing w:after="0" w:line="60" w:lineRule="exact"/>
        <w:rPr>
          <w:sz w:val="20"/>
          <w:szCs w:val="20"/>
          <w:color w:val="auto"/>
        </w:rPr>
      </w:pPr>
    </w:p>
    <w:p>
      <w:pPr>
        <w:jc w:val="both"/>
        <w:ind w:left="1540" w:hanging="647"/>
        <w:spacing w:after="0" w:line="244" w:lineRule="auto"/>
        <w:tabs>
          <w:tab w:leader="none" w:pos="1520" w:val="left"/>
        </w:tabs>
        <w:rPr>
          <w:sz w:val="20"/>
          <w:szCs w:val="20"/>
          <w:color w:val="auto"/>
        </w:rPr>
      </w:pPr>
      <w:r>
        <w:rPr>
          <w:rFonts w:ascii="Times New Roman" w:cs="Times New Roman" w:eastAsia="Times New Roman" w:hAnsi="Times New Roman"/>
          <w:sz w:val="20"/>
          <w:szCs w:val="20"/>
          <w:color w:val="auto"/>
        </w:rPr>
        <w:t>4.2.2.</w:t>
        <w:tab/>
        <w:t>Any specific special terms referring to (i) Relocation as defined under the Kaltura, Inc. Relocation Policy and Executives Relocation Policy as approved by the Compensation Committee on November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2024, and the Board of Directors on November 20, 2024, to the extent applicable; (ii) Corporate Transactions, Change in Control, and “double trigger” mechanisms included and defined in the Employment Agreement (if included), the 2021 Plan and any previous incentive award plan of the Company applicable to the Employee; and (iii) any other particular arrangements;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terms under subsections (i), (ii) and (iii) above are more beneficiary to the Employee than the terms hereof. Accordingly, in any event of discrepancy or inconsistency between the provisions of such special terms and arrangements and the standard regular provisions as set forth in Section 5.1 herein, the employee-favorable conditions shall apply and the special provisions shall prevail inasmuch as they award more beneficial terms in such circumstances.</w:t>
      </w:r>
    </w:p>
    <w:p>
      <w:pPr>
        <w:spacing w:after="0" w:line="331"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11" w:lineRule="exact"/>
        <w:rPr>
          <w:rFonts w:ascii="Times New Roman" w:cs="Times New Roman" w:eastAsia="Times New Roman" w:hAnsi="Times New Roman"/>
          <w:sz w:val="20"/>
          <w:szCs w:val="20"/>
          <w:color w:val="auto"/>
        </w:rPr>
      </w:pPr>
    </w:p>
    <w:p>
      <w:pPr>
        <w:ind w:left="820" w:hanging="486"/>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 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Natan Israeli - 2025 Amendment to Employment Agmt - 2-10-2025</w:t>
      </w:r>
    </w:p>
    <w:p>
      <w:pPr>
        <w:sectPr>
          <w:pgSz w:w="11900" w:h="16838" w:orient="portrait"/>
          <w:cols w:equalWidth="0" w:num="1">
            <w:col w:w="11240"/>
          </w:cols>
          <w:pgMar w:left="320" w:top="122"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hanging="485"/>
        <w:spacing w:after="0" w:line="269" w:lineRule="auto"/>
        <w:tabs>
          <w:tab w:leader="none" w:pos="800" w:val="left"/>
        </w:tabs>
        <w:rPr>
          <w:sz w:val="20"/>
          <w:szCs w:val="20"/>
          <w:color w:val="auto"/>
        </w:rPr>
      </w:pPr>
      <w:r>
        <w:rPr>
          <w:rFonts w:ascii="Times New Roman" w:cs="Times New Roman" w:eastAsia="Times New Roman" w:hAnsi="Times New Roman"/>
          <w:sz w:val="20"/>
          <w:szCs w:val="20"/>
          <w:color w:val="auto"/>
        </w:rPr>
        <w:t>5.2.</w:t>
        <w:tab/>
        <w:t>This Amendment may be executed in one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as of the date first hereinabove set forth: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Kaltura Ltd.</w:t>
            </w: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spacing w:after="0"/>
              <w:rPr>
                <w:sz w:val="24"/>
                <w:szCs w:val="24"/>
                <w:color w:val="auto"/>
              </w:rPr>
            </w:pP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Sigal Srur</w:t>
            </w:r>
          </w:p>
        </w:tc>
        <w:tc>
          <w:tcPr>
            <w:tcW w:w="14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Natan Israeli</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Human Resources Officer</w:t>
            </w: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Attachments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- 2025 Executive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Natan Israeli - 2025 Amendment to Employment Agmt - 2-10-2025</w:t>
      </w:r>
    </w:p>
    <w:p>
      <w:pPr>
        <w:sectPr>
          <w:pgSz w:w="11900" w:h="16838" w:orient="portrait"/>
          <w:cols w:equalWidth="0" w:num="1">
            <w:col w:w="11240"/>
          </w:cols>
          <w:pgMar w:left="320" w:top="122"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345" w:lineRule="exact"/>
        <w:rPr>
          <w:sz w:val="20"/>
          <w:szCs w:val="20"/>
          <w:color w:val="auto"/>
        </w:rPr>
      </w:pPr>
    </w:p>
    <w:p>
      <w:pPr>
        <w:jc w:val="both"/>
        <w:ind w:firstLine="259"/>
        <w:spacing w:after="0" w:line="235" w:lineRule="auto"/>
        <w:rPr>
          <w:sz w:val="20"/>
          <w:szCs w:val="20"/>
          <w:color w:val="auto"/>
        </w:rPr>
      </w:pPr>
      <w:r>
        <w:rPr>
          <w:rFonts w:ascii="Times New Roman" w:cs="Times New Roman" w:eastAsia="Times New Roman" w:hAnsi="Times New Roman"/>
          <w:sz w:val="20"/>
          <w:szCs w:val="20"/>
          <w:color w:val="auto"/>
        </w:rPr>
        <w:t>This AMENDMENT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that certain individual Employment Agreement (as defined below), is made and entered into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2025, by and between </w:t>
      </w:r>
      <w:r>
        <w:rPr>
          <w:rFonts w:ascii="Times New Roman" w:cs="Times New Roman" w:eastAsia="Times New Roman" w:hAnsi="Times New Roman"/>
          <w:sz w:val="20"/>
          <w:szCs w:val="20"/>
          <w:b w:val="1"/>
          <w:bCs w:val="1"/>
          <w:color w:val="auto"/>
        </w:rPr>
        <w:t>Kaltura, Inc.</w:t>
      </w:r>
      <w:r>
        <w:rPr>
          <w:rFonts w:ascii="Times New Roman" w:cs="Times New Roman" w:eastAsia="Times New Roman" w:hAnsi="Times New Roman"/>
          <w:sz w:val="20"/>
          <w:szCs w:val="20"/>
          <w:color w:val="auto"/>
        </w:rPr>
        <w:t>, a Delaware corporation of 860 Broadway,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Floor, New York, NY 10003, USA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and Mr. </w:t>
      </w:r>
      <w:r>
        <w:rPr>
          <w:rFonts w:ascii="Times New Roman" w:cs="Times New Roman" w:eastAsia="Times New Roman" w:hAnsi="Times New Roman"/>
          <w:sz w:val="20"/>
          <w:szCs w:val="20"/>
          <w:b w:val="1"/>
          <w:bCs w:val="1"/>
          <w:color w:val="auto"/>
        </w:rPr>
        <w:t>John Doherty</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Each of the above is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1300" w:hanging="1295"/>
        <w:spacing w:after="0" w:line="258"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Parties have entered into an individual employment agreement by virtue of an Offer Letter dated January 15, 2024, in connection with the Employee’s employment by the Company, as from time to time amended (the said agreement, together with all the exhibits, attachments and addendums thereto, and any amendments hereto or thereto in accordance with the provisions thereof or hereof, shall be referred to herein as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and</w:t>
      </w:r>
    </w:p>
    <w:p>
      <w:pPr>
        <w:spacing w:after="0" w:line="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wish to amend the Employment Agreement in accordance with the terms herewith;</w:t>
      </w:r>
    </w:p>
    <w:p>
      <w:pPr>
        <w:spacing w:after="0" w:line="200" w:lineRule="exact"/>
        <w:rPr>
          <w:sz w:val="20"/>
          <w:szCs w:val="20"/>
          <w:color w:val="auto"/>
        </w:rPr>
      </w:pPr>
    </w:p>
    <w:p>
      <w:pPr>
        <w:spacing w:after="0" w:line="23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mutual agreements and covenants contained in this Amendment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 adequacy of which are hereby mutually acknowledged), each of the Parties hereby agree as follows:</w:t>
      </w:r>
    </w:p>
    <w:p>
      <w:pPr>
        <w:spacing w:after="0" w:line="310"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 and Interpretation</w:t>
      </w:r>
    </w:p>
    <w:p>
      <w:pPr>
        <w:spacing w:after="0" w:line="111" w:lineRule="exact"/>
        <w:rPr>
          <w:rFonts w:ascii="Times New Roman" w:cs="Times New Roman" w:eastAsia="Times New Roman" w:hAnsi="Times New Roman"/>
          <w:sz w:val="20"/>
          <w:szCs w:val="20"/>
          <w:color w:val="auto"/>
        </w:rPr>
      </w:pPr>
    </w:p>
    <w:p>
      <w:pPr>
        <w:ind w:left="900" w:hanging="57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Capitalized terms used but not otherwise defined herein have the respective meanings set forth in the Employment Agreement. All capitalized terms used but not defined hereinabove or in the Employment Agreement, shall have the meaning ascribed for them as in the recitals or as hereinbelow defined.</w:t>
      </w:r>
    </w:p>
    <w:p>
      <w:pPr>
        <w:spacing w:after="0" w:line="73"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The preface to this Amendment constitutes an indivisible and integral part thereof.</w:t>
      </w:r>
    </w:p>
    <w:p>
      <w:pPr>
        <w:spacing w:after="0" w:line="121" w:lineRule="exact"/>
        <w:rPr>
          <w:rFonts w:ascii="Times New Roman" w:cs="Times New Roman" w:eastAsia="Times New Roman" w:hAnsi="Times New Roman"/>
          <w:sz w:val="20"/>
          <w:szCs w:val="20"/>
          <w:color w:val="auto"/>
        </w:rPr>
      </w:pPr>
    </w:p>
    <w:p>
      <w:pPr>
        <w:ind w:left="900" w:hanging="57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spacing w:after="0" w:line="31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p>
    <w:p>
      <w:pPr>
        <w:spacing w:after="0" w:line="125"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The Employee’s entitlement to an annual Bonus for the calendar year of 2025 shall be determined, for such year only, on the basis of the Employee’s and the Company’s attainment of certain goals and objectives defined by the Company, which are set forth in the Employee’s annual bonus plan according to the Company’s 2025 Executive Compensation Plan as approved by its Compensation Committee on or about January 6, 2025, a summary of which is enclosed as </w:t>
      </w:r>
      <w:r>
        <w:rPr>
          <w:rFonts w:ascii="Times New Roman" w:cs="Times New Roman" w:eastAsia="Times New Roman" w:hAnsi="Times New Roman"/>
          <w:sz w:val="20"/>
          <w:szCs w:val="20"/>
          <w:b w:val="1"/>
          <w:bCs w:val="1"/>
          <w:u w:val="single" w:color="auto"/>
          <w:color w:val="auto"/>
        </w:rPr>
        <w:t>Annex A</w:t>
      </w:r>
      <w:r>
        <w:rPr>
          <w:rFonts w:ascii="Times New Roman" w:cs="Times New Roman" w:eastAsia="Times New Roman" w:hAnsi="Times New Roman"/>
          <w:sz w:val="20"/>
          <w:szCs w:val="20"/>
          <w:color w:val="auto"/>
        </w:rPr>
        <w:t xml:space="preserve"> hereof, and as shall further be determined and approved by the Company’s Compensation Committee and the Board of Directors with respect to the 2025 individual OKRs and performance targets and goals (the “</w:t>
      </w:r>
      <w:r>
        <w:rPr>
          <w:rFonts w:ascii="Times New Roman" w:cs="Times New Roman" w:eastAsia="Times New Roman" w:hAnsi="Times New Roman"/>
          <w:sz w:val="20"/>
          <w:szCs w:val="20"/>
          <w:b w:val="1"/>
          <w:bCs w:val="1"/>
          <w:color w:val="auto"/>
        </w:rPr>
        <w:t>2025 Executive Compensation Plan</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Accordingly, subject to the successive Subsections of this Section 2, the 2025 annual Bonus shall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Doherty - 2025 Amendment to Employment Agmt - 2-10-2025</w:t>
      </w:r>
    </w:p>
    <w:p>
      <w:pPr>
        <w:sectPr>
          <w:pgSz w:w="11900" w:h="16838" w:orient="portrait"/>
          <w:cols w:equalWidth="0" w:num="1">
            <w:col w:w="11240"/>
          </w:cols>
          <w:pgMar w:left="320" w:top="1152"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460" w:hanging="647"/>
        <w:spacing w:after="0" w:line="258" w:lineRule="auto"/>
        <w:tabs>
          <w:tab w:leader="none" w:pos="1440" w:val="left"/>
        </w:tabs>
        <w:rPr>
          <w:sz w:val="20"/>
          <w:szCs w:val="20"/>
          <w:color w:val="auto"/>
        </w:rPr>
      </w:pPr>
      <w:r>
        <w:rPr>
          <w:rFonts w:ascii="Times New Roman" w:cs="Times New Roman" w:eastAsia="Times New Roman" w:hAnsi="Times New Roman"/>
          <w:sz w:val="20"/>
          <w:szCs w:val="20"/>
          <w:color w:val="auto"/>
        </w:rPr>
        <w:t>2.1.1.</w:t>
        <w:tab/>
        <w:t xml:space="preserve">The potential maximum annual Bonus with respect to 100% attainment, satisfaction and performance against the 2025 Executive Compensation Plan’s targets and thresholds (namely, Individual Objectives and Company Financial Goals KPIs and OKRs) as elaborated in the 2025 Executive Compensation Plan, shall equal the gross amount of USD </w:t>
      </w:r>
      <w:r>
        <w:rPr>
          <w:rFonts w:ascii="Times New Roman" w:cs="Times New Roman" w:eastAsia="Times New Roman" w:hAnsi="Times New Roman"/>
          <w:sz w:val="20"/>
          <w:szCs w:val="20"/>
          <w:b w:val="1"/>
          <w:bCs w:val="1"/>
          <w:color w:val="auto"/>
        </w:rPr>
        <w:t>470,000</w:t>
      </w:r>
      <w:r>
        <w:rPr>
          <w:rFonts w:ascii="Times New Roman" w:cs="Times New Roman" w:eastAsia="Times New Roman" w:hAnsi="Times New Roman"/>
          <w:sz w:val="20"/>
          <w:szCs w:val="20"/>
          <w:color w:val="auto"/>
        </w:rPr>
        <w:t xml:space="preserve"> (herein, the “</w:t>
      </w:r>
      <w:r>
        <w:rPr>
          <w:rFonts w:ascii="Times New Roman" w:cs="Times New Roman" w:eastAsia="Times New Roman" w:hAnsi="Times New Roman"/>
          <w:sz w:val="20"/>
          <w:szCs w:val="20"/>
          <w:b w:val="1"/>
          <w:bCs w:val="1"/>
          <w:color w:val="auto"/>
        </w:rPr>
        <w:t>Base OTB</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jc w:val="both"/>
        <w:ind w:left="1460" w:hanging="647"/>
        <w:spacing w:after="0" w:line="258" w:lineRule="auto"/>
        <w:tabs>
          <w:tab w:leader="none" w:pos="1440" w:val="left"/>
        </w:tabs>
        <w:rPr>
          <w:sz w:val="20"/>
          <w:szCs w:val="20"/>
          <w:color w:val="auto"/>
        </w:rPr>
      </w:pPr>
      <w:r>
        <w:rPr>
          <w:rFonts w:ascii="Times New Roman" w:cs="Times New Roman" w:eastAsia="Times New Roman" w:hAnsi="Times New Roman"/>
          <w:sz w:val="20"/>
          <w:szCs w:val="20"/>
          <w:color w:val="auto"/>
        </w:rPr>
        <w:t>2.1.2.</w:t>
        <w:tab/>
        <w:t>The potential maximum annual additional stretch bonus for overachievement against such goals (&gt;100%) (the “</w:t>
      </w:r>
      <w:r>
        <w:rPr>
          <w:rFonts w:ascii="Times New Roman" w:cs="Times New Roman" w:eastAsia="Times New Roman" w:hAnsi="Times New Roman"/>
          <w:sz w:val="20"/>
          <w:szCs w:val="20"/>
          <w:b w:val="1"/>
          <w:bCs w:val="1"/>
          <w:color w:val="auto"/>
        </w:rPr>
        <w:t>Stretch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is still subject to the determination and approval of the metrics by the Compensation Committee and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Company. Based on past year’s metrics, if approved for 2025, the potential Stretch Bonus is expected to equal the gross amount of up to USD </w:t>
      </w:r>
      <w:r>
        <w:rPr>
          <w:rFonts w:ascii="Times New Roman" w:cs="Times New Roman" w:eastAsia="Times New Roman" w:hAnsi="Times New Roman"/>
          <w:sz w:val="20"/>
          <w:szCs w:val="20"/>
          <w:b w:val="1"/>
          <w:bCs w:val="1"/>
          <w:color w:val="auto"/>
        </w:rPr>
        <w:t>176,250</w:t>
      </w:r>
      <w:r>
        <w:rPr>
          <w:rFonts w:ascii="Times New Roman" w:cs="Times New Roman" w:eastAsia="Times New Roman" w:hAnsi="Times New Roman"/>
          <w:sz w:val="20"/>
          <w:szCs w:val="20"/>
          <w:color w:val="auto"/>
        </w:rPr>
        <w:t xml:space="preserve"> (based on a Stretch Bonus of 137.5% of Base OTB); however, the final amount shall be determined by the Compensation Committee and the Board at their sole discretion.</w:t>
      </w:r>
    </w:p>
    <w:p>
      <w:pPr>
        <w:spacing w:after="0" w:line="64" w:lineRule="exact"/>
        <w:rPr>
          <w:sz w:val="20"/>
          <w:szCs w:val="20"/>
          <w:color w:val="auto"/>
        </w:rPr>
      </w:pPr>
    </w:p>
    <w:p>
      <w:pPr>
        <w:jc w:val="both"/>
        <w:ind w:left="820" w:right="20" w:hanging="485"/>
        <w:spacing w:after="0" w:line="258" w:lineRule="auto"/>
        <w:tabs>
          <w:tab w:leader="none" w:pos="800" w:val="left"/>
        </w:tabs>
        <w:rPr>
          <w:sz w:val="20"/>
          <w:szCs w:val="20"/>
          <w:color w:val="auto"/>
        </w:rPr>
      </w:pPr>
      <w:r>
        <w:rPr>
          <w:rFonts w:ascii="Times New Roman" w:cs="Times New Roman" w:eastAsia="Times New Roman" w:hAnsi="Times New Roman"/>
          <w:sz w:val="20"/>
          <w:szCs w:val="20"/>
          <w:color w:val="auto"/>
        </w:rPr>
        <w:t>2.2.</w:t>
        <w:tab/>
        <w:t>All Bonus payments, if any, shall be subject to all mandatory withholdings and deductions, and shall be deemed to be quoted in gross figures. In addition, all Bonus payments in currencies other than US Dollar will be adjusted in accordance with the specific payment currency and US Dollar exchange rate that shall prevail as of the payment calculation date in accordance with the Company’s policies and procedures.</w:t>
      </w:r>
    </w:p>
    <w:p>
      <w:pPr>
        <w:spacing w:after="0" w:line="317"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Benefits</w:t>
      </w:r>
    </w:p>
    <w:p>
      <w:pPr>
        <w:spacing w:after="0" w:line="111" w:lineRule="exact"/>
        <w:rPr>
          <w:rFonts w:ascii="Times New Roman" w:cs="Times New Roman" w:eastAsia="Times New Roman" w:hAnsi="Times New Roman"/>
          <w:sz w:val="20"/>
          <w:szCs w:val="20"/>
          <w:color w:val="auto"/>
        </w:rPr>
      </w:pPr>
    </w:p>
    <w:p>
      <w:pPr>
        <w:ind w:left="820" w:hanging="486"/>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3.1. Subject to the approval of the Compensation Committee of the Board of Directors of Kaltura, Inc., and the terms and conditions stipulated below, the Company anticipates granting the Employee </w:t>
      </w:r>
      <w:r>
        <w:rPr>
          <w:rFonts w:ascii="Times New Roman" w:cs="Times New Roman" w:eastAsia="Times New Roman" w:hAnsi="Times New Roman"/>
          <w:sz w:val="20"/>
          <w:szCs w:val="20"/>
          <w:b w:val="1"/>
          <w:bCs w:val="1"/>
          <w:color w:val="auto"/>
        </w:rPr>
        <w:t>526,316</w:t>
      </w:r>
      <w:r>
        <w:rPr>
          <w:rFonts w:ascii="Times New Roman" w:cs="Times New Roman" w:eastAsia="Times New Roman" w:hAnsi="Times New Roman"/>
          <w:sz w:val="20"/>
          <w:szCs w:val="20"/>
          <w:color w:val="auto"/>
        </w:rPr>
        <w:t xml:space="preserve"> RSUs as stipulated in the 2025 Executive Compensation Plan (herein, “</w:t>
      </w:r>
      <w:r>
        <w:rPr>
          <w:rFonts w:ascii="Times New Roman" w:cs="Times New Roman" w:eastAsia="Times New Roman" w:hAnsi="Times New Roman"/>
          <w:sz w:val="20"/>
          <w:szCs w:val="20"/>
          <w:b w:val="1"/>
          <w:bCs w:val="1"/>
          <w:color w:val="auto"/>
        </w:rPr>
        <w:t>LTI RSUs</w:t>
      </w:r>
      <w:r>
        <w:rPr>
          <w:rFonts w:ascii="Times New Roman" w:cs="Times New Roman" w:eastAsia="Times New Roman" w:hAnsi="Times New Roman"/>
          <w:sz w:val="20"/>
          <w:szCs w:val="20"/>
          <w:color w:val="auto"/>
        </w:rPr>
        <w:t>”).</w:t>
      </w:r>
    </w:p>
    <w:p>
      <w:pPr>
        <w:spacing w:after="0" w:line="73" w:lineRule="exact"/>
        <w:rPr>
          <w:rFonts w:ascii="Times New Roman" w:cs="Times New Roman" w:eastAsia="Times New Roman" w:hAnsi="Times New Roman"/>
          <w:sz w:val="20"/>
          <w:szCs w:val="20"/>
          <w:color w:val="auto"/>
        </w:rPr>
      </w:pPr>
    </w:p>
    <w:p>
      <w:pPr>
        <w:ind w:left="820" w:hanging="486"/>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The LTI RSUs, if awarded, will be governed by the terms and conditions of the Company’s 2021 Plan, the respective provisions of the 2025 Executive Compensation Plan and applicable award agreements.</w:t>
      </w:r>
    </w:p>
    <w:p>
      <w:pPr>
        <w:spacing w:after="0" w:line="65" w:lineRule="exact"/>
        <w:rPr>
          <w:sz w:val="20"/>
          <w:szCs w:val="20"/>
          <w:color w:val="auto"/>
        </w:rPr>
      </w:pPr>
    </w:p>
    <w:p>
      <w:pPr>
        <w:jc w:val="both"/>
        <w:ind w:left="820"/>
        <w:spacing w:after="0" w:line="283" w:lineRule="auto"/>
        <w:rPr>
          <w:sz w:val="20"/>
          <w:szCs w:val="20"/>
          <w:color w:val="auto"/>
        </w:rPr>
      </w:pPr>
      <w:r>
        <w:rPr>
          <w:rFonts w:ascii="Times New Roman" w:cs="Times New Roman" w:eastAsia="Times New Roman" w:hAnsi="Times New Roman"/>
          <w:sz w:val="20"/>
          <w:szCs w:val="20"/>
          <w:color w:val="auto"/>
        </w:rPr>
        <w:t>Subject to the above, if and to the extent the Employee shall be granted LTI RSUs, then the grant thereof shall be subject to the following:</w:t>
      </w:r>
    </w:p>
    <w:p>
      <w:pPr>
        <w:spacing w:after="0" w:line="38" w:lineRule="exact"/>
        <w:rPr>
          <w:sz w:val="20"/>
          <w:szCs w:val="20"/>
          <w:color w:val="auto"/>
        </w:rPr>
      </w:pPr>
    </w:p>
    <w:p>
      <w:pPr>
        <w:jc w:val="both"/>
        <w:ind w:left="1540" w:hanging="728"/>
        <w:spacing w:after="0" w:line="283" w:lineRule="auto"/>
        <w:tabs>
          <w:tab w:leader="none" w:pos="15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effective as of the effective date of the Compensation Committee’s approval of the 2025 Executive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Compensation Plan, namely, January 6, 2025.</w:t>
      </w:r>
    </w:p>
    <w:p>
      <w:pPr>
        <w:spacing w:after="0" w:line="38" w:lineRule="exact"/>
        <w:rPr>
          <w:sz w:val="20"/>
          <w:szCs w:val="20"/>
          <w:color w:val="auto"/>
        </w:rPr>
      </w:pPr>
    </w:p>
    <w:p>
      <w:pPr>
        <w:jc w:val="both"/>
        <w:ind w:left="1540" w:hanging="728"/>
        <w:spacing w:after="0" w:line="239" w:lineRule="auto"/>
        <w:tabs>
          <w:tab w:leader="none" w:pos="152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Three-year quarterly, commencing retroactively from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2025, subject to the Employee’s continued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employment with, or services to, the Company or any of its affiliates or subsidiaries through the applicable vesting date unless determined otherwise under any applicable Corporate Transaction and/or Double Trigger provisions as stipulated in the 2021 Plan and/or any other agreements with the Employee (including the Employment Agreement).</w:t>
      </w:r>
    </w:p>
    <w:p>
      <w:pPr>
        <w:spacing w:after="0" w:line="93" w:lineRule="exact"/>
        <w:rPr>
          <w:sz w:val="20"/>
          <w:szCs w:val="20"/>
          <w:color w:val="auto"/>
        </w:rPr>
      </w:pPr>
    </w:p>
    <w:p>
      <w:pPr>
        <w:jc w:val="both"/>
        <w:ind w:left="1540" w:hanging="728"/>
        <w:spacing w:after="0" w:line="261" w:lineRule="auto"/>
        <w:tabs>
          <w:tab w:leader="none" w:pos="152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the LTI RSUs award shall be made pursuant to the 2021 Plan, the 2025 Executive Compensation Plan,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appropriate award agreement to be executed by the Employee and countersigned by Kaltura, Inc., and to the execution and delivery of all required agreements and instruments pursuant to the 2021 Plan and Kaltura, Inc.’s policies.</w:t>
      </w:r>
    </w:p>
    <w:p>
      <w:pPr>
        <w:spacing w:after="0" w:line="73" w:lineRule="exact"/>
        <w:rPr>
          <w:sz w:val="20"/>
          <w:szCs w:val="20"/>
          <w:color w:val="auto"/>
        </w:rPr>
      </w:pPr>
    </w:p>
    <w:p>
      <w:pPr>
        <w:jc w:val="center"/>
        <w:ind w:left="1140"/>
        <w:spacing w:after="0" w:line="269" w:lineRule="auto"/>
        <w:rPr>
          <w:sz w:val="20"/>
          <w:szCs w:val="20"/>
          <w:color w:val="auto"/>
        </w:rPr>
      </w:pPr>
      <w:r>
        <w:rPr>
          <w:rFonts w:ascii="Times New Roman" w:cs="Times New Roman" w:eastAsia="Times New Roman" w:hAnsi="Times New Roman"/>
          <w:sz w:val="20"/>
          <w:szCs w:val="20"/>
          <w:color w:val="auto"/>
        </w:rPr>
        <w:t xml:space="preserve">3.2.4.   </w:t>
      </w:r>
      <w:r>
        <w:rPr>
          <w:rFonts w:ascii="Times New Roman" w:cs="Times New Roman" w:eastAsia="Times New Roman" w:hAnsi="Times New Roman"/>
          <w:sz w:val="20"/>
          <w:szCs w:val="20"/>
          <w:u w:val="single" w:color="auto"/>
          <w:color w:val="auto"/>
        </w:rPr>
        <w:t>Double Trigger</w:t>
      </w:r>
      <w:r>
        <w:rPr>
          <w:rFonts w:ascii="Times New Roman" w:cs="Times New Roman" w:eastAsia="Times New Roman" w:hAnsi="Times New Roman"/>
          <w:sz w:val="20"/>
          <w:szCs w:val="20"/>
          <w:color w:val="auto"/>
        </w:rPr>
        <w:t>: The LTI RSUs award agreement shall include the double trigger accelerated vesting mechanism as set forth in the 2021 Plan and the agreements and Compensation Committee resolutions applicable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Doherty - 2025 Amendment to Employment Agmt - 2-10-2025</w:t>
      </w:r>
    </w:p>
    <w:p>
      <w:pPr>
        <w:sectPr>
          <w:pgSz w:w="11900" w:h="16838" w:orient="portrait"/>
          <w:cols w:equalWidth="0" w:num="1">
            <w:col w:w="11240"/>
          </w:cols>
          <w:pgMar w:left="320" w:top="122" w:right="3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Accrued Obligations</w:t>
      </w:r>
    </w:p>
    <w:p>
      <w:pPr>
        <w:spacing w:after="0" w:line="111"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12 of your Employment Agreement shall be amended as follows:</w:t>
      </w:r>
    </w:p>
    <w:p>
      <w:pPr>
        <w:spacing w:after="0" w:line="121"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  The first paragraph of Section 12 shall be supplemented as follows:</w:t>
      </w:r>
    </w:p>
    <w:p>
      <w:pPr>
        <w:spacing w:after="0" w:line="117" w:lineRule="exact"/>
        <w:rPr>
          <w:sz w:val="20"/>
          <w:szCs w:val="20"/>
          <w:color w:val="auto"/>
        </w:rPr>
      </w:pPr>
    </w:p>
    <w:p>
      <w:pPr>
        <w:jc w:val="both"/>
        <w:ind w:left="1020" w:right="460"/>
        <w:spacing w:after="0" w:line="262"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Term &amp; Termination</w:t>
      </w:r>
      <w:r>
        <w:rPr>
          <w:rFonts w:ascii="Times New Roman" w:cs="Times New Roman" w:eastAsia="Times New Roman" w:hAnsi="Times New Roman"/>
          <w:sz w:val="19"/>
          <w:szCs w:val="19"/>
          <w:i w:val="1"/>
          <w:iCs w:val="1"/>
          <w:color w:val="auto"/>
        </w:rPr>
        <w:t xml:space="preserve"> – Your employment with the Company will commence on the Effective Date, for an indefinite period until the termination thereof by either party in accordance with the terms hereof or as shall further be set forth in the definitive employment agreement (the “</w:t>
      </w:r>
      <w:r>
        <w:rPr>
          <w:rFonts w:ascii="Times New Roman" w:cs="Times New Roman" w:eastAsia="Times New Roman" w:hAnsi="Times New Roman"/>
          <w:sz w:val="19"/>
          <w:szCs w:val="19"/>
          <w:b w:val="1"/>
          <w:bCs w:val="1"/>
          <w:i w:val="1"/>
          <w:iCs w:val="1"/>
          <w:color w:val="auto"/>
        </w:rPr>
        <w:t>Term</w:t>
      </w:r>
      <w:r>
        <w:rPr>
          <w:rFonts w:ascii="Times New Roman" w:cs="Times New Roman" w:eastAsia="Times New Roman" w:hAnsi="Times New Roman"/>
          <w:sz w:val="19"/>
          <w:szCs w:val="19"/>
          <w:i w:val="1"/>
          <w:iCs w:val="1"/>
          <w:color w:val="auto"/>
        </w:rPr>
        <w:t>” or “</w:t>
      </w:r>
      <w:r>
        <w:rPr>
          <w:rFonts w:ascii="Times New Roman" w:cs="Times New Roman" w:eastAsia="Times New Roman" w:hAnsi="Times New Roman"/>
          <w:sz w:val="19"/>
          <w:szCs w:val="19"/>
          <w:b w:val="1"/>
          <w:bCs w:val="1"/>
          <w:i w:val="1"/>
          <w:iCs w:val="1"/>
          <w:color w:val="auto"/>
        </w:rPr>
        <w:t>Term of Employment</w:t>
      </w:r>
      <w:r>
        <w:rPr>
          <w:rFonts w:ascii="Times New Roman" w:cs="Times New Roman" w:eastAsia="Times New Roman" w:hAnsi="Times New Roman"/>
          <w:sz w:val="19"/>
          <w:szCs w:val="19"/>
          <w:i w:val="1"/>
          <w:iCs w:val="1"/>
          <w:color w:val="auto"/>
        </w:rPr>
        <w:t>”). You may terminate your employment with the Company at any time and for any reason whatsoever, by providing the Company a 60-day advanced written notice of termination (“</w:t>
      </w:r>
      <w:r>
        <w:rPr>
          <w:rFonts w:ascii="Times New Roman" w:cs="Times New Roman" w:eastAsia="Times New Roman" w:hAnsi="Times New Roman"/>
          <w:sz w:val="19"/>
          <w:szCs w:val="19"/>
          <w:b w:val="1"/>
          <w:bCs w:val="1"/>
          <w:i w:val="1"/>
          <w:iCs w:val="1"/>
          <w:color w:val="auto"/>
        </w:rPr>
        <w:t>Advanced Termination Notice</w:t>
      </w:r>
      <w:r>
        <w:rPr>
          <w:rFonts w:ascii="Times New Roman" w:cs="Times New Roman" w:eastAsia="Times New Roman" w:hAnsi="Times New Roman"/>
          <w:sz w:val="19"/>
          <w:szCs w:val="19"/>
          <w:i w:val="1"/>
          <w:iCs w:val="1"/>
          <w:color w:val="auto"/>
        </w:rPr>
        <w:t>”) regardless of any employment-at-will provisions that may apply, and likewise, in the event of termination of the Term by the Company without Cause (as such term is defined herein or shall be defined in the definitive employment agreement), you shall also be entitled to receive from the Company an Advanced Termination Notice or payment of the monthly Base Salary in lieu thereof (without perquisites), as the Company may elect at its sole and absolute discretion. If your employment ends for any reason, you shall be entitled to payment of (i) your unpaid Base Salary through the date of termination; (ii) all of your accrued, but unused paid time off; (iii) any unpaid expense reimbursements incurred by you as of the date of termination; and (iv) any earned but unpaid Performance Based Compensation from a prior fiscal year ((i) through (iv), the “</w:t>
      </w:r>
      <w:r>
        <w:rPr>
          <w:rFonts w:ascii="Times New Roman" w:cs="Times New Roman" w:eastAsia="Times New Roman" w:hAnsi="Times New Roman"/>
          <w:sz w:val="19"/>
          <w:szCs w:val="19"/>
          <w:b w:val="1"/>
          <w:bCs w:val="1"/>
          <w:i w:val="1"/>
          <w:iCs w:val="1"/>
          <w:color w:val="auto"/>
        </w:rPr>
        <w:t>Accrued Obligations</w:t>
      </w:r>
      <w:r>
        <w:rPr>
          <w:rFonts w:ascii="Times New Roman" w:cs="Times New Roman" w:eastAsia="Times New Roman" w:hAnsi="Times New Roman"/>
          <w:sz w:val="19"/>
          <w:szCs w:val="19"/>
          <w:i w:val="1"/>
          <w:iCs w:val="1"/>
          <w:color w:val="auto"/>
        </w:rPr>
        <w:t>”). During the Advanced Termination Notice period, whether notice has been given by the Employee or by the Company, the Employee shall continue to work unless instructed otherwise by the Company and shall cooperate with the Company in handing over his roles and responsibilities to his successor. The Company shall be entitled, but not obligated, at any time prior to the expiration of the Advanced Termination Notice period, at its sole discretion, either: (i) to waive the Employee’s actual work during such period, in which event the Company shall continue to pay and award to the Employee all the payments, rights, and benefits under the Employment Agreement payable to the Employee during the remainder of the Advanced Termination Notice period (namely, the Accrued Obligations for such period); or (ii) to immediately terminate the Employment Agreement and the employment relationship thereunder at any time prior to the expiration of the Advanced Termination Notice period and pay the Employee all Accrued Obligation for such period from the surrender of the notice through the supposed date of termination but for the cash conversion in lieu of the Advanced Termination Notice period.”</w:t>
      </w:r>
    </w:p>
    <w:p>
      <w:pPr>
        <w:spacing w:after="0" w:line="85" w:lineRule="exact"/>
        <w:rPr>
          <w:sz w:val="20"/>
          <w:szCs w:val="20"/>
          <w:color w:val="auto"/>
        </w:rPr>
      </w:pPr>
    </w:p>
    <w:p>
      <w:pPr>
        <w:ind w:left="820" w:hanging="485"/>
        <w:spacing w:after="0" w:line="273" w:lineRule="auto"/>
        <w:tabs>
          <w:tab w:leader="none" w:pos="800" w:val="left"/>
        </w:tabs>
        <w:rPr>
          <w:sz w:val="20"/>
          <w:szCs w:val="20"/>
          <w:color w:val="auto"/>
        </w:rPr>
      </w:pPr>
      <w:r>
        <w:rPr>
          <w:rFonts w:ascii="Times New Roman" w:cs="Times New Roman" w:eastAsia="Times New Roman" w:hAnsi="Times New Roman"/>
          <w:sz w:val="20"/>
          <w:szCs w:val="20"/>
          <w:color w:val="auto"/>
        </w:rPr>
        <w:t>4.2.</w:t>
        <w:tab/>
        <w:t>At the end of Section 12, after the words “… the “</w:t>
      </w:r>
      <w:r>
        <w:rPr>
          <w:rFonts w:ascii="Times New Roman" w:cs="Times New Roman" w:eastAsia="Times New Roman" w:hAnsi="Times New Roman"/>
          <w:sz w:val="20"/>
          <w:szCs w:val="20"/>
          <w:b w:val="1"/>
          <w:bCs w:val="1"/>
          <w:color w:val="auto"/>
        </w:rPr>
        <w:t>Accrued Obligations</w:t>
      </w:r>
      <w:r>
        <w:rPr>
          <w:rFonts w:ascii="Times New Roman" w:cs="Times New Roman" w:eastAsia="Times New Roman" w:hAnsi="Times New Roman"/>
          <w:sz w:val="20"/>
          <w:szCs w:val="20"/>
          <w:color w:val="auto"/>
        </w:rPr>
        <w:t>”).”, the following paragraph shall be inserted as part of said Section 12:</w:t>
      </w:r>
    </w:p>
    <w:p>
      <w:pPr>
        <w:spacing w:after="0" w:line="57" w:lineRule="exact"/>
        <w:rPr>
          <w:sz w:val="20"/>
          <w:szCs w:val="20"/>
          <w:color w:val="auto"/>
        </w:rPr>
      </w:pPr>
    </w:p>
    <w:p>
      <w:pPr>
        <w:jc w:val="both"/>
        <w:ind w:left="1020" w:right="460"/>
        <w:spacing w:after="0" w:line="252" w:lineRule="auto"/>
        <w:rPr>
          <w:sz w:val="20"/>
          <w:szCs w:val="20"/>
          <w:color w:val="auto"/>
        </w:rPr>
      </w:pPr>
      <w:r>
        <w:rPr>
          <w:rFonts w:ascii="Times New Roman" w:cs="Times New Roman" w:eastAsia="Times New Roman" w:hAnsi="Times New Roman"/>
          <w:sz w:val="20"/>
          <w:szCs w:val="20"/>
          <w:i w:val="1"/>
          <w:iCs w:val="1"/>
          <w:color w:val="auto"/>
        </w:rPr>
        <w:t>“In the event of a Corporate Transaction that triggers the “double-trigger” mechanisms included in the Employment Agreement and/or in the 2021 Kaltura, Inc. Incentive Award Plan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i w:val="1"/>
          <w:iCs w:val="1"/>
          <w:color w:val="auto"/>
        </w:rPr>
        <w:t>”), including termination or resignation for Good Reasons in such circumstances, then in addition to the Accrued Obligations the Employee shall also be entitled to the respective portion of the Performance Based Compensation for the employment period at the current year at which the Termination occurs until the Effective Date of Termination plus the respective advance written notice period (i.e., either the Employee’s Advanced Termination Notice period due to resignation for Good Reason or the Company’s Advanced Termination Notice period due to termination by the Company, both, under the double-trigger mechanism, regardless redemption thereof through the payment of all the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Doherty - 2025 Amendment to Employment Agmt - 2-10-2025</w:t>
      </w:r>
    </w:p>
    <w:p>
      <w:pPr>
        <w:sectPr>
          <w:pgSz w:w="11900" w:h="16838" w:orient="portrait"/>
          <w:cols w:equalWidth="0" w:num="1">
            <w:col w:w="11240"/>
          </w:cols>
          <w:pgMar w:left="320" w:top="122"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020" w:right="460"/>
        <w:spacing w:after="0" w:line="251" w:lineRule="auto"/>
        <w:rPr>
          <w:sz w:val="20"/>
          <w:szCs w:val="20"/>
          <w:color w:val="auto"/>
        </w:rPr>
      </w:pPr>
      <w:r>
        <w:rPr>
          <w:rFonts w:ascii="Times New Roman" w:cs="Times New Roman" w:eastAsia="Times New Roman" w:hAnsi="Times New Roman"/>
          <w:sz w:val="20"/>
          <w:szCs w:val="20"/>
          <w:i w:val="1"/>
          <w:iCs w:val="1"/>
          <w:color w:val="auto"/>
        </w:rPr>
        <w:t>rights, benefits and Accrued Obligations under the Employment Agreement payable to the Employee during the remainder of the Advanced Termination Notice, even if such period shall end at the subsequent calendar/fiscal year (the “</w:t>
      </w:r>
      <w:r>
        <w:rPr>
          <w:rFonts w:ascii="Times New Roman" w:cs="Times New Roman" w:eastAsia="Times New Roman" w:hAnsi="Times New Roman"/>
          <w:sz w:val="20"/>
          <w:szCs w:val="20"/>
          <w:b w:val="1"/>
          <w:bCs w:val="1"/>
          <w:i w:val="1"/>
          <w:iCs w:val="1"/>
          <w:color w:val="auto"/>
        </w:rPr>
        <w:t>MBO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Entitlement Period</w:t>
      </w:r>
      <w:r>
        <w:rPr>
          <w:rFonts w:ascii="Times New Roman" w:cs="Times New Roman" w:eastAsia="Times New Roman" w:hAnsi="Times New Roman"/>
          <w:sz w:val="20"/>
          <w:szCs w:val="20"/>
          <w:i w:val="1"/>
          <w:iCs w:val="1"/>
          <w:color w:val="auto"/>
        </w:rPr>
        <w:t>”). Except as specifically agreed otherwise, the measurement of the MBO KPIs attainment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individual and Company goals with respect to the MBO Entitlement Period, and the calculation and payment of the respective Performance Based Compensation in respect thereof, shall be made upon the settlement of accounts at the Effective Date of Termination or the payment of the Accrued Obligations, as applicable, based on the Company’s estimation of the then expected Company’s target results and proforma financial statements. In such a case, the respective Performance Based Compensation amount shall be so affixed by the Company at its sole discretion regardless of the actual results de facto, and in the absent of any manifest error, the Company’s calculation shall be deemed as final non-appealable calculation of the respective Performance Based Compensation amount.</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color w:val="auto"/>
        </w:rPr>
        <w:t>To dispel doubt, the above shall not derogate anything from:</w:t>
      </w:r>
    </w:p>
    <w:p>
      <w:pPr>
        <w:spacing w:after="0" w:line="108" w:lineRule="exact"/>
        <w:rPr>
          <w:sz w:val="20"/>
          <w:szCs w:val="20"/>
          <w:color w:val="auto"/>
        </w:rPr>
      </w:pPr>
    </w:p>
    <w:p>
      <w:pPr>
        <w:jc w:val="both"/>
        <w:ind w:left="1660" w:right="460" w:hanging="636"/>
        <w:spacing w:after="0" w:line="270" w:lineRule="auto"/>
        <w:tabs>
          <w:tab w:leader="none" w:pos="1640" w:val="left"/>
        </w:tabs>
        <w:rPr>
          <w:sz w:val="20"/>
          <w:szCs w:val="20"/>
          <w:color w:val="auto"/>
        </w:rPr>
      </w:pPr>
      <w:r>
        <w:rPr>
          <w:rFonts w:ascii="Times New Roman" w:cs="Times New Roman" w:eastAsia="Times New Roman" w:hAnsi="Times New Roman"/>
          <w:sz w:val="20"/>
          <w:szCs w:val="20"/>
          <w:i w:val="1"/>
          <w:iCs w:val="1"/>
          <w:color w:val="auto"/>
        </w:rPr>
        <w:t>12.1</w:t>
        <w:tab/>
        <w:t>Any specific special terms relating to termination for Cause, and in any event of discrepancy or inconsistency between the provisions of such special termination terms for Cause and the standard regular provisions as set forth herein, the special provisions regarding Cause event shall prevail; and</w:t>
      </w:r>
    </w:p>
    <w:p>
      <w:pPr>
        <w:spacing w:after="0" w:line="47" w:lineRule="exact"/>
        <w:rPr>
          <w:sz w:val="20"/>
          <w:szCs w:val="20"/>
          <w:color w:val="auto"/>
        </w:rPr>
      </w:pPr>
    </w:p>
    <w:p>
      <w:pPr>
        <w:jc w:val="both"/>
        <w:ind w:left="1660" w:right="460" w:hanging="636"/>
        <w:spacing w:after="0" w:line="254" w:lineRule="auto"/>
        <w:tabs>
          <w:tab w:leader="none" w:pos="1640" w:val="left"/>
        </w:tabs>
        <w:rPr>
          <w:sz w:val="20"/>
          <w:szCs w:val="20"/>
          <w:color w:val="auto"/>
        </w:rPr>
      </w:pPr>
      <w:r>
        <w:rPr>
          <w:rFonts w:ascii="Times New Roman" w:cs="Times New Roman" w:eastAsia="Times New Roman" w:hAnsi="Times New Roman"/>
          <w:sz w:val="20"/>
          <w:szCs w:val="20"/>
          <w:i w:val="1"/>
          <w:iCs w:val="1"/>
          <w:color w:val="auto"/>
        </w:rPr>
        <w:t>12.2</w:t>
        <w:tab/>
        <w:t>Any specific special terms referring to (i) Corporate Transactions, Change in Control, and “double trigger” mechanisms included and defined in the Employment Agreement (if included) and the 2021 Plan; and (ii) any other particular arrangements; provided, however, that the terms under subsections (i) and (ii) above are more beneficiary to the Employee than the terms hereof. Accordingly, in any event of discrepancy or inconsistency between the provisions of such special terms and arrangements and the standard regular provisions as set forth in this Section 12, the employee-favorable conditions shall apply and the special provisions shall prevail inasmuch as they award more beneficial terms in such circumstances.”</w:t>
      </w:r>
    </w:p>
    <w:p>
      <w:pPr>
        <w:spacing w:after="0" w:line="308"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25" w:lineRule="exact"/>
        <w:rPr>
          <w:rFonts w:ascii="Times New Roman" w:cs="Times New Roman" w:eastAsia="Times New Roman" w:hAnsi="Times New Roman"/>
          <w:sz w:val="20"/>
          <w:szCs w:val="20"/>
          <w:color w:val="auto"/>
        </w:rPr>
      </w:pPr>
    </w:p>
    <w:p>
      <w:pPr>
        <w:ind w:left="820" w:hanging="486"/>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 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spacing w:after="0" w:line="83" w:lineRule="exact"/>
        <w:rPr>
          <w:rFonts w:ascii="Times New Roman" w:cs="Times New Roman" w:eastAsia="Times New Roman" w:hAnsi="Times New Roman"/>
          <w:sz w:val="20"/>
          <w:szCs w:val="20"/>
          <w:color w:val="auto"/>
        </w:rPr>
      </w:pPr>
    </w:p>
    <w:p>
      <w:pPr>
        <w:ind w:left="820" w:hanging="486"/>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5.2. This Amendment may be executed in one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Doherty - 2025 Amendment to Employment Agmt - 2-10-2025</w:t>
      </w:r>
    </w:p>
    <w:p>
      <w:pPr>
        <w:sectPr>
          <w:pgSz w:w="11900" w:h="16838" w:orient="portrait"/>
          <w:cols w:equalWidth="0" w:num="1">
            <w:col w:w="11240"/>
          </w:cols>
          <w:pgMar w:left="320" w:top="122"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as of the date first hereinabove set forth:</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Kaltura, Inc.</w:t>
            </w: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spacing w:after="0"/>
              <w:rPr>
                <w:sz w:val="24"/>
                <w:szCs w:val="24"/>
                <w:color w:val="auto"/>
              </w:rPr>
            </w:pPr>
          </w:p>
        </w:tc>
        <w:tc>
          <w:tcPr>
            <w:tcW w:w="510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Sigal Srur</w:t>
            </w:r>
          </w:p>
        </w:tc>
        <w:tc>
          <w:tcPr>
            <w:tcW w:w="14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Doherty</w:t>
            </w:r>
          </w:p>
        </w:tc>
        <w:tc>
          <w:tcPr>
            <w:tcW w:w="0" w:type="dxa"/>
            <w:vAlign w:val="bottom"/>
          </w:tcPr>
          <w:p>
            <w:pPr>
              <w:spacing w:after="0"/>
              <w:rPr>
                <w:sz w:val="1"/>
                <w:szCs w:val="1"/>
                <w:color w:val="auto"/>
              </w:rPr>
            </w:pPr>
          </w:p>
        </w:tc>
      </w:tr>
      <w:tr>
        <w:trPr>
          <w:trHeight w:val="35"/>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40" w:type="dxa"/>
            <w:vAlign w:val="bottom"/>
            <w:vMerge w:val="continue"/>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Human Resources Officer</w:t>
            </w: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Attachments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 - 2025 Executive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Doherty - 2025 Amendment to Employment Agmt - 2-10-2025</w:t>
      </w:r>
    </w:p>
    <w:p>
      <w:pPr>
        <w:sectPr>
          <w:pgSz w:w="11900" w:h="16838" w:orient="portrait"/>
          <w:cols w:equalWidth="0" w:num="1">
            <w:col w:w="11240"/>
          </w:cols>
          <w:pgMar w:left="320" w:top="122"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of February 24, 2023)</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of Kaltura,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consists of seven sections:</w:t>
      </w:r>
    </w:p>
    <w:p>
      <w:pPr>
        <w:spacing w:after="0" w:line="91" w:lineRule="exact"/>
        <w:rPr>
          <w:sz w:val="20"/>
          <w:szCs w:val="20"/>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0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  Summary</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the Company as well as that of all persons affiliated with the Company. “Insider trading” occurs when any person purchases or sells a security while in possession of inside information relating to the security or the issuer of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18" w:right="339" w:bottom="1440" w:gutter="0" w:footer="0" w:header="0"/>
        </w:sectPr>
      </w:pPr>
    </w:p>
    <w:bookmarkStart w:id="179" w:name="page180"/>
    <w:bookmarkEnd w:id="179"/>
    <w:p>
      <w:pPr>
        <w:spacing w:after="0" w:line="194"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Policies Prohibiting Insider Trading</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Further, no Covered Person shall purchase or sell any security of any other company in the Company’s industry or the industry of a company that is the subject of a potential strategic transaction with the Company, while in possession of material, non-public information that was obtained in the course of the Covered Person’s employment or service with the Company.</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prohibitions do not apply to the following “</w:t>
      </w:r>
      <w:r>
        <w:rPr>
          <w:rFonts w:ascii="Times New Roman" w:cs="Times New Roman" w:eastAsia="Times New Roman" w:hAnsi="Times New Roman"/>
          <w:sz w:val="22"/>
          <w:szCs w:val="22"/>
          <w:b w:val="1"/>
          <w:bCs w:val="1"/>
          <w:i w:val="1"/>
          <w:iCs w:val="1"/>
          <w:color w:val="auto"/>
        </w:rPr>
        <w:t>permitted transactions</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ind w:left="1300" w:hanging="320"/>
        <w:spacing w:after="0" w:line="271" w:lineRule="auto"/>
        <w:tabs>
          <w:tab w:leader="none" w:pos="129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49" w:lineRule="exact"/>
        <w:rPr>
          <w:rFonts w:ascii="Times New Roman" w:cs="Times New Roman" w:eastAsia="Times New Roman" w:hAnsi="Times New Roman"/>
          <w:sz w:val="22"/>
          <w:szCs w:val="22"/>
          <w:color w:val="auto"/>
        </w:rPr>
      </w:pPr>
    </w:p>
    <w:p>
      <w:pPr>
        <w:jc w:val="both"/>
        <w:ind w:left="1300" w:hanging="320"/>
        <w:spacing w:after="0" w:line="253" w:lineRule="auto"/>
        <w:tabs>
          <w:tab w:leader="none" w:pos="129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66" w:lineRule="exact"/>
        <w:rPr>
          <w:rFonts w:ascii="Times New Roman" w:cs="Times New Roman" w:eastAsia="Times New Roman" w:hAnsi="Times New Roman"/>
          <w:sz w:val="22"/>
          <w:szCs w:val="22"/>
          <w:color w:val="auto"/>
        </w:rPr>
      </w:pPr>
    </w:p>
    <w:p>
      <w:pPr>
        <w:jc w:val="both"/>
        <w:ind w:left="1300" w:hanging="320"/>
        <w:spacing w:after="0" w:line="265" w:lineRule="auto"/>
        <w:tabs>
          <w:tab w:leader="none" w:pos="129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unless the person making the gift knows, or is reckless in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knowing, that the recipient intends to sell the securities while the donor is in possession of material, non-public information about the Company; or</w:t>
      </w:r>
    </w:p>
    <w:p>
      <w:pPr>
        <w:spacing w:after="0" w:line="57" w:lineRule="exact"/>
        <w:rPr>
          <w:rFonts w:ascii="Times New Roman" w:cs="Times New Roman" w:eastAsia="Times New Roman" w:hAnsi="Times New Roman"/>
          <w:sz w:val="22"/>
          <w:szCs w:val="22"/>
          <w:color w:val="auto"/>
        </w:rPr>
      </w:pPr>
    </w:p>
    <w:p>
      <w:pPr>
        <w:jc w:val="both"/>
        <w:ind w:left="1300" w:hanging="320"/>
        <w:spacing w:after="0" w:line="249" w:lineRule="auto"/>
        <w:tabs>
          <w:tab w:leader="none" w:pos="129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In addition, no officer, director or employee shall directly or indirectly communicate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4" w:lineRule="exact"/>
        <w:rPr>
          <w:sz w:val="20"/>
          <w:szCs w:val="20"/>
          <w:color w:val="auto"/>
        </w:rPr>
      </w:pPr>
    </w:p>
    <w:p>
      <w:pPr>
        <w:ind w:left="540" w:hanging="532"/>
        <w:spacing w:after="0"/>
        <w:tabs>
          <w:tab w:leader="none" w:pos="54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Explanation of Insider Trading</w:t>
      </w:r>
    </w:p>
    <w:p>
      <w:pPr>
        <w:spacing w:after="0" w:line="21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the security or its issuer.</w:t>
      </w:r>
    </w:p>
    <w:p>
      <w:pPr>
        <w:spacing w:after="0" w:line="5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stocks, bonds, notes, debentures, options, warrants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85" w:lineRule="exact"/>
        <w:rPr>
          <w:sz w:val="20"/>
          <w:szCs w:val="20"/>
          <w:color w:val="auto"/>
        </w:rPr>
      </w:pPr>
    </w:p>
    <w:p>
      <w:pPr>
        <w:ind w:left="1300" w:hanging="320"/>
        <w:spacing w:after="0"/>
        <w:tabs>
          <w:tab w:leader="none" w:pos="130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71" w:lineRule="exact"/>
        <w:rPr>
          <w:rFonts w:ascii="Times New Roman" w:cs="Times New Roman" w:eastAsia="Times New Roman" w:hAnsi="Times New Roman"/>
          <w:sz w:val="22"/>
          <w:szCs w:val="22"/>
          <w:color w:val="auto"/>
        </w:rPr>
      </w:pPr>
    </w:p>
    <w:p>
      <w:pPr>
        <w:ind w:left="1300" w:hanging="320"/>
        <w:spacing w:after="0" w:line="236" w:lineRule="auto"/>
        <w:tabs>
          <w:tab w:leader="none" w:pos="129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42" w:lineRule="exact"/>
        <w:rPr>
          <w:rFonts w:ascii="Times New Roman" w:cs="Times New Roman" w:eastAsia="Times New Roman" w:hAnsi="Times New Roman"/>
          <w:sz w:val="22"/>
          <w:szCs w:val="22"/>
          <w:color w:val="auto"/>
        </w:rPr>
      </w:pPr>
    </w:p>
    <w:p>
      <w:pPr>
        <w:ind w:left="1300" w:hanging="320"/>
        <w:spacing w:after="0" w:line="236" w:lineRule="auto"/>
        <w:tabs>
          <w:tab w:leader="none" w:pos="129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17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Facts are Material?</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112" w:lineRule="exact"/>
        <w:rPr>
          <w:sz w:val="20"/>
          <w:szCs w:val="20"/>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12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 or joint ventures;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incidents involving cybersecurity or data protection;</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90" w:lineRule="exact"/>
        <w:rPr>
          <w:sz w:val="20"/>
          <w:szCs w:val="20"/>
          <w:color w:val="auto"/>
        </w:rPr>
      </w:pPr>
    </w:p>
    <w:p>
      <w:pPr>
        <w:ind w:left="1300" w:hanging="320"/>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incidents;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12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11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24"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 or </w:t>
      </w:r>
      <w:r>
        <w:rPr>
          <w:rFonts w:ascii="Times New Roman" w:cs="Times New Roman" w:eastAsia="Times New Roman" w:hAnsi="Times New Roman"/>
          <w:sz w:val="22"/>
          <w:szCs w:val="22"/>
          <w:u w:val="single" w:color="auto"/>
          <w:color w:val="auto"/>
        </w:rPr>
        <w:t>United Press 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that are available on the SEC’s web site.</w:t>
      </w:r>
    </w:p>
    <w:p>
      <w:pPr>
        <w:spacing w:after="0" w:line="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General Counsel.</w:t>
      </w:r>
    </w:p>
    <w:p>
      <w:pPr>
        <w:spacing w:after="0" w:line="173"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transactions by these entities should be treated for the purposes of this Policy and applicable securities laws as if they were for the individual’s own account.</w:t>
      </w:r>
    </w:p>
    <w:p>
      <w:pPr>
        <w:spacing w:after="0" w:line="158"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9" w:lineRule="exact"/>
        <w:rPr>
          <w:sz w:val="20"/>
          <w:szCs w:val="20"/>
          <w:color w:val="auto"/>
        </w:rPr>
      </w:pPr>
    </w:p>
    <w:p>
      <w:pPr>
        <w:ind w:left="1060" w:hanging="404"/>
        <w:spacing w:after="0"/>
        <w:tabs>
          <w:tab w:leader="none" w:pos="10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41" w:lineRule="exact"/>
        <w:rPr>
          <w:sz w:val="20"/>
          <w:szCs w:val="20"/>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71" w:lineRule="exact"/>
        <w:rPr>
          <w:rFonts w:ascii="Times New Roman" w:cs="Times New Roman" w:eastAsia="Times New Roman" w:hAnsi="Times New Roman"/>
          <w:sz w:val="22"/>
          <w:szCs w:val="22"/>
          <w:color w:val="auto"/>
        </w:rPr>
      </w:pPr>
    </w:p>
    <w:p>
      <w:pPr>
        <w:jc w:val="both"/>
        <w:ind w:left="1300" w:hanging="320"/>
        <w:spacing w:after="0" w:line="225" w:lineRule="auto"/>
        <w:tabs>
          <w:tab w:leader="none" w:pos="129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$2,479,282 (subject to adjustment for inflation) or three times the amount of profit gained or loss avoided by the violator;</w:t>
      </w:r>
    </w:p>
    <w:p>
      <w:pPr>
        <w:spacing w:after="0" w:line="4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 Racketeer Influenced and Corrupt Organizations Act (RICO), also may be violated in connection with insider trading.</w:t>
      </w:r>
    </w:p>
    <w:p>
      <w:pPr>
        <w:spacing w:after="0" w:line="220" w:lineRule="exact"/>
        <w:rPr>
          <w:sz w:val="20"/>
          <w:szCs w:val="20"/>
          <w:color w:val="auto"/>
        </w:rPr>
      </w:pPr>
    </w:p>
    <w:p>
      <w:pPr>
        <w:ind w:left="1020" w:hanging="364"/>
        <w:spacing w:after="0"/>
        <w:tabs>
          <w:tab w:leader="none" w:pos="10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Size of Transaction and Reason for Transaction Do Not Matter</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76"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 of Insider Trading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insider trading cases include:</w:t>
      </w:r>
    </w:p>
    <w:p>
      <w:pPr>
        <w:spacing w:after="0" w:line="125" w:lineRule="exact"/>
        <w:rPr>
          <w:sz w:val="20"/>
          <w:szCs w:val="20"/>
          <w:color w:val="auto"/>
        </w:rPr>
      </w:pPr>
    </w:p>
    <w:p>
      <w:pPr>
        <w:ind w:left="1300" w:hanging="320"/>
        <w:spacing w:after="0" w:line="271" w:lineRule="auto"/>
        <w:tabs>
          <w:tab w:leader="none" w:pos="12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brought against corporate officers, directors, and employees who traded in a company’s securities after learning of significant confidential corporate developments;</w:t>
      </w:r>
    </w:p>
    <w:p>
      <w:pPr>
        <w:spacing w:after="0" w:line="49" w:lineRule="exact"/>
        <w:rPr>
          <w:rFonts w:ascii="Times New Roman" w:cs="Times New Roman" w:eastAsia="Times New Roman" w:hAnsi="Times New Roman"/>
          <w:sz w:val="22"/>
          <w:szCs w:val="22"/>
          <w:color w:val="auto"/>
        </w:rPr>
      </w:pPr>
    </w:p>
    <w:p>
      <w:pPr>
        <w:ind w:left="1300" w:right="20" w:hanging="320"/>
        <w:spacing w:after="0" w:line="271" w:lineRule="auto"/>
        <w:tabs>
          <w:tab w:leader="none" w:pos="12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in the securities after receiving such information;</w:t>
      </w:r>
    </w:p>
    <w:p>
      <w:pPr>
        <w:spacing w:after="0" w:line="4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who misappropriated, and took advantage of, confidential information from their employers.</w:t>
      </w:r>
    </w:p>
    <w:p>
      <w:pPr>
        <w:spacing w:after="0" w:line="1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11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112"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90"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penalties of up to three times the amount of the friend’s profits. The officer and his friend are also subject to criminal prosecution and other remedies and sanctions, as described above.</w:t>
      </w:r>
    </w:p>
    <w:p>
      <w:pPr>
        <w:spacing w:after="0" w:line="158"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of Records Falsification and False Statements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Statement of Procedures Preventing Insider Trading</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designated employee is required to follow these procedures.</w:t>
      </w:r>
    </w:p>
    <w:p>
      <w:pPr>
        <w:spacing w:after="0" w:line="158"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Certain Employees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1"/>
          <w:szCs w:val="21"/>
          <w:b w:val="1"/>
          <w:bCs w:val="1"/>
          <w:color w:val="auto"/>
        </w:rPr>
        <w:t>all transactions in the Company’s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(including without limitation, acquisitions and dispositions of Company stock (including by gift), the exercise of stock options and the sale of Company stock issued upon exercise of stock options) by officers, directors and such other employees as are designated from time to time by the Board of Directors, the Chief Executive Officer, Chief Financial Officer or the General Counsel as being subject to this pre-clearance process (each, a “</w:t>
      </w:r>
      <w:r>
        <w:rPr>
          <w:rFonts w:ascii="Times New Roman" w:cs="Times New Roman" w:eastAsia="Times New Roman" w:hAnsi="Times New Roman"/>
          <w:sz w:val="21"/>
          <w:szCs w:val="21"/>
          <w:b w:val="1"/>
          <w:bCs w:val="1"/>
          <w:i w:val="1"/>
          <w:iCs w:val="1"/>
          <w:color w:val="auto"/>
        </w:rPr>
        <w:t>Pre-Clearance Person</w:t>
      </w:r>
      <w:r>
        <w:rPr>
          <w:rFonts w:ascii="Times New Roman" w:cs="Times New Roman" w:eastAsia="Times New Roman" w:hAnsi="Times New Roman"/>
          <w:sz w:val="21"/>
          <w:szCs w:val="21"/>
          <w:b w:val="1"/>
          <w:bCs w:val="1"/>
          <w:color w:val="auto"/>
        </w:rPr>
        <w:t xml:space="preserve">”) must be pre-cleared </w:t>
      </w:r>
      <w:r>
        <w:rPr>
          <w:rFonts w:ascii="Times New Roman" w:cs="Times New Roman" w:eastAsia="Times New Roman" w:hAnsi="Times New Roman"/>
          <w:sz w:val="21"/>
          <w:szCs w:val="21"/>
          <w:color w:val="auto"/>
        </w:rPr>
        <w:t>by the General Counsel. Pre-clearance does not relieve anyone of his or her responsibility under SEC rules.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avoidance of doubt, any designation by the Board of Directors of the employees who are subject to pre-clearance may be updated from time to time by the Chief Executive Officer, the Chief Financial Officer or the General Counsel.</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 request for pre-clearance may be oral or in writing (including without limitation by e-mail), should be made at least two</w:t>
      </w:r>
    </w:p>
    <w:p>
      <w:pPr>
        <w:spacing w:after="0" w:line="41" w:lineRule="exact"/>
        <w:rPr>
          <w:sz w:val="20"/>
          <w:szCs w:val="20"/>
          <w:color w:val="auto"/>
        </w:rPr>
      </w:pPr>
    </w:p>
    <w:p>
      <w:pPr>
        <w:jc w:val="both"/>
        <w:ind w:firstLine="8"/>
        <w:spacing w:after="0" w:line="262" w:lineRule="auto"/>
        <w:tabs>
          <w:tab w:leader="none" w:pos="31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General Counsel, the Pre-Clearance Person must execute a certification (in the form approved by the General Counsel) that he, she or it is not aware of material, non-public information about the Company.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shall have sole discretion to decide whether to clear any contemplated transaction, provided that the 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 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0"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No officer, director or other employee designated from time to time by the Board of Directors, the Chief Executive Officer, the Chief Financial Officer or the General Counsel as being subject to quarterly black-out periods shall purchase or sell any security of the Company during the period beginning at 11:59 p.m., Eastern time,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 the permitted transactions described in Section II. For example,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fourth fiscal quarter ends at 11:59 p.m., Eastern time, on December 31, the corresponding black-out period would begin at 11:59 p.m., Eastern time, on December 17. For the avoidance of doubt, any designation by the Board of Directors of the employees who are subject to quarterly black-out periods may be updated from time to time by the Chief Executive Officer, Chief Financial Officer or General Counsel.</w:t>
      </w:r>
    </w:p>
    <w:p>
      <w:pPr>
        <w:spacing w:after="0" w:line="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the Chief Financial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8"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71"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Relating to the Company</w:t>
      </w:r>
    </w:p>
    <w:p>
      <w:pPr>
        <w:spacing w:after="0" w:line="216" w:lineRule="exact"/>
        <w:rPr>
          <w:sz w:val="20"/>
          <w:szCs w:val="20"/>
          <w:color w:val="auto"/>
        </w:rPr>
      </w:pPr>
    </w:p>
    <w:p>
      <w:pPr>
        <w:ind w:left="1680" w:hanging="376"/>
        <w:spacing w:after="0"/>
        <w:tabs>
          <w:tab w:leader="none" w:pos="16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 to Information</w:t>
      </w:r>
    </w:p>
    <w:p>
      <w:pPr>
        <w:spacing w:after="0" w:line="1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61" w:lineRule="exact"/>
        <w:rPr>
          <w:sz w:val="20"/>
          <w:szCs w:val="20"/>
          <w:color w:val="auto"/>
        </w:rPr>
      </w:pPr>
    </w:p>
    <w:p>
      <w:pPr>
        <w:ind w:left="1680" w:hanging="376"/>
        <w:spacing w:after="0"/>
        <w:tabs>
          <w:tab w:leader="none" w:pos="16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Inquiries From Third Parties</w:t>
      </w:r>
    </w:p>
    <w:p>
      <w:pPr>
        <w:spacing w:after="0" w:line="12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 or the General Counsel.</w:t>
      </w:r>
    </w:p>
    <w:p>
      <w:pPr>
        <w:spacing w:after="0" w:line="158" w:lineRule="exact"/>
        <w:rPr>
          <w:sz w:val="20"/>
          <w:szCs w:val="20"/>
          <w:color w:val="auto"/>
        </w:rPr>
      </w:pPr>
    </w:p>
    <w:p>
      <w:pPr>
        <w:ind w:left="1060" w:hanging="404"/>
        <w:spacing w:after="0"/>
        <w:tabs>
          <w:tab w:leader="none" w:pos="10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Access to Company Information</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6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23" w:lineRule="exact"/>
        <w:rPr>
          <w:sz w:val="20"/>
          <w:szCs w:val="20"/>
          <w:color w:val="auto"/>
        </w:rPr>
      </w:pPr>
    </w:p>
    <w:p>
      <w:pPr>
        <w:ind w:left="1300" w:hanging="320"/>
        <w:spacing w:after="0"/>
        <w:tabs>
          <w:tab w:leader="none" w:pos="13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71" w:lineRule="exact"/>
        <w:rPr>
          <w:rFonts w:ascii="Times New Roman" w:cs="Times New Roman" w:eastAsia="Times New Roman" w:hAnsi="Times New Roman"/>
          <w:sz w:val="22"/>
          <w:szCs w:val="22"/>
          <w:color w:val="auto"/>
        </w:rPr>
      </w:pPr>
    </w:p>
    <w:p>
      <w:pPr>
        <w:jc w:val="both"/>
        <w:ind w:left="1300" w:hanging="320"/>
        <w:spacing w:after="0" w:line="225" w:lineRule="auto"/>
        <w:tabs>
          <w:tab w:leader="none" w:pos="129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44" w:lineRule="exact"/>
        <w:rPr>
          <w:rFonts w:ascii="Times New Roman" w:cs="Times New Roman" w:eastAsia="Times New Roman" w:hAnsi="Times New Roman"/>
          <w:sz w:val="22"/>
          <w:szCs w:val="22"/>
          <w:color w:val="auto"/>
        </w:rPr>
      </w:pPr>
    </w:p>
    <w:p>
      <w:pPr>
        <w:jc w:val="both"/>
        <w:ind w:left="1300" w:hanging="320"/>
        <w:spacing w:after="0" w:line="225" w:lineRule="auto"/>
        <w:tabs>
          <w:tab w:leader="none" w:pos="129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44" w:lineRule="exact"/>
        <w:rPr>
          <w:rFonts w:ascii="Times New Roman" w:cs="Times New Roman" w:eastAsia="Times New Roman" w:hAnsi="Times New Roman"/>
          <w:sz w:val="22"/>
          <w:szCs w:val="22"/>
          <w:color w:val="auto"/>
        </w:rPr>
      </w:pPr>
    </w:p>
    <w:p>
      <w:pPr>
        <w:ind w:left="1300" w:hanging="320"/>
        <w:spacing w:after="0" w:line="236" w:lineRule="auto"/>
        <w:tabs>
          <w:tab w:leader="none" w:pos="129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42" w:lineRule="exact"/>
        <w:rPr>
          <w:rFonts w:ascii="Times New Roman" w:cs="Times New Roman" w:eastAsia="Times New Roman" w:hAnsi="Times New Roman"/>
          <w:sz w:val="22"/>
          <w:szCs w:val="22"/>
          <w:color w:val="auto"/>
        </w:rPr>
      </w:pPr>
    </w:p>
    <w:p>
      <w:pPr>
        <w:ind w:left="1300" w:hanging="320"/>
        <w:spacing w:after="0" w:line="236" w:lineRule="auto"/>
        <w:tabs>
          <w:tab w:leader="none" w:pos="129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63" w:lineRule="exact"/>
        <w:rPr>
          <w:sz w:val="20"/>
          <w:szCs w:val="20"/>
          <w:color w:val="auto"/>
        </w:rPr>
      </w:pPr>
    </w:p>
    <w:p>
      <w:pPr>
        <w:ind w:left="1300" w:hanging="320"/>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non-public information;</w:t>
      </w:r>
    </w:p>
    <w:p>
      <w:pPr>
        <w:spacing w:after="0" w:line="71" w:lineRule="exact"/>
        <w:rPr>
          <w:rFonts w:ascii="Times New Roman" w:cs="Times New Roman" w:eastAsia="Times New Roman" w:hAnsi="Times New Roman"/>
          <w:sz w:val="22"/>
          <w:szCs w:val="22"/>
          <w:color w:val="auto"/>
        </w:rPr>
      </w:pPr>
    </w:p>
    <w:p>
      <w:pPr>
        <w:ind w:left="1300" w:hanging="320"/>
        <w:spacing w:after="0" w:line="236" w:lineRule="auto"/>
        <w:tabs>
          <w:tab w:leader="none" w:pos="129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42" w:lineRule="exact"/>
        <w:rPr>
          <w:rFonts w:ascii="Times New Roman" w:cs="Times New Roman" w:eastAsia="Times New Roman" w:hAnsi="Times New Roman"/>
          <w:sz w:val="22"/>
          <w:szCs w:val="22"/>
          <w:color w:val="auto"/>
        </w:rPr>
      </w:pPr>
    </w:p>
    <w:p>
      <w:pPr>
        <w:ind w:left="1300" w:hanging="320"/>
        <w:spacing w:after="0" w:line="236" w:lineRule="auto"/>
        <w:tabs>
          <w:tab w:leader="none" w:pos="129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1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V.</w:t>
      </w:r>
      <w:r>
        <w:rPr>
          <w:sz w:val="20"/>
          <w:szCs w:val="20"/>
          <w:color w:val="auto"/>
        </w:rPr>
        <w:tab/>
      </w:r>
      <w:r>
        <w:rPr>
          <w:rFonts w:ascii="Times New Roman" w:cs="Times New Roman" w:eastAsia="Times New Roman" w:hAnsi="Times New Roman"/>
          <w:sz w:val="21"/>
          <w:szCs w:val="21"/>
          <w:b w:val="1"/>
          <w:bCs w:val="1"/>
          <w:color w:val="auto"/>
        </w:rPr>
        <w:t>Additional Prohibited Transactions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73"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194"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181"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76" w:lineRule="exact"/>
        <w:rPr>
          <w:sz w:val="20"/>
          <w:szCs w:val="20"/>
          <w:color w:val="auto"/>
        </w:rPr>
      </w:pPr>
    </w:p>
    <w:p>
      <w:pPr>
        <w:ind w:left="1300" w:right="360" w:hanging="644"/>
        <w:spacing w:after="0" w:line="271" w:lineRule="auto"/>
        <w:tabs>
          <w:tab w:leader="none" w:pos="10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 Loans</w:t>
      </w:r>
    </w:p>
    <w:p>
      <w:pPr>
        <w:spacing w:after="0" w:line="15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179" w:lineRule="exact"/>
        <w:rPr>
          <w:sz w:val="20"/>
          <w:szCs w:val="20"/>
          <w:color w:val="auto"/>
        </w:rPr>
      </w:pPr>
    </w:p>
    <w:p>
      <w:pPr>
        <w:ind w:left="1060" w:hanging="404"/>
        <w:spacing w:after="0"/>
        <w:tabs>
          <w:tab w:leader="none" w:pos="10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Rule 10b5-1 Trading Plans</w:t>
      </w:r>
    </w:p>
    <w:p>
      <w:pPr>
        <w:spacing w:after="0" w:line="224"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entered into and conducted in good faith and in accordance with the terms of Rule 10b5-1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and will be exempt from the trading restrictions set forth in this Policy. Each such Trading Plan, and any proposed modification or termination thereof, must be submitted to and pre-approved by the General Counsel,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who may impose such conditions on the implementation and operation of the Trading Plan as the Authorizing Officer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86"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reporting obligations or short-swing profit rules or liability. Furthermore, Trading Plans only provide an “affirmative defense” in the event there is an insider trading lawsuit. It does not prevent someone from bringing a lawsuit.</w:t>
      </w:r>
    </w:p>
    <w:p>
      <w:pPr>
        <w:spacing w:after="0" w:line="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director, officer or employee may enter into a Trading Plan only in good faith and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Officers, directors and employees may adopt Trading Plans with brokers that outline a pre-set plan for trading of the Company’s stock, including the exercise of options. Trades pursuant to a Trading Plan generally may occur at any time. However, the Trading Plan must include a minimum “cooling-off period” between the establishment of a Trading Plan and commencement of any transactions under such plan for:</w:t>
      </w:r>
    </w:p>
    <w:p>
      <w:pPr>
        <w:spacing w:after="0" w:line="85" w:lineRule="exact"/>
        <w:rPr>
          <w:sz w:val="20"/>
          <w:szCs w:val="20"/>
          <w:color w:val="auto"/>
        </w:rPr>
      </w:pPr>
    </w:p>
    <w:p>
      <w:pPr>
        <w:jc w:val="both"/>
        <w:ind w:left="660" w:hanging="328"/>
        <w:spacing w:after="0" w:line="257" w:lineRule="auto"/>
        <w:tabs>
          <w:tab w:leader="none" w:pos="65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reporting persons that extends to the later of 90 days after adoption or modification of a Trading Plan or two business days after filing the Form 10-K or Form 10-Q covering the fiscal quarter in which the Trading Plan was adopted or modified, as applicable, up to a maximum of 120 days; and</w:t>
      </w:r>
    </w:p>
    <w:p>
      <w:pPr>
        <w:spacing w:after="0" w:line="64"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are not Section 16 reporting persons and any other persons, other than the Company, that extends 30 days after adoption or modification of a Trading Plan.</w:t>
      </w:r>
    </w:p>
    <w:p>
      <w:pPr>
        <w:spacing w:after="0" w:line="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Individuals may not adopt more than one Trading Plan at a time except under the limited circumstances permitted by Rule 10b5-1 and subject to pre-approval by the Authorizing Officer.</w:t>
      </w:r>
    </w:p>
    <w:p>
      <w:pPr>
        <w:spacing w:after="0" w:line="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98"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Terminations of and Modifications to Trading Plans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Terminations of Trading Plans should occur only in unusual circumstances. Effectiveness of any termination or modification of a Trading Plan will be subject to the prior review and approval of the Authorizing Officer. Termination is effected upon written notice to the broker.</w:t>
      </w:r>
    </w:p>
    <w:p>
      <w:pPr>
        <w:spacing w:after="0" w:line="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and modifications of a Trading Plan that change the amount, price, or timing of the purchase or sale of the securities underlying a Trading Plan will trigger a new cooling-off period (as described in Section VI.A above).</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termination.</w:t>
      </w:r>
    </w:p>
    <w:p>
      <w:pPr>
        <w:spacing w:after="0" w:line="179"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9" w:lineRule="exact"/>
        <w:rPr>
          <w:sz w:val="20"/>
          <w:szCs w:val="20"/>
          <w:color w:val="auto"/>
        </w:rPr>
      </w:pPr>
    </w:p>
    <w:p>
      <w:pPr>
        <w:ind w:left="1080" w:hanging="424"/>
        <w:spacing w:after="0"/>
        <w:tabs>
          <w:tab w:leader="none" w:pos="10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(if Required)</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____.” For Section 16 reporting persons, Form 4s should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filed before the 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90" w:lineRule="exact"/>
        <w:rPr>
          <w:sz w:val="20"/>
          <w:szCs w:val="20"/>
          <w:color w:val="auto"/>
        </w:rPr>
      </w:pPr>
    </w:p>
    <w:p>
      <w:pPr>
        <w:ind w:left="1060" w:hanging="404"/>
        <w:spacing w:after="0"/>
        <w:tabs>
          <w:tab w:leader="none" w:pos="10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1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not permitted during black-out periods.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86" w:lineRule="exact"/>
        <w:rPr>
          <w:sz w:val="20"/>
          <w:szCs w:val="20"/>
          <w:color w:val="auto"/>
        </w:rPr>
      </w:pPr>
    </w:p>
    <w:p>
      <w:pPr>
        <w:ind w:left="1020" w:hanging="364"/>
        <w:spacing w:after="0"/>
        <w:tabs>
          <w:tab w:leader="none" w:pos="10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11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50"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Disclosure</w:t>
      </w:r>
    </w:p>
    <w:p>
      <w:pPr>
        <w:spacing w:after="0" w:line="1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167"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78" w:lineRule="exact"/>
        <w:rPr>
          <w:sz w:val="20"/>
          <w:szCs w:val="20"/>
          <w:color w:val="auto"/>
        </w:rPr>
      </w:pPr>
    </w:p>
    <w:p>
      <w:pPr>
        <w:ind w:left="1000" w:hanging="344"/>
        <w:spacing w:after="0"/>
        <w:tabs>
          <w:tab w:leader="none" w:pos="10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p>
    <w:p>
      <w:pPr>
        <w:spacing w:after="0" w:line="1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None of the Company, the Chief Executive Officer, the Chief Financial Officer, General Counsel,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Financial Officer,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Execution and Return of Certification of Compliance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to the General Counsel the Certification of Compliance form attached hereto as “Attachment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CERTIFICATION OF COMPLIANCE</w:t>
      </w:r>
    </w:p>
    <w:p>
      <w:pPr>
        <w:spacing w:after="0" w:line="1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RETURN BY [_________] </w:t>
      </w:r>
      <w:r>
        <w:rPr>
          <w:rFonts w:ascii="Times New Roman" w:cs="Times New Roman" w:eastAsia="Times New Roman" w:hAnsi="Times New Roman"/>
          <w:sz w:val="22"/>
          <w:szCs w:val="22"/>
          <w:i w:val="1"/>
          <w:iCs w:val="1"/>
          <w:color w:val="auto"/>
        </w:rPr>
        <w:t>[insert return deadline]</w:t>
      </w:r>
    </w:p>
    <w:p>
      <w:pPr>
        <w:spacing w:after="0" w:line="1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__________________, General Counsel</w:t>
      </w:r>
    </w:p>
    <w:p>
      <w:pPr>
        <w:spacing w:after="0" w:line="1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1"/>
          <w:szCs w:val="21"/>
          <w:color w:val="auto"/>
        </w:rPr>
        <w:t>__________________________</w:t>
      </w:r>
    </w:p>
    <w:p>
      <w:pPr>
        <w:spacing w:after="0" w:line="1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INSIDER TRADING COMPLIANCE POLICY OF KALTURA, INC.</w:t>
      </w:r>
    </w:p>
    <w:p>
      <w:pPr>
        <w:spacing w:after="0" w:line="11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Kaltura, Inc., to comply fully with the policies and procedures contained therein.</w:t>
      </w:r>
    </w:p>
    <w:p>
      <w:pPr>
        <w:spacing w:after="0" w:line="59" w:lineRule="exact"/>
        <w:rPr>
          <w:sz w:val="20"/>
          <w:szCs w:val="20"/>
          <w:color w:val="auto"/>
        </w:rPr>
      </w:pPr>
    </w:p>
    <w:p>
      <w:pPr>
        <w:jc w:val="both"/>
        <w:ind w:right="20" w:firstLine="1296"/>
        <w:spacing w:after="0" w:line="274"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20[__], I have complied fully with all policies and procedures set forth in the above-referenced Insider Trading Compliance Policy.]</w:t>
      </w:r>
      <w:r>
        <w:rPr>
          <w:rFonts w:ascii="Times New Roman" w:cs="Times New Roman" w:eastAsia="Times New Roman" w:hAnsi="Times New Roman"/>
          <w:sz w:val="28"/>
          <w:szCs w:val="28"/>
          <w:color w:val="auto"/>
          <w:vertAlign w:val="superscript"/>
        </w:rPr>
        <w:t>1</w:t>
      </w:r>
    </w:p>
    <w:p>
      <w:pPr>
        <w:spacing w:after="0" w:line="316"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22"/>
          <w:szCs w:val="22"/>
          <w:color w:val="auto"/>
        </w:rPr>
        <w:t>___________________________</w:t>
      </w:r>
      <w:r>
        <w:rPr>
          <w:sz w:val="20"/>
          <w:szCs w:val="20"/>
          <w:color w:val="auto"/>
        </w:rPr>
        <w:tab/>
      </w:r>
      <w:r>
        <w:rPr>
          <w:rFonts w:ascii="Times New Roman" w:cs="Times New Roman" w:eastAsia="Times New Roman" w:hAnsi="Times New Roman"/>
          <w:sz w:val="21"/>
          <w:szCs w:val="21"/>
          <w:color w:val="auto"/>
        </w:rPr>
        <w:t>_______________</w:t>
      </w:r>
    </w:p>
    <w:p>
      <w:pPr>
        <w:spacing w:after="0" w:line="28"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16459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hanging="112"/>
        <w:spacing w:after="0"/>
        <w:tabs>
          <w:tab w:leader="none" w:pos="120" w:val="left"/>
        </w:tabs>
        <w:numPr>
          <w:ilvl w:val="0"/>
          <w:numId w:val="1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This language should be excluded from an initial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|US-DOCS\138815181.2||</w:t>
      </w:r>
    </w:p>
    <w:p>
      <w:pPr>
        <w:sectPr>
          <w:pgSz w:w="11900" w:h="16838" w:orient="portrait"/>
          <w:cols w:equalWidth="0" w:num="1">
            <w:col w:w="11240"/>
          </w:cols>
          <w:pgMar w:left="320" w:top="1440" w:right="339" w:bottom="1440" w:gutter="0" w:footer="0" w:header="0"/>
        </w:sectPr>
      </w:pPr>
    </w:p>
    <w:bookmarkStart w:id="193" w:name="page194"/>
    <w:bookmarkEnd w:id="193"/>
    <w:p>
      <w:pPr>
        <w:ind w:left="10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Subsidiaries of Kaltura, Inc.</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State or Other Jurisdiction of Incorporation or Organization</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Kaltura Asia Pte. Ltd.</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Singapore</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Kaltura Brasil Internet Video Software e Servicos Limitada</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Brazil</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Kaltura Europe Ltd.</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United Kingdom</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Kaltura Germany GmbH</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Germany</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Kaltura Portugal Unipessoal LDA</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Portugal</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Kaltura Ltd.</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Israel</w:t>
            </w:r>
          </w:p>
        </w:tc>
      </w:tr>
    </w:tbl>
    <w:p>
      <w:pPr>
        <w:sectPr>
          <w:pgSz w:w="11900" w:h="16838" w:orient="portrait"/>
          <w:cols w:equalWidth="0" w:num="1">
            <w:col w:w="11260"/>
          </w:cols>
          <w:pgMar w:left="320" w:top="158"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333333"/>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333333"/>
        </w:rPr>
        <w:t>We consent to the incorporation by reference in the Registration Statements on Form S-8 (Nos. 333-258261, 333-263262, 333-270081 and 333-277353) of Kaltura, Inc., pertaining to the Kaltura, Inc. 2007 Israeli Share Option Plan, Kaltura, Inc. 2007 Stock Option Plan, Kaltura, Inc. 2017 Equity Incentive Plan and Kaltura, Inc. 2021 Incentive Award Plan, of our report dated February 20, 2025, with respect to the consolidated financial statements of Kaltura, Inc. included in this Annual Report (Form 10-K) for the year ended December 31, 2024.</w:t>
      </w:r>
    </w:p>
    <w:p>
      <w:pPr>
        <w:sectPr>
          <w:pgSz w:w="11900" w:h="16838" w:orient="portrait"/>
          <w:cols w:equalWidth="0" w:num="1">
            <w:col w:w="11240"/>
          </w:cols>
          <w:pgMar w:left="320" w:top="158" w:right="339" w:bottom="1440" w:gutter="0" w:footer="0" w:header="0"/>
        </w:sect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33333"/>
        </w:rPr>
        <w:t>February 20,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33333"/>
        </w:rPr>
        <w:t>Tel-Aviv, Israel</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333333"/>
        </w:rPr>
        <w:t>/s/ Kost Forer Gabbay &amp; Kasierer</w:t>
      </w:r>
    </w:p>
    <w:p>
      <w:pPr>
        <w:spacing w:after="0" w:line="8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333333"/>
        </w:rPr>
        <w:t>A Member of EY Global</w:t>
      </w:r>
    </w:p>
    <w:p>
      <w:pPr>
        <w:spacing w:after="0" w:line="200" w:lineRule="exact"/>
        <w:rPr>
          <w:sz w:val="20"/>
          <w:szCs w:val="20"/>
          <w:color w:val="auto"/>
        </w:rPr>
      </w:pPr>
    </w:p>
    <w:p>
      <w:pPr>
        <w:sectPr>
          <w:pgSz w:w="11900" w:h="16838" w:orient="portrait"/>
          <w:cols w:equalWidth="0" w:num="2">
            <w:col w:w="6500" w:space="720"/>
            <w:col w:w="4020"/>
          </w:cols>
          <w:pgMar w:left="320" w:top="1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|US-DOCS\157383947.2||</w:t>
      </w:r>
    </w:p>
    <w:p>
      <w:pPr>
        <w:sectPr>
          <w:pgSz w:w="11900" w:h="16838" w:orient="portrait"/>
          <w:cols w:equalWidth="0" w:num="1">
            <w:col w:w="11240"/>
          </w:cols>
          <w:pgMar w:left="320" w:top="158" w:right="339" w:bottom="1440" w:gutter="0" w:footer="0" w:header="0"/>
          <w:type w:val="continuous"/>
        </w:sectPr>
      </w:pPr>
    </w:p>
    <w:bookmarkStart w:id="195" w:name="page196"/>
    <w:bookmarkEnd w:id="195"/>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Yekutiel, certify that:</w:t>
      </w:r>
    </w:p>
    <w:p>
      <w:pPr>
        <w:spacing w:after="0" w:line="77" w:lineRule="exact"/>
        <w:rPr>
          <w:sz w:val="20"/>
          <w:szCs w:val="20"/>
          <w:color w:val="auto"/>
        </w:rPr>
      </w:pPr>
    </w:p>
    <w:p>
      <w:pPr>
        <w:ind w:left="540" w:hanging="433"/>
        <w:spacing w:after="0"/>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Kaltura, Inc.;</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540" w:right="240" w:hanging="433"/>
        <w:spacing w:after="0" w:line="274"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1" w:lineRule="exact"/>
        <w:rPr>
          <w:rFonts w:ascii="Times New Roman" w:cs="Times New Roman" w:eastAsia="Times New Roman" w:hAnsi="Times New Roman"/>
          <w:sz w:val="18"/>
          <w:szCs w:val="18"/>
          <w:color w:val="auto"/>
        </w:rPr>
      </w:pPr>
    </w:p>
    <w:p>
      <w:pPr>
        <w:ind w:left="540" w:right="200" w:hanging="433"/>
        <w:spacing w:after="0" w:line="297"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1" w:lineRule="exact"/>
        <w:rPr>
          <w:rFonts w:ascii="Times New Roman" w:cs="Times New Roman" w:eastAsia="Times New Roman" w:hAnsi="Times New Roman"/>
          <w:sz w:val="18"/>
          <w:szCs w:val="18"/>
          <w:color w:val="auto"/>
        </w:rPr>
      </w:pPr>
    </w:p>
    <w:p>
      <w:pPr>
        <w:jc w:val="both"/>
        <w:ind w:left="540" w:right="220" w:hanging="433"/>
        <w:spacing w:after="0" w:line="274"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80" w:right="60" w:hanging="324"/>
        <w:spacing w:after="0" w:line="302" w:lineRule="auto"/>
        <w:tabs>
          <w:tab w:leader="none" w:pos="97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302" w:lineRule="auto"/>
        <w:tabs>
          <w:tab w:leader="none" w:pos="97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314" w:lineRule="auto"/>
        <w:tabs>
          <w:tab w:leader="none" w:pos="97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63" w:lineRule="exact"/>
        <w:rPr>
          <w:rFonts w:ascii="Times New Roman" w:cs="Times New Roman" w:eastAsia="Times New Roman" w:hAnsi="Times New Roman"/>
          <w:sz w:val="18"/>
          <w:szCs w:val="18"/>
          <w:color w:val="auto"/>
        </w:rPr>
      </w:pPr>
    </w:p>
    <w:p>
      <w:pPr>
        <w:ind w:left="980" w:right="5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ind w:left="540" w:right="200" w:hanging="433"/>
        <w:spacing w:after="0" w:line="297"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980" w:right="780" w:hanging="324"/>
        <w:spacing w:after="0" w:line="305" w:lineRule="auto"/>
        <w:tabs>
          <w:tab w:leader="none" w:pos="97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313" w:lineRule="auto"/>
        <w:tabs>
          <w:tab w:leader="none" w:pos="97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43180</wp:posOffset>
            </wp:positionV>
            <wp:extent cx="34118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8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Ron Yekutiel</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3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96" w:name="page197"/>
    <w:bookmarkEnd w:id="1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Doherty, certify that:</w:t>
      </w:r>
    </w:p>
    <w:p>
      <w:pPr>
        <w:spacing w:after="0" w:line="50"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Kaltura, Inc.;</w:t>
      </w:r>
    </w:p>
    <w:p>
      <w:pPr>
        <w:spacing w:after="0" w:line="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63" w:lineRule="exact"/>
        <w:rPr>
          <w:rFonts w:ascii="Times New Roman" w:cs="Times New Roman" w:eastAsia="Times New Roman" w:hAnsi="Times New Roman"/>
          <w:sz w:val="18"/>
          <w:szCs w:val="18"/>
          <w:color w:val="auto"/>
        </w:rPr>
      </w:pPr>
    </w:p>
    <w:p>
      <w:pPr>
        <w:ind w:left="340" w:right="4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ind w:left="340" w:right="400" w:hanging="332"/>
        <w:spacing w:after="0" w:line="305"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302"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380" w:hanging="328"/>
        <w:spacing w:after="0" w:line="302" w:lineRule="auto"/>
        <w:tabs>
          <w:tab w:leader="none" w:pos="65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328"/>
        <w:spacing w:after="0" w:line="302"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660" w:right="860" w:hanging="328"/>
        <w:spacing w:after="0" w:line="323" w:lineRule="auto"/>
        <w:tabs>
          <w:tab w:leader="none" w:pos="65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302"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right="140" w:hanging="332"/>
        <w:spacing w:after="0" w:line="297"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80" w:hanging="328"/>
        <w:spacing w:after="0" w:line="305" w:lineRule="auto"/>
        <w:tabs>
          <w:tab w:leader="none" w:pos="65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40" w:hanging="328"/>
        <w:spacing w:after="0" w:line="329"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794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Doherty</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96" w:lineRule="auto"/>
        <w:framePr w:w="1840" w:h="160" w:wrap="auto" w:vAnchor="page" w:hAnchor="page" w:x="300" w:y="408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February 20, 2025</w:t>
      </w:r>
    </w:p>
    <w:p>
      <w:pPr>
        <w:spacing w:after="0" w:line="244"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5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rFonts w:ascii="Times New Roman" w:cs="Times New Roman" w:eastAsia="Times New Roman" w:hAnsi="Times New Roman"/>
          <w:sz w:val="17"/>
          <w:szCs w:val="17"/>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0" w:lineRule="exact"/>
        <w:rPr>
          <w:rFonts w:ascii="Times New Roman" w:cs="Times New Roman" w:eastAsia="Times New Roman" w:hAnsi="Times New Roman"/>
          <w:sz w:val="17"/>
          <w:szCs w:val="17"/>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4" w:lineRule="exact"/>
        <w:rPr>
          <w:rFonts w:ascii="Times New Roman" w:cs="Times New Roman" w:eastAsia="Times New Roman" w:hAnsi="Times New Roman"/>
          <w:sz w:val="17"/>
          <w:szCs w:val="17"/>
          <w:color w:val="auto"/>
        </w:rPr>
      </w:pPr>
    </w:p>
    <w:p>
      <w:pPr>
        <w:jc w:val="both"/>
        <w:ind w:right="560" w:firstLine="441"/>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Kaltura, Inc. (the “Company”) for the year ended December 31, 2024 as filed with the Securities and Exchange Commission on the date hereof (the “Report”), I certify, pursuant to 18 U.S.C. § 1350, as adopted pursuant to § 906 of the Sarbanes-Oxley Act of 2002, that:</w:t>
      </w:r>
    </w:p>
    <w:p>
      <w:pPr>
        <w:spacing w:after="0" w:line="2"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3" w:lineRule="exact"/>
        <w:rPr>
          <w:rFonts w:ascii="Times New Roman" w:cs="Times New Roman" w:eastAsia="Times New Roman" w:hAnsi="Times New Roman"/>
          <w:sz w:val="17"/>
          <w:szCs w:val="17"/>
          <w:color w:val="auto"/>
        </w:rPr>
      </w:pPr>
    </w:p>
    <w:p>
      <w:pPr>
        <w:ind w:left="540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 Yekutiel</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6" w:lineRule="exact"/>
        <w:rPr>
          <w:rFonts w:ascii="Times New Roman" w:cs="Times New Roman" w:eastAsia="Times New Roman" w:hAnsi="Times New Roman"/>
          <w:sz w:val="17"/>
          <w:szCs w:val="17"/>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Ron Yekutiel</w:t>
      </w:r>
    </w:p>
    <w:p>
      <w:pPr>
        <w:spacing w:after="0" w:line="36" w:lineRule="exact"/>
        <w:rPr>
          <w:rFonts w:ascii="Times New Roman" w:cs="Times New Roman" w:eastAsia="Times New Roman" w:hAnsi="Times New Roman"/>
          <w:sz w:val="17"/>
          <w:szCs w:val="17"/>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52" w:lineRule="exact"/>
        <w:rPr>
          <w:rFonts w:ascii="Times New Roman" w:cs="Times New Roman" w:eastAsia="Times New Roman" w:hAnsi="Times New Roman"/>
          <w:sz w:val="17"/>
          <w:szCs w:val="17"/>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96" w:lineRule="auto"/>
        <w:framePr w:w="1840" w:h="160" w:wrap="auto" w:vAnchor="page" w:hAnchor="page" w:x="300" w:y="384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February 20, 2025</w:t>
      </w:r>
    </w:p>
    <w:p>
      <w:pPr>
        <w:spacing w:after="0" w:line="1"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5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rFonts w:ascii="Times New Roman" w:cs="Times New Roman" w:eastAsia="Times New Roman" w:hAnsi="Times New Roman"/>
          <w:sz w:val="17"/>
          <w:szCs w:val="17"/>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0" w:lineRule="exact"/>
        <w:rPr>
          <w:rFonts w:ascii="Times New Roman" w:cs="Times New Roman" w:eastAsia="Times New Roman" w:hAnsi="Times New Roman"/>
          <w:sz w:val="17"/>
          <w:szCs w:val="17"/>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4" w:lineRule="exact"/>
        <w:rPr>
          <w:rFonts w:ascii="Times New Roman" w:cs="Times New Roman" w:eastAsia="Times New Roman" w:hAnsi="Times New Roman"/>
          <w:sz w:val="17"/>
          <w:szCs w:val="17"/>
          <w:color w:val="auto"/>
        </w:rPr>
      </w:pPr>
    </w:p>
    <w:p>
      <w:pPr>
        <w:jc w:val="both"/>
        <w:ind w:right="560" w:firstLine="441"/>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Kaltura, Inc. (the “Company”) for the year ended December 31, 2024 as filed with the Securities and Exchange Commission on the date hereof (the “Report”), I certify, pursuant to 18 U.S.C. § 1350, as adopted pursuant to § 906 of the Sarbanes-Oxley Act of 2002, that:</w:t>
      </w:r>
    </w:p>
    <w:p>
      <w:pPr>
        <w:spacing w:after="0" w:line="2"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3" w:lineRule="exact"/>
        <w:rPr>
          <w:rFonts w:ascii="Times New Roman" w:cs="Times New Roman" w:eastAsia="Times New Roman" w:hAnsi="Times New Roman"/>
          <w:sz w:val="17"/>
          <w:szCs w:val="17"/>
          <w:color w:val="auto"/>
        </w:rPr>
      </w:pPr>
    </w:p>
    <w:p>
      <w:pPr>
        <w:ind w:left="5400"/>
        <w:spacing w:after="0"/>
        <w:tabs>
          <w:tab w:leader="none" w:pos="7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Doherty</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6" w:lineRule="exact"/>
        <w:rPr>
          <w:rFonts w:ascii="Times New Roman" w:cs="Times New Roman" w:eastAsia="Times New Roman" w:hAnsi="Times New Roman"/>
          <w:sz w:val="17"/>
          <w:szCs w:val="17"/>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Doherty</w:t>
      </w:r>
    </w:p>
    <w:p>
      <w:pPr>
        <w:spacing w:after="0" w:line="31" w:lineRule="exact"/>
        <w:rPr>
          <w:rFonts w:ascii="Times New Roman" w:cs="Times New Roman" w:eastAsia="Times New Roman" w:hAnsi="Times New Roman"/>
          <w:sz w:val="17"/>
          <w:szCs w:val="17"/>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rFonts w:ascii="Times New Roman" w:cs="Times New Roman" w:eastAsia="Times New Roman" w:hAnsi="Times New Roman"/>
          <w:sz w:val="17"/>
          <w:szCs w:val="17"/>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1)"/>
      <w:numFmt w:val="decimal"/>
      <w:start w:val="1"/>
    </w:lvl>
  </w:abstractNum>
  <w:abstractNum w:abstractNumId="4">
    <w:nsid w:val="540A471C"/>
    <w:multiLevelType w:val="hybridMultilevel"/>
    <w:lvl w:ilvl="0">
      <w:lvlJc w:val="left"/>
      <w:lvlText w:val="(%1)"/>
      <w:numFmt w:val="decimal"/>
      <w:start w:val="2"/>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1"/>
      <w:numFmt w:val="bullet"/>
      <w:start w:val="1"/>
    </w:lvl>
  </w:abstractNum>
  <w:abstractNum w:abstractNumId="17">
    <w:nsid w:val="60B6DF70"/>
    <w:multiLevelType w:val="hybridMultilevel"/>
    <w:lvl w:ilvl="0">
      <w:lvlJc w:val="left"/>
      <w:lvlText w:val="2"/>
      <w:numFmt w:val="bullet"/>
      <w:start w:val="1"/>
    </w:lvl>
  </w:abstractNum>
  <w:abstractNum w:abstractNumId="18">
    <w:nsid w:val="6A5EE64"/>
    <w:multiLevelType w:val="hybridMultilevel"/>
    <w:lvl w:ilvl="0">
      <w:lvlJc w:val="left"/>
      <w:lvlText w:val="3"/>
      <w:numFmt w:val="bullet"/>
      <w:start w:val="1"/>
    </w:lvl>
  </w:abstractNum>
  <w:abstractNum w:abstractNumId="19">
    <w:nsid w:val="14330624"/>
    <w:multiLevelType w:val="hybridMultilevel"/>
    <w:lvl w:ilvl="0">
      <w:lvlJc w:val="left"/>
      <w:lvlText w:val="%1"/>
      <w:numFmt w:val="decimal"/>
      <w:start w:val="10"/>
    </w:lvl>
  </w:abstractNum>
  <w:abstractNum w:abstractNumId="20">
    <w:nsid w:val="7FFFCA11"/>
    <w:multiLevelType w:val="hybridMultilevel"/>
    <w:lvl w:ilvl="0">
      <w:lvlJc w:val="left"/>
      <w:lvlText w:val="•"/>
      <w:numFmt w:val="bullet"/>
      <w:start w:val="1"/>
    </w:lvl>
    <w:lvl w:ilvl="1">
      <w:lvlJc w:val="left"/>
      <w:lvlText w:val="◦"/>
      <w:numFmt w:val="bullet"/>
      <w:start w:val="1"/>
    </w:lvl>
  </w:abstractNum>
  <w:abstractNum w:abstractNumId="21">
    <w:nsid w:val="1A27709E"/>
    <w:multiLevelType w:val="hybridMultilevel"/>
    <w:lvl w:ilvl="0">
      <w:lvlJc w:val="left"/>
      <w:lvlText w:val="%1"/>
      <w:numFmt w:val="decimal"/>
      <w:start w:val="18"/>
    </w:lvl>
  </w:abstractNum>
  <w:abstractNum w:abstractNumId="22">
    <w:nsid w:val="71EA1109"/>
    <w:multiLevelType w:val="hybridMultilevel"/>
    <w:lvl w:ilvl="0">
      <w:lvlJc w:val="left"/>
      <w:lvlText w:val="•"/>
      <w:numFmt w:val="bullet"/>
      <w:start w:val="1"/>
    </w:lvl>
    <w:lvl w:ilvl="1">
      <w:lvlJc w:val="left"/>
      <w:lvlText w:val="◦"/>
      <w:numFmt w:val="bullet"/>
      <w:start w:val="1"/>
    </w:lvl>
  </w:abstractNum>
  <w:abstractNum w:abstractNumId="23">
    <w:nsid w:val="100F59DC"/>
    <w:multiLevelType w:val="hybridMultilevel"/>
    <w:lvl w:ilvl="0">
      <w:lvlJc w:val="left"/>
      <w:lvlText w:val="◦"/>
      <w:numFmt w:val="bullet"/>
      <w:start w:val="1"/>
    </w:lvl>
    <w:lvl w:ilvl="1">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94211F2"/>
    <w:multiLevelType w:val="hybridMultilevel"/>
    <w:lvl w:ilvl="0">
      <w:lvlJc w:val="left"/>
      <w:lvlText w:val="•"/>
      <w:numFmt w:val="bullet"/>
      <w:start w:val="1"/>
    </w:lvl>
    <w:lvl w:ilvl="1">
      <w:lvlJc w:val="left"/>
      <w:lvlText w:val="◦"/>
      <w:numFmt w:val="bullet"/>
      <w:start w:val="1"/>
    </w:lvl>
  </w:abstractNum>
  <w:abstractNum w:abstractNumId="28">
    <w:nsid w:val="885E1B"/>
    <w:multiLevelType w:val="hybridMultilevel"/>
    <w:lvl w:ilvl="0">
      <w:lvlJc w:val="left"/>
      <w:lvlText w:val="•"/>
      <w:numFmt w:val="bullet"/>
      <w:start w:val="1"/>
    </w:lvl>
    <w:lvl w:ilvl="1">
      <w:lvlJc w:val="left"/>
      <w:lvlText w:val="◦"/>
      <w:numFmt w:val="bullet"/>
      <w:start w:val="1"/>
    </w:lvl>
  </w:abstractNum>
  <w:abstractNum w:abstractNumId="29">
    <w:nsid w:val="76272110"/>
    <w:multiLevelType w:val="hybridMultilevel"/>
    <w:lvl w:ilvl="0">
      <w:lvlJc w:val="left"/>
      <w:lvlText w:val="•"/>
      <w:numFmt w:val="bullet"/>
      <w:start w:val="1"/>
    </w:lvl>
    <w:lvl w:ilvl="1">
      <w:lvlJc w:val="left"/>
      <w:lvlText w:val="◦"/>
      <w:numFmt w:val="bullet"/>
      <w:start w:val="1"/>
    </w:lvl>
  </w:abstractNum>
  <w:abstractNum w:abstractNumId="30">
    <w:nsid w:val="4C04A8AF"/>
    <w:multiLevelType w:val="hybridMultilevel"/>
    <w:lvl w:ilvl="0">
      <w:lvlJc w:val="left"/>
      <w:lvlText w:val="•"/>
      <w:numFmt w:val="bullet"/>
      <w:start w:val="1"/>
    </w:lvl>
    <w:lvl w:ilvl="1">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1)"/>
      <w:numFmt w:val="lowerRoman"/>
      <w:start w:val="3"/>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1."/>
      <w:numFmt w:val="lowerLetter"/>
      <w:start w:val="1"/>
    </w:lvl>
  </w:abstractNum>
  <w:abstractNum w:abstractNumId="58">
    <w:nsid w:val="73A1821B"/>
    <w:multiLevelType w:val="hybridMultilevel"/>
    <w:lvl w:ilvl="0">
      <w:lvlJc w:val="left"/>
      <w:lvlText w:val="(%1)"/>
      <w:numFmt w:val="decimal"/>
      <w:start w:val="1"/>
    </w:lvl>
  </w:abstractNum>
  <w:abstractNum w:abstractNumId="59">
    <w:nsid w:val="7DE67713"/>
    <w:multiLevelType w:val="hybridMultilevel"/>
    <w:lvl w:ilvl="0">
      <w:lvlJc w:val="left"/>
      <w:lvlText w:val="(%1)"/>
      <w:numFmt w:val="lowerRoman"/>
      <w:start w:val="3"/>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1)"/>
      <w:numFmt w:val="lowerLetter"/>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1)"/>
      <w:numFmt w:val="lowerLetter"/>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1)"/>
      <w:numFmt w:val="lowerRoman"/>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1)"/>
      <w:numFmt w:val="decimal"/>
      <w:start w:val="3"/>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1)"/>
      <w:numFmt w:val="lowerLetter"/>
      <w:start w:val="1"/>
    </w:lvl>
  </w:abstractNum>
  <w:abstractNum w:abstractNumId="73">
    <w:nsid w:val="1D9F6E5F"/>
    <w:multiLevelType w:val="hybridMultilevel"/>
    <w:lvl w:ilvl="0">
      <w:lvlJc w:val="left"/>
      <w:lvlText w:val="(%1)"/>
      <w:numFmt w:val="lowerLetter"/>
      <w:start w:val="2"/>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3"/>
    </w:lvl>
  </w:abstractNum>
  <w:abstractNum w:abstractNumId="77">
    <w:nsid w:val="53584BCB"/>
    <w:multiLevelType w:val="hybridMultilevel"/>
    <w:lvl w:ilvl="0">
      <w:lvlJc w:val="left"/>
      <w:lvlText w:val="%1."/>
      <w:numFmt w:val="decimal"/>
      <w:start w:val="4"/>
    </w:lvl>
  </w:abstractNum>
  <w:abstractNum w:abstractNumId="78">
    <w:nsid w:val="415E286C"/>
    <w:multiLevelType w:val="hybridMultilevel"/>
    <w:lvl w:ilvl="0">
      <w:lvlJc w:val="left"/>
      <w:lvlText w:val="%1."/>
      <w:numFmt w:val="decimal"/>
      <w:start w:val="5"/>
    </w:lvl>
  </w:abstractNum>
  <w:abstractNum w:abstractNumId="79">
    <w:nsid w:val="7C58FD05"/>
    <w:multiLevelType w:val="hybridMultilevel"/>
    <w:lvl w:ilvl="0">
      <w:lvlJc w:val="left"/>
      <w:lvlText w:val="%1."/>
      <w:numFmt w:val="decimal"/>
      <w:start w:val="6"/>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1."/>
      <w:numFmt w:val="decimal"/>
      <w:start w:val="3"/>
    </w:lvl>
  </w:abstractNum>
  <w:abstractNum w:abstractNumId="82">
    <w:nsid w:val="5C10FE21"/>
    <w:multiLevelType w:val="hybridMultilevel"/>
    <w:lvl w:ilvl="0">
      <w:lvlJc w:val="left"/>
      <w:lvlText w:val="%1."/>
      <w:numFmt w:val="decimal"/>
      <w:start w:val="4"/>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1."/>
      <w:numFmt w:val="decimal"/>
      <w:start w:val="3"/>
    </w:lvl>
  </w:abstractNum>
  <w:abstractNum w:abstractNumId="85">
    <w:nsid w:val="4BD8591A"/>
    <w:multiLevelType w:val="hybridMultilevel"/>
    <w:lvl w:ilvl="0">
      <w:lvlJc w:val="left"/>
      <w:lvlText w:val="%1."/>
      <w:numFmt w:val="decimal"/>
      <w:start w:val="4"/>
    </w:lvl>
  </w:abstractNum>
  <w:abstractNum w:abstractNumId="86">
    <w:nsid w:val="78DF6A55"/>
    <w:multiLevelType w:val="hybridMultilevel"/>
    <w:lvl w:ilvl="0">
      <w:lvlJc w:val="left"/>
      <w:lvlText w:val="%1."/>
      <w:numFmt w:val="decimal"/>
      <w:start w:val="1"/>
    </w:lvl>
  </w:abstractNum>
  <w:abstractNum w:abstractNumId="87">
    <w:nsid w:val="39B7AAA2"/>
    <w:multiLevelType w:val="hybridMultilevel"/>
    <w:lvl w:ilvl="0">
      <w:lvlJc w:val="left"/>
      <w:lvlText w:val="%1."/>
      <w:numFmt w:val="decimal"/>
      <w:start w:val="3"/>
    </w:lvl>
  </w:abstractNum>
  <w:abstractNum w:abstractNumId="88">
    <w:nsid w:val="2B0D8DBE"/>
    <w:multiLevelType w:val="hybridMultilevel"/>
    <w:lvl w:ilvl="0">
      <w:lvlJc w:val="left"/>
      <w:lvlText w:val="%1."/>
      <w:numFmt w:val="decimal"/>
      <w:start w:val="4"/>
    </w:lvl>
  </w:abstractNum>
  <w:abstractNum w:abstractNumId="89">
    <w:nsid w:val="6C80EC70"/>
    <w:multiLevelType w:val="hybridMultilevel"/>
    <w:lvl w:ilvl="0">
      <w:lvlJc w:val="left"/>
      <w:lvlText w:val="%1."/>
      <w:numFmt w:val="decimal"/>
      <w:start w:val="5"/>
    </w:lvl>
  </w:abstractNum>
  <w:abstractNum w:abstractNumId="90">
    <w:nsid w:val="379E21B5"/>
    <w:multiLevelType w:val="hybridMultilevel"/>
    <w:lvl w:ilvl="0">
      <w:lvlJc w:val="left"/>
      <w:lvlText w:val="%1."/>
      <w:numFmt w:val="decimal"/>
      <w:start w:val="1"/>
    </w:lvl>
  </w:abstractNum>
  <w:abstractNum w:abstractNumId="91">
    <w:nsid w:val="69E373"/>
    <w:multiLevelType w:val="hybridMultilevel"/>
    <w:lvl w:ilvl="0">
      <w:lvlJc w:val="left"/>
      <w:lvlText w:val="%1."/>
      <w:numFmt w:val="decimal"/>
      <w:start w:val="3"/>
    </w:lvl>
  </w:abstractNum>
  <w:abstractNum w:abstractNumId="92">
    <w:nsid w:val="2C27173B"/>
    <w:multiLevelType w:val="hybridMultilevel"/>
    <w:lvl w:ilvl="0">
      <w:lvlJc w:val="left"/>
      <w:lvlText w:val="%1."/>
      <w:numFmt w:val="decimal"/>
      <w:start w:val="4"/>
    </w:lvl>
  </w:abstractNum>
  <w:abstractNum w:abstractNumId="93">
    <w:nsid w:val="4C9B0904"/>
    <w:multiLevelType w:val="hybridMultilevel"/>
    <w:lvl w:ilvl="0">
      <w:lvlJc w:val="left"/>
      <w:lvlText w:val="%1."/>
      <w:numFmt w:val="decimal"/>
      <w:start w:val="5"/>
    </w:lvl>
  </w:abstractNum>
  <w:abstractNum w:abstractNumId="94">
    <w:nsid w:val="6AA7B75C"/>
    <w:multiLevelType w:val="hybridMultilevel"/>
    <w:lvl w:ilvl="0">
      <w:lvlJc w:val="left"/>
      <w:lvlText w:val="%1."/>
      <w:numFmt w:val="decimal"/>
      <w:start w:val="1"/>
    </w:lvl>
  </w:abstractNum>
  <w:abstractNum w:abstractNumId="95">
    <w:nsid w:val="1DF029D3"/>
    <w:multiLevelType w:val="hybridMultilevel"/>
    <w:lvl w:ilvl="0">
      <w:lvlJc w:val="left"/>
      <w:lvlText w:val="%1."/>
      <w:numFmt w:val="decimal"/>
      <w:start w:val="3"/>
    </w:lvl>
  </w:abstractNum>
  <w:abstractNum w:abstractNumId="96">
    <w:nsid w:val="5675FF36"/>
    <w:multiLevelType w:val="hybridMultilevel"/>
    <w:lvl w:ilvl="0">
      <w:lvlJc w:val="left"/>
      <w:lvlText w:val="%1."/>
      <w:numFmt w:val="decimal"/>
      <w:start w:val="4"/>
    </w:lvl>
  </w:abstractNum>
  <w:abstractNum w:abstractNumId="97">
    <w:nsid w:val="3DD15094"/>
    <w:multiLevelType w:val="hybridMultilevel"/>
    <w:lvl w:ilvl="0">
      <w:lvlJc w:val="left"/>
      <w:lvlText w:val="%1."/>
      <w:numFmt w:val="decimal"/>
      <w:start w:val="5"/>
    </w:lvl>
  </w:abstractNum>
  <w:abstractNum w:abstractNumId="98">
    <w:nsid w:val="3DB012B3"/>
    <w:multiLevelType w:val="hybridMultilevel"/>
    <w:lvl w:ilvl="0">
      <w:lvlJc w:val="left"/>
      <w:lvlText w:val="%1"/>
      <w:numFmt w:val="upperLetter"/>
      <w:start w:val="1"/>
    </w:lvl>
    <w:lvl w:ilvl="1">
      <w:lvlJc w:val="left"/>
      <w:lvlText w:val="•"/>
      <w:numFmt w:val="bullet"/>
      <w:start w:val="1"/>
    </w:lvl>
  </w:abstractNum>
  <w:abstractNum w:abstractNumId="99">
    <w:nsid w:val="2708C9AF"/>
    <w:multiLevelType w:val="hybridMultilevel"/>
    <w:lvl w:ilvl="0">
      <w:lvlJc w:val="left"/>
      <w:lvlText w:val="%1."/>
      <w:numFmt w:val="upperLetter"/>
      <w:start w:val="35"/>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1."/>
      <w:numFmt w:val="upperLetter"/>
      <w:start w:val="61"/>
    </w:lvl>
  </w:abstractNum>
  <w:abstractNum w:abstractNumId="102">
    <w:nsid w:val="4F97E3E4"/>
    <w:multiLevelType w:val="hybridMultilevel"/>
    <w:lvl w:ilvl="0">
      <w:lvlJc w:val="left"/>
      <w:lvlText w:val="%1."/>
      <w:numFmt w:val="upperLetter"/>
    </w:lvl>
    <w:lvl w:ilvl="1">
      <w:lvlJc w:val="left"/>
      <w:lvlText w:val="•"/>
      <w:numFmt w:val="bullet"/>
      <w:start w:val="1"/>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1."/>
      <w:numFmt w:val="upperLetter"/>
      <w:start w:val="2"/>
    </w:lvl>
  </w:abstractNum>
  <w:abstractNum w:abstractNumId="106">
    <w:nsid w:val="56438D15"/>
    <w:multiLevelType w:val="hybridMultilevel"/>
    <w:lvl w:ilvl="0">
      <w:lvlJc w:val="left"/>
      <w:lvlText w:val="%1."/>
      <w:numFmt w:val="upperLetter"/>
      <w:start w:val="3"/>
    </w:lvl>
  </w:abstractNum>
  <w:abstractNum w:abstractNumId="107">
    <w:nsid w:val="519E3149"/>
    <w:multiLevelType w:val="hybridMultilevel"/>
    <w:lvl w:ilvl="0">
      <w:lvlJc w:val="left"/>
      <w:lvlText w:val="%1."/>
      <w:numFmt w:val="upperLetter"/>
      <w:start w:val="4"/>
    </w:lvl>
  </w:abstractNum>
  <w:abstractNum w:abstractNumId="108">
    <w:nsid w:val="2C6E4AFD"/>
    <w:multiLevelType w:val="hybridMultilevel"/>
    <w:lvl w:ilvl="0">
      <w:lvlJc w:val="left"/>
      <w:lvlText w:val="%1."/>
      <w:numFmt w:val="upperLetter"/>
      <w:start w:val="5"/>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1."/>
      <w:numFmt w:val="upperLetter"/>
      <w:start w:val="6"/>
    </w:lvl>
  </w:abstractNum>
  <w:abstractNum w:abstractNumId="111">
    <w:nsid w:val="5046B5A9"/>
    <w:multiLevelType w:val="hybridMultilevel"/>
    <w:lvl w:ilvl="0">
      <w:lvlJc w:val="left"/>
      <w:lvlText w:val="%1."/>
      <w:numFmt w:val="upperLetter"/>
      <w:start w:val="7"/>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1."/>
      <w:numFmt w:val="upperLetter"/>
      <w:start w:val="8"/>
    </w:lvl>
  </w:abstractNum>
  <w:abstractNum w:abstractNumId="114">
    <w:nsid w:val="5EC6AFD4"/>
    <w:multiLevelType w:val="hybridMultilevel"/>
    <w:lvl w:ilvl="0">
      <w:lvlJc w:val="left"/>
      <w:lvlText w:val="%1."/>
      <w:numFmt w:val="upperLetter"/>
      <w:start w:val="1"/>
    </w:lvl>
  </w:abstractNum>
  <w:abstractNum w:abstractNumId="115">
    <w:nsid w:val="19E21BB2"/>
    <w:multiLevelType w:val="hybridMultilevel"/>
    <w:lvl w:ilvl="0">
      <w:lvlJc w:val="left"/>
      <w:lvlText w:val="(%1)"/>
      <w:numFmt w:val="decimal"/>
      <w:start w:val="2"/>
    </w:lvl>
  </w:abstractNum>
  <w:abstractNum w:abstractNumId="116">
    <w:nsid w:val="75E0858A"/>
    <w:multiLevelType w:val="hybridMultilevel"/>
    <w:lvl w:ilvl="0">
      <w:lvlJc w:val="left"/>
      <w:lvlText w:val="%1."/>
      <w:numFmt w:val="upperLetter"/>
      <w:start w:val="2"/>
    </w:lvl>
  </w:abstractNum>
  <w:abstractNum w:abstractNumId="117">
    <w:nsid w:val="57A61A29"/>
    <w:multiLevelType w:val="hybridMultilevel"/>
    <w:lvl w:ilvl="0">
      <w:lvlJc w:val="left"/>
      <w:lvlText w:val="%1."/>
      <w:numFmt w:val="upperLetter"/>
      <w:start w:val="3"/>
    </w:lvl>
  </w:abstractNum>
  <w:abstractNum w:abstractNumId="118">
    <w:nsid w:val="5399C654"/>
    <w:multiLevelType w:val="hybridMultilevel"/>
    <w:lvl w:ilvl="0">
      <w:lvlJc w:val="left"/>
      <w:lvlText w:val="%1."/>
      <w:numFmt w:val="upperLetter"/>
      <w:start w:val="4"/>
    </w:lvl>
  </w:abstractNum>
  <w:abstractNum w:abstractNumId="119">
    <w:nsid w:val="20EE1348"/>
    <w:multiLevelType w:val="hybridMultilevel"/>
    <w:lvl w:ilvl="0">
      <w:lvlJc w:val="left"/>
      <w:lvlText w:val="%1."/>
      <w:numFmt w:val="decimal"/>
      <w:start w:val="1"/>
    </w:lvl>
  </w:abstractNum>
  <w:abstractNum w:abstractNumId="120">
    <w:nsid w:val="4427069A"/>
    <w:multiLevelType w:val="hybridMultilevel"/>
    <w:lvl w:ilvl="0">
      <w:lvlJc w:val="left"/>
      <w:lvlText w:val="%1."/>
      <w:numFmt w:val="decimal"/>
      <w:start w:val="2"/>
    </w:lvl>
  </w:abstractNum>
  <w:abstractNum w:abstractNumId="121">
    <w:nsid w:val="B37E80A"/>
    <w:multiLevelType w:val="hybridMultilevel"/>
    <w:lvl w:ilvl="0">
      <w:lvlJc w:val="left"/>
      <w:lvlText w:val="%1."/>
      <w:numFmt w:val="upperLetter"/>
      <w:start w:val="5"/>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
      <w:numFmt w:val="bullet"/>
      <w:start w:val="1"/>
    </w:lvl>
  </w:abstractNum>
  <w:abstractNum w:abstractNumId="124">
    <w:nsid w:val="57D2F10E"/>
    <w:multiLevelType w:val="hybridMultilevel"/>
    <w:lvl w:ilvl="0">
      <w:lvlJc w:val="left"/>
      <w:lvlText w:val="%1."/>
      <w:numFmt w:val="upperLetter"/>
      <w:start w:val="1"/>
    </w:lvl>
  </w:abstractNum>
  <w:abstractNum w:abstractNumId="125">
    <w:nsid w:val="BFFAE18"/>
    <w:multiLevelType w:val="hybridMultilevel"/>
    <w:lvl w:ilvl="0">
      <w:lvlJc w:val="left"/>
      <w:lvlText w:val="%1."/>
      <w:numFmt w:val="upperLetter"/>
      <w:start w:val="2"/>
    </w:lvl>
  </w:abstractNum>
  <w:abstractNum w:abstractNumId="126">
    <w:nsid w:val="E3E47A8"/>
    <w:multiLevelType w:val="hybridMultilevel"/>
    <w:lvl w:ilvl="0">
      <w:lvlJc w:val="left"/>
      <w:lvlText w:val="%1."/>
      <w:numFmt w:val="upperLetter"/>
      <w:start w:val="3"/>
    </w:lvl>
  </w:abstractNum>
  <w:abstractNum w:abstractNumId="127">
    <w:nsid w:val="2E48F044"/>
    <w:multiLevelType w:val="hybridMultilevel"/>
    <w:lvl w:ilvl="0">
      <w:lvlJc w:val="left"/>
      <w:lvlText w:val="%1."/>
      <w:numFmt w:val="upperLetter"/>
      <w:start w:val="4"/>
    </w:lvl>
  </w:abstractNum>
  <w:abstractNum w:abstractNumId="128">
    <w:nsid w:val="49D0FEAC"/>
    <w:multiLevelType w:val="hybridMultilevel"/>
    <w:lvl w:ilvl="0">
      <w:lvlJc w:val="left"/>
      <w:lvlText w:val="%1."/>
      <w:numFmt w:val="upperLetter"/>
      <w:start w:val="5"/>
    </w:lvl>
  </w:abstractNum>
  <w:abstractNum w:abstractNumId="129">
    <w:nsid w:val="4BEE5A5B"/>
    <w:multiLevelType w:val="hybridMultilevel"/>
    <w:lvl w:ilvl="0">
      <w:lvlJc w:val="left"/>
      <w:lvlText w:val="%1."/>
      <w:numFmt w:val="upperLetter"/>
      <w:start w:val="1"/>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1."/>
      <w:numFmt w:val="upperLetter"/>
      <w:start w:val="2"/>
    </w:lvl>
  </w:abstractNum>
  <w:abstractNum w:abstractNumId="132">
    <w:nsid w:val="634C574C"/>
    <w:multiLevelType w:val="hybridMultilevel"/>
    <w:lvl w:ilvl="0">
      <w:lvlJc w:val="left"/>
      <w:lvlText w:val="%1."/>
      <w:numFmt w:val="upperLetter"/>
      <w:start w:val="3"/>
    </w:lvl>
  </w:abstractNum>
  <w:abstractNum w:abstractNumId="133">
    <w:nsid w:val="24E99DD7"/>
    <w:multiLevelType w:val="hybridMultilevel"/>
    <w:lvl w:ilvl="0">
      <w:lvlJc w:val="left"/>
      <w:lvlText w:val="%1."/>
      <w:numFmt w:val="upperLetter"/>
      <w:start w:val="4"/>
    </w:lvl>
  </w:abstractNum>
  <w:abstractNum w:abstractNumId="134">
    <w:nsid w:val="2A31B62D"/>
    <w:multiLevelType w:val="hybridMultilevel"/>
    <w:lvl w:ilvl="0">
      <w:lvlJc w:val="left"/>
      <w:lvlText w:val="%1."/>
      <w:numFmt w:val="upperLetter"/>
      <w:start w:val="5"/>
    </w:lvl>
  </w:abstractNum>
  <w:abstractNum w:abstractNumId="135">
    <w:nsid w:val="1849C29B"/>
    <w:multiLevelType w:val="hybridMultilevel"/>
    <w:lvl w:ilvl="0">
      <w:lvlJc w:val="left"/>
      <w:lvlText w:val="%1."/>
      <w:numFmt w:val="upperLetter"/>
      <w:start w:val="6"/>
    </w:lvl>
  </w:abstractNum>
  <w:abstractNum w:abstractNumId="136">
    <w:nsid w:val="7DFF9D09"/>
    <w:multiLevelType w:val="hybridMultilevel"/>
    <w:lvl w:ilvl="0">
      <w:lvlJc w:val="left"/>
      <w:lvlText w:val="%1."/>
      <w:numFmt w:val="upperLetter"/>
      <w:start w:val="7"/>
    </w:lvl>
  </w:abstractNum>
  <w:abstractNum w:abstractNumId="137">
    <w:nsid w:val="754342"/>
    <w:multiLevelType w:val="hybridMultilevel"/>
    <w:lvl w:ilvl="0">
      <w:lvlJc w:val="left"/>
      <w:lvlText w:val="%1."/>
      <w:numFmt w:val="upperLetter"/>
      <w:start w:val="8"/>
    </w:lvl>
  </w:abstractNum>
  <w:abstractNum w:abstractNumId="138">
    <w:nsid w:val="69E7F3E5"/>
    <w:multiLevelType w:val="hybridMultilevel"/>
    <w:lvl w:ilvl="0">
      <w:lvlJc w:val="left"/>
      <w:lvlText w:val="%1."/>
      <w:numFmt w:val="upperLetter"/>
      <w:start w:val="9"/>
    </w:lvl>
  </w:abstractNum>
  <w:abstractNum w:abstractNumId="139">
    <w:nsid w:val="2A6DE806"/>
    <w:multiLevelType w:val="hybridMultilevel"/>
    <w:lvl w:ilvl="0">
      <w:lvlJc w:val="left"/>
      <w:lvlText w:val="1"/>
      <w:numFmt w:val="bullet"/>
      <w:start w:val="1"/>
    </w:lvl>
  </w:abstractNum>
  <w:abstractNum w:abstractNumId="140">
    <w:nsid w:val="1816F8C4"/>
    <w:multiLevelType w:val="hybridMultilevel"/>
    <w:lvl w:ilvl="0">
      <w:lvlJc w:val="left"/>
      <w:lvlText w:val="%1."/>
      <w:numFmt w:val="decimal"/>
      <w:start w:val="1"/>
    </w:lvl>
    <w:lvl w:ilvl="1">
      <w:lvlJc w:val="left"/>
      <w:lvlText w:val="(%2)"/>
      <w:numFmt w:val="lowerLetter"/>
      <w:start w:val="1"/>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lowerLetter"/>
      <w:start w:val="1"/>
    </w:lvl>
  </w:abstractNum>
  <w:abstractNum w:abstractNumId="143">
    <w:nsid w:val="759F82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90" Type="http://schemas.openxmlformats.org/officeDocument/2006/relationships/image" Target="media/image173.png"/><Relationship Id="rId208"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180" Type="http://schemas.openxmlformats.org/officeDocument/2006/relationships/hyperlink" Target="https://www.sec.gov/Archives/edgar/data/1432133/000162828021014333/exhibit31-closing8xk.htm" TargetMode="External"/><Relationship Id="rId181" Type="http://schemas.openxmlformats.org/officeDocument/2006/relationships/hyperlink" Target="https://www.sec.gov/Archives/edgar/data/1432133/000143213322000035/kalturainc-certificateofde.htm" TargetMode="External"/><Relationship Id="rId182" Type="http://schemas.openxmlformats.org/officeDocument/2006/relationships/hyperlink" Target="https://www.sec.gov/Archives/edgar/data/1432133/000162828021014333/exhibit32-closing8xk.htm" TargetMode="External"/><Relationship Id="rId183" Type="http://schemas.openxmlformats.org/officeDocument/2006/relationships/hyperlink" Target="https://www.sec.gov/Archives/edgar/data/1432133/000162828021005315/exhibit41-sx1a1.htm" TargetMode="External"/><Relationship Id="rId184" Type="http://schemas.openxmlformats.org/officeDocument/2006/relationships/hyperlink" Target="https://www.sec.gov/Archives/edgar/data/1432133/000162828021005315/exhibit42-sx1a1.htm" TargetMode="External"/><Relationship Id="rId185" Type="http://schemas.openxmlformats.org/officeDocument/2006/relationships/hyperlink" Target="https://www.sec.gov/Archives/edgar/data/1432133/000117891322000830/exhibit_4-4.htm" TargetMode="External"/><Relationship Id="rId186" Type="http://schemas.openxmlformats.org/officeDocument/2006/relationships/hyperlink" Target="https://www.sec.gov/Archives/edgar/data/1432133/000162828021005737/exhibit101-sx1a2.htm" TargetMode="External"/><Relationship Id="rId187" Type="http://schemas.openxmlformats.org/officeDocument/2006/relationships/hyperlink" Target="https://www.sec.gov/Archives/edgar/data/1432133/000162828021013715/exhibit101-sx1a5.htm" TargetMode="External"/><Relationship Id="rId188" Type="http://schemas.openxmlformats.org/officeDocument/2006/relationships/hyperlink" Target="https://www.sec.gov/Archives/edgar/data/1432133/000117891322000830/exhibit_10-3.htm" TargetMode="External"/><Relationship Id="rId189" Type="http://schemas.openxmlformats.org/officeDocument/2006/relationships/hyperlink" Target="https://www.sec.gov/Archives/edgar/data/1432133/000143213323000074/a2341401-thirdamendmenttoc.htm" TargetMode="External"/><Relationship Id="rId191" Type="http://schemas.openxmlformats.org/officeDocument/2006/relationships/hyperlink" Target="https://www.sec.gov/Archives/edgar/data/1432133/000143213323000074/a2543512-fourthamendmentto.htm" TargetMode="External"/><Relationship Id="rId192" Type="http://schemas.openxmlformats.org/officeDocument/2006/relationships/hyperlink" Target="https://www.sec.gov/Archives/edgar/data/1432133/000143213323000166/final-fifthamendmenttocr.htm" TargetMode="External"/><Relationship Id="rId193" Type="http://schemas.openxmlformats.org/officeDocument/2006/relationships/hyperlink" Target="https://www.sec.gov/Archives/edgar/data/1432133/000143213324000145/sixthamendmenttocreditagre.htm" TargetMode="External"/><Relationship Id="rId194" Type="http://schemas.openxmlformats.org/officeDocument/2006/relationships/hyperlink" Target="https://www.sec.gov/Archives/edgar/data/1432133/000162828021005737/exhibit102-sx1a2.htm" TargetMode="External"/><Relationship Id="rId195" Type="http://schemas.openxmlformats.org/officeDocument/2006/relationships/hyperlink" Target="https://www.sec.gov/Archives/edgar/data/1432133/000162828021005737/exhibit103-sx1a2.htm" TargetMode="External"/><Relationship Id="rId196" Type="http://schemas.openxmlformats.org/officeDocument/2006/relationships/hyperlink" Target="https://www.sec.gov/Archives/edgar/data/1432133/000162828021005315/exhibit104-sx1a1.htm" TargetMode="External"/><Relationship Id="rId197" Type="http://schemas.openxmlformats.org/officeDocument/2006/relationships/hyperlink" Target="https://www.sec.gov/Archives/edgar/data/1432133/000162828021005315/exhibit105s-1a1.htm" TargetMode="External"/><Relationship Id="rId198" Type="http://schemas.openxmlformats.org/officeDocument/2006/relationships/hyperlink" Target="https://www.sec.gov/Archives/edgar/data/1432133/000162828021005315/exhibit106-sx1a1.htm" TargetMode="External"/><Relationship Id="rId199" Type="http://schemas.openxmlformats.org/officeDocument/2006/relationships/hyperlink" Target="https://www.sec.gov/Archives/edgar/data/1432133/000162828021005315/exhibit107-sx1a1.htm" TargetMode="External"/><Relationship Id="rId200" Type="http://schemas.openxmlformats.org/officeDocument/2006/relationships/hyperlink" Target="https://www.sec.gov/Archives/edgar/data/1432133/000162828021005315/exhibit108-sx1a1.htm" TargetMode="External"/><Relationship Id="rId201" Type="http://schemas.openxmlformats.org/officeDocument/2006/relationships/hyperlink" Target="https://www.sec.gov/Archives/edgar/data/1432133/000162828021005315/exhibit109-sx1a1.htm" TargetMode="External"/><Relationship Id="rId202" Type="http://schemas.openxmlformats.org/officeDocument/2006/relationships/hyperlink" Target="https://www.sec.gov/Archives/edgar/data/0001432133/000117891322001409/exhibit_10-1.htm" TargetMode="External"/><Relationship Id="rId203" Type="http://schemas.openxmlformats.org/officeDocument/2006/relationships/hyperlink" Target="https://www.sec.gov/Archives/edgar/data/1432133/000117891322001409/exhibit_10-2.htm" TargetMode="External"/><Relationship Id="rId204" Type="http://schemas.openxmlformats.org/officeDocument/2006/relationships/hyperlink" Target="https://www.sec.gov/Archives/edgar/data/1432133/000117891322001409/exhibit_10-3.htm" TargetMode="External"/><Relationship Id="rId205" Type="http://schemas.openxmlformats.org/officeDocument/2006/relationships/hyperlink" Target="https://www.sec.gov/Archives/edgar/data/1432133/000143213324000088/exhibit1020ronyekutiel-202.htm" TargetMode="External"/><Relationship Id="rId206" Type="http://schemas.openxmlformats.org/officeDocument/2006/relationships/hyperlink" Target="https://www.sec.gov/Archives/edgar/data/1432133/000143213324000088/exhibit1021ronyekutiel-202.htm" TargetMode="External"/><Relationship Id="rId207" Type="http://schemas.openxmlformats.org/officeDocument/2006/relationships/hyperlink" Target="https://www.sec.gov/Archives/edgar/data/1432133/000143213324000088/exhibit1022ronyekutiel-202.htm" TargetMode="External"/><Relationship Id="rId209" Type="http://schemas.openxmlformats.org/officeDocument/2006/relationships/hyperlink" Target="https://www.sec.gov/Archives/edgar/data/1432133/000117891324000157/exhibit_10-2.htm" TargetMode="External"/><Relationship Id="rId210" Type="http://schemas.openxmlformats.org/officeDocument/2006/relationships/hyperlink" Target="https://www.sec.gov/Archives/edgar/data/1432133/000143213324000088/exhibit1024yarongarmazi-ka.htm" TargetMode="External"/><Relationship Id="rId211" Type="http://schemas.openxmlformats.org/officeDocument/2006/relationships/hyperlink" Target="https://www.sec.gov/Archives/edgar/data/1432133/000143213324000088/exhibit1025michaltsuremplo.htm" TargetMode="External"/><Relationship Id="rId212" Type="http://schemas.openxmlformats.org/officeDocument/2006/relationships/hyperlink" Target="https://www.sec.gov/Archives/edgar/data/1432133/000143213324000088/exhibit1026michaltsur-kalt.htm" TargetMode="External"/><Relationship Id="rId213" Type="http://schemas.openxmlformats.org/officeDocument/2006/relationships/hyperlink" Target="https://www.sec.gov/Archives/edgar/data/1432133/000143213324000088/exhibit1027eynavazaria_emp.htm" TargetMode="External"/><Relationship Id="rId214" Type="http://schemas.openxmlformats.org/officeDocument/2006/relationships/hyperlink" Target="https://www.sec.gov/Archives/edgar/data/1432133/000143213324000088/exhibit1028natanisraeli_em.htm" TargetMode="External"/><Relationship Id="rId215" Type="http://schemas.openxmlformats.org/officeDocument/2006/relationships/hyperlink" Target="https://www.sec.gov/Archives/edgar/data/1432133/000117891324000157/exhibit_10-1.htm" TargetMode="External"/><Relationship Id="rId216" Type="http://schemas.openxmlformats.org/officeDocument/2006/relationships/hyperlink" Target="https://www.sec.gov/Archives/edgar/data/1432133/000162828021005315/exhibit1017-sx1a1.htm" TargetMode="External"/><Relationship Id="rId217" Type="http://schemas.openxmlformats.org/officeDocument/2006/relationships/hyperlink" Target="https://www.sec.gov/Archives/edgar/data/1432133/000117891322000830/exhibit_10-19.htm" TargetMode="External"/><Relationship Id="rId218" Type="http://schemas.openxmlformats.org/officeDocument/2006/relationships/hyperlink" Target="https://www.sec.gov/Archives/edgar/data/1432133/000117891322000830/exhibit_10-20.htm" TargetMode="External"/><Relationship Id="rId219" Type="http://schemas.openxmlformats.org/officeDocument/2006/relationships/hyperlink" Target="https://www.sec.gov/Archives/edgar/data/1432133/000162828021005315/exhibit1018-sx1a1.htm" TargetMode="External"/><Relationship Id="rId220" Type="http://schemas.openxmlformats.org/officeDocument/2006/relationships/hyperlink" Target="https://www.sec.gov/Archives/edgar/data/1432133/000143213324000088/exhibit971kaltura-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2025-02-20T08:36:44Z</dcterms:created>
  <dcterms:modified xsi:type="dcterms:W3CDTF">2025-02-20T08:36:44Z</dcterms:modified>
</cp:coreProperties>
</file>