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297815</wp:posOffset>
            </wp:positionV>
            <wp:extent cx="6180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314960</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20"/>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90170</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4400" w:right="3460" w:hanging="4374"/>
        <w:spacing w:after="0" w:line="365" w:lineRule="auto"/>
        <w:tabs>
          <w:tab w:leader="none" w:pos="48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2025</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5" w:lineRule="exact"/>
        <w:rPr>
          <w:sz w:val="24"/>
          <w:szCs w:val="24"/>
          <w:color w:val="auto"/>
        </w:rPr>
      </w:pPr>
    </w:p>
    <w:p>
      <w:pPr>
        <w:ind w:left="3980" w:right="3460" w:hanging="3954"/>
        <w:spacing w:after="0" w:line="365" w:lineRule="auto"/>
        <w:tabs>
          <w:tab w:leader="none" w:pos="482"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 to ____________</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001-40644</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Kaltura, Inc.</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4"/>
          <w:szCs w:val="24"/>
          <w:color w:val="auto"/>
        </w:rPr>
      </w:pPr>
    </w:p>
    <w:tbl>
      <w:tblPr>
        <w:tblLayout w:type="fixed"/>
        <w:tblInd w:w="2000" w:type="dxa"/>
        <w:tblCellMar>
          <w:top w:w="0" w:type="dxa"/>
          <w:left w:w="0" w:type="dxa"/>
          <w:bottom w:w="0" w:type="dxa"/>
          <w:right w:w="0" w:type="dxa"/>
        </w:tblCellMar>
      </w:tblPr>
      <w:tr>
        <w:trPr>
          <w:trHeight w:val="207"/>
        </w:trPr>
        <w:tc>
          <w:tcPr>
            <w:tcW w:w="3940" w:type="dxa"/>
            <w:vAlign w:val="bottom"/>
          </w:tcPr>
          <w:p>
            <w:pPr>
              <w:jc w:val="center"/>
              <w:ind w:right="148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20-8128326</w:t>
            </w:r>
          </w:p>
        </w:tc>
        <w:tc>
          <w:tcPr>
            <w:tcW w:w="0" w:type="dxa"/>
            <w:vAlign w:val="bottom"/>
          </w:tcPr>
          <w:p>
            <w:pPr>
              <w:spacing w:after="0"/>
              <w:rPr>
                <w:sz w:val="1"/>
                <w:szCs w:val="1"/>
                <w:color w:val="auto"/>
              </w:rPr>
            </w:pPr>
          </w:p>
        </w:tc>
      </w:tr>
      <w:tr>
        <w:trPr>
          <w:trHeight w:val="148"/>
        </w:trPr>
        <w:tc>
          <w:tcPr>
            <w:tcW w:w="3940" w:type="dxa"/>
            <w:vAlign w:val="bottom"/>
          </w:tcPr>
          <w:p>
            <w:pPr>
              <w:jc w:val="center"/>
              <w:ind w:right="150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80" w:type="dxa"/>
            <w:vAlign w:val="bottom"/>
          </w:tcPr>
          <w:p>
            <w:pPr>
              <w:jc w:val="center"/>
              <w:ind w:left="14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40" w:type="dxa"/>
            <w:vAlign w:val="bottom"/>
          </w:tcPr>
          <w:p>
            <w:pPr>
              <w:jc w:val="center"/>
              <w:ind w:right="15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8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31"/>
        </w:trPr>
        <w:tc>
          <w:tcPr>
            <w:tcW w:w="3940" w:type="dxa"/>
            <w:vAlign w:val="bottom"/>
          </w:tcPr>
          <w:p>
            <w:pPr>
              <w:jc w:val="center"/>
              <w:ind w:right="1507"/>
              <w:spacing w:after="0"/>
              <w:rPr>
                <w:sz w:val="20"/>
                <w:szCs w:val="20"/>
                <w:color w:val="auto"/>
              </w:rPr>
            </w:pPr>
            <w:r>
              <w:rPr>
                <w:rFonts w:ascii="Times New Roman" w:cs="Times New Roman" w:eastAsia="Times New Roman" w:hAnsi="Times New Roman"/>
                <w:sz w:val="14"/>
                <w:szCs w:val="14"/>
                <w:b w:val="1"/>
                <w:bCs w:val="1"/>
                <w:color w:val="auto"/>
              </w:rPr>
              <w:t>860 Broadway</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940" w:type="dxa"/>
            <w:vAlign w:val="bottom"/>
          </w:tcPr>
          <w:p>
            <w:pPr>
              <w:jc w:val="center"/>
              <w:ind w:right="1487"/>
              <w:spacing w:after="0"/>
              <w:rPr>
                <w:sz w:val="20"/>
                <w:szCs w:val="20"/>
                <w:color w:val="auto"/>
              </w:rPr>
            </w:pPr>
            <w:r>
              <w:rPr>
                <w:rFonts w:ascii="Times New Roman" w:cs="Times New Roman" w:eastAsia="Times New Roman" w:hAnsi="Times New Roman"/>
                <w:sz w:val="14"/>
                <w:szCs w:val="14"/>
                <w:b w:val="1"/>
                <w:bCs w:val="1"/>
                <w:color w:val="auto"/>
              </w:rPr>
              <w:t>3rd Floor</w:t>
            </w:r>
          </w:p>
        </w:tc>
        <w:tc>
          <w:tcPr>
            <w:tcW w:w="2680" w:type="dxa"/>
            <w:vAlign w:val="bottom"/>
            <w:vMerge w:val="restart"/>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10003</w:t>
            </w:r>
          </w:p>
        </w:tc>
        <w:tc>
          <w:tcPr>
            <w:tcW w:w="0" w:type="dxa"/>
            <w:vAlign w:val="bottom"/>
          </w:tcPr>
          <w:p>
            <w:pPr>
              <w:spacing w:after="0"/>
              <w:rPr>
                <w:sz w:val="1"/>
                <w:szCs w:val="1"/>
                <w:color w:val="auto"/>
              </w:rPr>
            </w:pPr>
          </w:p>
        </w:tc>
      </w:tr>
      <w:tr>
        <w:trPr>
          <w:trHeight w:val="203"/>
        </w:trPr>
        <w:tc>
          <w:tcPr>
            <w:tcW w:w="3940" w:type="dxa"/>
            <w:vAlign w:val="bottom"/>
          </w:tcPr>
          <w:p>
            <w:pPr>
              <w:jc w:val="center"/>
              <w:ind w:right="1487"/>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40" w:type="dxa"/>
            <w:vAlign w:val="bottom"/>
          </w:tcPr>
          <w:p>
            <w:pPr>
              <w:jc w:val="center"/>
              <w:ind w:right="14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(646) 290-5445</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534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5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KLTR</w:t>
            </w:r>
          </w:p>
        </w:tc>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pacing w:after="0" w:line="358"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80" w:firstLine="1"/>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ind w:right="460" w:firstLine="1"/>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90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0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7"/>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325" w:lineRule="exact"/>
        <w:rPr>
          <w:sz w:val="24"/>
          <w:szCs w:val="24"/>
          <w:color w:val="auto"/>
        </w:rPr>
      </w:pPr>
    </w:p>
    <w:p>
      <w:pPr>
        <w:ind w:right="20" w:firstLine="1"/>
        <w:spacing w:after="0" w:line="17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0" w:lineRule="exact"/>
        <w:rPr>
          <w:sz w:val="24"/>
          <w:szCs w:val="24"/>
          <w:color w:val="auto"/>
        </w:rPr>
      </w:pPr>
    </w:p>
    <w:p>
      <w:pPr>
        <w:ind w:right="3920" w:firstLine="1"/>
        <w:spacing w:after="0" w:line="21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par value $0.0001, outstanding as of May 1, 2025 was 153,619,177.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160" w:type="dxa"/>
            <w:vAlign w:val="bottom"/>
            <w:gridSpan w:val="17"/>
            <w:vMerge w:val="restart"/>
          </w:tcPr>
          <w:p>
            <w:pPr>
              <w:ind w:left="60"/>
              <w:spacing w:after="0"/>
              <w:rPr>
                <w:sz w:val="20"/>
                <w:szCs w:val="20"/>
                <w:color w:val="auto"/>
              </w:rPr>
            </w:pPr>
            <w:r>
              <w:rPr>
                <w:rFonts w:ascii="Times New Roman" w:cs="Times New Roman" w:eastAsia="Times New Roman" w:hAnsi="Times New Roman"/>
                <w:sz w:val="18"/>
                <w:szCs w:val="18"/>
                <w:color w:val="auto"/>
              </w:rPr>
              <w:t>FINANCIAL INFORMATION</w:t>
            </w:r>
          </w:p>
        </w:tc>
        <w:tc>
          <w:tcPr>
            <w:tcW w:w="1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5"/>
        </w:trPr>
        <w:tc>
          <w:tcPr>
            <w:tcW w:w="1020" w:type="dxa"/>
            <w:vAlign w:val="bottom"/>
            <w:vMerge w:val="continue"/>
          </w:tcPr>
          <w:p>
            <w:pPr>
              <w:spacing w:after="0"/>
              <w:rPr>
                <w:sz w:val="19"/>
                <w:szCs w:val="19"/>
                <w:color w:val="auto"/>
              </w:rPr>
            </w:pPr>
          </w:p>
        </w:tc>
        <w:tc>
          <w:tcPr>
            <w:tcW w:w="9160" w:type="dxa"/>
            <w:vAlign w:val="bottom"/>
            <w:gridSpan w:val="17"/>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60" w:type="dxa"/>
            <w:vAlign w:val="bottom"/>
          </w:tcPr>
          <w:p>
            <w:pPr>
              <w:jc w:val="center"/>
              <w:ind w:left="290"/>
              <w:spacing w:after="0" w:line="194"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(unaudited) and December 31, 2024 (audited)</w:t>
            </w: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 (unaudited)</w:t>
            </w: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1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2025 and 2024 (unaudited)</w:t>
            </w:r>
          </w:p>
        </w:tc>
        <w:tc>
          <w:tcPr>
            <w:tcW w:w="20" w:type="dxa"/>
            <w:vAlign w:val="bottom"/>
          </w:tcPr>
          <w:p>
            <w:pPr>
              <w:spacing w:after="0"/>
              <w:rPr>
                <w:sz w:val="18"/>
                <w:szCs w:val="18"/>
                <w:color w:val="auto"/>
              </w:rPr>
            </w:pP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2025 and 2024 (unaudited)</w:t>
            </w: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 (unaudited)</w:t>
            </w: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84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Interim Financial Statements (unaudited)</w:t>
            </w:r>
          </w:p>
        </w:tc>
        <w:tc>
          <w:tcPr>
            <w:tcW w:w="700" w:type="dxa"/>
            <w:vAlign w:val="bottom"/>
            <w:gridSpan w:val="2"/>
          </w:tcPr>
          <w:p>
            <w:pPr>
              <w:spacing w:after="0"/>
              <w:rPr>
                <w:sz w:val="18"/>
                <w:szCs w:val="18"/>
                <w:color w:val="auto"/>
              </w:rPr>
            </w:pPr>
          </w:p>
        </w:tc>
        <w:tc>
          <w:tcPr>
            <w:tcW w:w="10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700" w:type="dxa"/>
            <w:vAlign w:val="bottom"/>
            <w:gridSpan w:val="5"/>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0"/>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51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16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20" w:type="dxa"/>
            <w:vAlign w:val="bottom"/>
            <w:gridSpan w:val="12"/>
          </w:tcPr>
          <w:p>
            <w:pPr>
              <w:spacing w:after="0"/>
              <w:rPr>
                <w:sz w:val="16"/>
                <w:szCs w:val="16"/>
                <w:color w:val="auto"/>
              </w:rPr>
            </w:pPr>
          </w:p>
        </w:tc>
        <w:tc>
          <w:tcPr>
            <w:tcW w:w="1060" w:type="dxa"/>
            <w:vAlign w:val="bottom"/>
          </w:tcPr>
          <w:p>
            <w:pPr>
              <w:jc w:val="center"/>
              <w:ind w:left="310"/>
              <w:spacing w:after="0" w:line="194"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8"/>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8"/>
                <w:szCs w:val="18"/>
                <w:color w:val="auto"/>
              </w:rPr>
            </w:pPr>
          </w:p>
        </w:tc>
        <w:tc>
          <w:tcPr>
            <w:tcW w:w="6840" w:type="dxa"/>
            <w:vAlign w:val="bottom"/>
            <w:gridSpan w:val="9"/>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840" w:type="dxa"/>
            <w:vAlign w:val="bottom"/>
            <w:gridSpan w:val="13"/>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593"/>
        </w:trPr>
        <w:tc>
          <w:tcPr>
            <w:tcW w:w="10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or terminology. Forward-looking statements contained in this Quarterly Report on Form 10-Q include, but are not limited to, statements regarding our future results of operations and financial position, industry and business trends, projections of demand, growth prospects, product development, competitive pressure, cost savings, stock-based compensation, revenue recognition, business strategy, plans, market growth, the economic climate and its impact on us, and other financial and market matters.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assumptions,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129"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assess or mitigate the current volatile economic climate and its direct and indirect impact on our business and operations, or to correctly predict the duration and depth of the current instability of the global economy and take the right or sufficient measures to address 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Israel could materially and adversely affect our business;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existing customer demand and exposure to changes in demand by our customers, loss of one or more of our significant customers, or any other reduction in the amount of revenue we derive from any such customer makes it difficult to evaluate our current business and future prospects and may adversely affect our business, financial condition, results of operations and growth prospects;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able to achieve or maintain profitability;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the growth and expansion of the markets for our offerings, which are constantly evolving and may develop more slowly or differently than we expect, and on our ability to adapt and respond effectively to evolving market conditions;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risks associated with our use of certain artificial intelligence ("AI") and machine learning models, including generative artificial intelligence ("generative AI" or "GenAI") and compliance with the evolving regulatory framework around AI development and use;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(and vice-versa), our business, financial condition and results of operations may be adversely affected;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our Application Programming Interfaces ("APIs") and other components in our offerings are licensed to the public under an open-source license, which could negatively affect our ability to monetize our offerings and protect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nascent and highly fragmented, and we may not be able to compete successfully against current and future competitors, which could harm our business, financial condition and results of operations could be harmed;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increase sales of our subscriptions to new customers, expand the offerings to which our existing customers subscribe or the value of their subscriptions, or have them renew their subscriptions in terms that are economically beneficial to us, our future revenue and results of operations would be adversely affected;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Ukraine, Russia and other countries following the Russian invasion to Ukraine, geopolitical instability and hostilities in the Middle East and Gulf region and their possible impact on global trade and financial markets, or such and other conditions in other regions in which we operate, or changes in the business environment in those regions, could materially and adversely affect our business;</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breaches of network or information technology security along with an increase in cyber-attack activities, increases the risk that we shall be subject to cybersecurity threats that could have an adverse effect on our business;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digital resilience laws are rapidly evolving and present increasing compliance challenges. Additionally, 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contractual commitments under our customer agreements, we could be obligated to provide credits for future service, face contract termination with refunds of prepaid amounts, be charged penalties, or could experience a decrease in customer renewals in future periods, any of which would lower our revenue and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third parties outside the United States, for some of our software development, quality assurance, operations, and customer support;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management team and other key employees, and the loss of one or more of these employees or an inability to attract and retain highly skilled employees could adversely affect our business;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or to maintain or expand our international business could harm our ability to increase our customer base and achieve broader market acceptance of our offerings;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revenue mix to vary over time, which could negatively impact our gross margin and results of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expansion expose us to risk;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entities, which subjects us to specific challenges and risks;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acquisitions at acceptable rate or prices or achieve our expected goals, and to enter into other strategic transactions and relationships that support our long-term strategy, our growth rate and the trading price of our common stock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or perceived bug, defect, security vulnerability, error, or other performance failure involving our platform, products or solutions could cause us to lose revenue, damage our reputation, and expose us to liability;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the significant capital necessary to expand our operations and invest in new offerings could reduce our ability to compete and could adversely affect our business;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U.S. laws or policies, including possible changes in U.S. trade policies and tariffs and the reaction of other countries to these policies, may have a material adverse effect on our business, results of operations, and financial condition;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important factors discussed in Part I, Item 1A, “Risk Factors” in our Annual Report on Form 10-K for the year ended December 31, 2024, filed with the Securities and Exchange Commission (the “SEC”) on February 20, 2025.</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references to “Kaltura,” the “Company,” “we,” “us,” and “our,” refer to Kaltura, Inc.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KALTURA,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 except share and per share data)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and fulfillment costs, current</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37"/>
        </w:trPr>
        <w:tc>
          <w:tcPr>
            <w:tcW w:w="20" w:type="dxa"/>
            <w:vAlign w:val="bottom"/>
            <w:shd w:val="clear" w:color="auto" w:fill="CCEEFF"/>
          </w:tcPr>
          <w:p>
            <w:pPr>
              <w:spacing w:after="0"/>
              <w:rPr>
                <w:sz w:val="20"/>
                <w:szCs w:val="20"/>
                <w:color w:val="auto"/>
              </w:rPr>
            </w:pPr>
          </w:p>
        </w:tc>
        <w:tc>
          <w:tcPr>
            <w:tcW w:w="51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current assets</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101,396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121,558</w:t>
            </w:r>
          </w:p>
        </w:tc>
      </w:tr>
      <w:tr>
        <w:trPr>
          <w:trHeight w:val="148"/>
        </w:trPr>
        <w:tc>
          <w:tcPr>
            <w:tcW w:w="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2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and fulfillment costs, noncurrent</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7"/>
        </w:trPr>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148"/>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51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Total noncurrent assets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71,402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59,747</w:t>
            </w:r>
          </w:p>
        </w:tc>
      </w:tr>
      <w:tr>
        <w:trPr>
          <w:trHeight w:val="28"/>
        </w:trPr>
        <w:tc>
          <w:tcPr>
            <w:tcW w:w="2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108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48"/>
        </w:trPr>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230"/>
        </w:trPr>
        <w:tc>
          <w:tcPr>
            <w:tcW w:w="20" w:type="dxa"/>
            <w:vAlign w:val="bottom"/>
          </w:tcPr>
          <w:p>
            <w:pPr>
              <w:spacing w:after="0"/>
              <w:rPr>
                <w:sz w:val="19"/>
                <w:szCs w:val="19"/>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r>
      <w:tr>
        <w:trPr>
          <w:trHeight w:val="230"/>
        </w:trPr>
        <w:tc>
          <w:tcPr>
            <w:tcW w:w="20" w:type="dxa"/>
            <w:vAlign w:val="bottom"/>
          </w:tcPr>
          <w:p>
            <w:pPr>
              <w:spacing w:after="0"/>
              <w:rPr>
                <w:sz w:val="19"/>
                <w:szCs w:val="19"/>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Current portion of long-term loans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63,123</w:t>
            </w: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36"/>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Total current liabilities</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95,821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101,663</w:t>
            </w:r>
          </w:p>
        </w:tc>
      </w:tr>
      <w:tr>
        <w:trPr>
          <w:trHeight w:val="149"/>
        </w:trPr>
        <w:tc>
          <w:tcPr>
            <w:tcW w:w="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02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LIABILITIES:</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loans, net of current portion</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9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36"/>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Total long-term liabilities</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54,318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55,255</w:t>
            </w:r>
          </w:p>
        </w:tc>
      </w:tr>
      <w:tr>
        <w:trPr>
          <w:trHeight w:val="149"/>
        </w:trPr>
        <w:tc>
          <w:tcPr>
            <w:tcW w:w="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2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r>
      <w:tr>
        <w:trPr>
          <w:trHeight w:val="249"/>
        </w:trPr>
        <w:tc>
          <w:tcPr>
            <w:tcW w:w="20" w:type="dxa"/>
            <w:vAlign w:val="bottom"/>
            <w:shd w:val="clear" w:color="auto" w:fill="CCEEFF"/>
          </w:tcPr>
          <w:p>
            <w:pPr>
              <w:spacing w:after="0"/>
              <w:rPr>
                <w:sz w:val="21"/>
                <w:szCs w:val="21"/>
                <w:color w:val="auto"/>
              </w:rPr>
            </w:pPr>
          </w:p>
        </w:tc>
        <w:tc>
          <w:tcPr>
            <w:tcW w:w="5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gridSpan w:val="2"/>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 condensed consolidated financial statements.</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8"/>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900" w:type="dxa"/>
            <w:vAlign w:val="bottom"/>
          </w:tcPr>
          <w:p>
            <w:pPr>
              <w:jc w:val="right"/>
              <w:ind w:right="1328"/>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73"/>
        </w:trPr>
        <w:tc>
          <w:tcPr>
            <w:tcW w:w="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1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100"/>
          </w:cols>
          <w:pgMar w:left="320" w:top="118" w:right="47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4659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45415"/>
                    </a:xfrm>
                    <a:prstGeom prst="rect">
                      <a:avLst/>
                    </a:prstGeom>
                    <a:noFill/>
                  </pic:spPr>
                </pic:pic>
              </a:graphicData>
            </a:graphic>
          </wp:anchor>
        </w:drawing>
      </w:r>
    </w:p>
    <w:p>
      <w:pPr>
        <w:spacing w:after="0" w:line="7" w:lineRule="exact"/>
        <w:rPr>
          <w:sz w:val="20"/>
          <w:szCs w:val="20"/>
          <w:color w:val="auto"/>
        </w:rPr>
      </w:pPr>
    </w:p>
    <w:p>
      <w:pPr>
        <w:ind w:left="360"/>
        <w:spacing w:after="0" w:line="233" w:lineRule="auto"/>
        <w:rPr>
          <w:sz w:val="20"/>
          <w:szCs w:val="20"/>
          <w:color w:val="auto"/>
        </w:rPr>
      </w:pPr>
      <w:r>
        <w:rPr>
          <w:rFonts w:ascii="Times New Roman" w:cs="Times New Roman" w:eastAsia="Times New Roman" w:hAnsi="Times New Roman"/>
          <w:sz w:val="17"/>
          <w:szCs w:val="17"/>
          <w:color w:val="auto"/>
        </w:rPr>
        <w:t>Preferred stock, $0.0001 par value per share, 20,000,000 shares authorized as of March 31, 2025 and December 31, 2024; 0 shares issued and outstanding as of March 31, 2025, and December 31,</w:t>
      </w:r>
    </w:p>
    <w:p>
      <w:pPr>
        <w:ind w:left="36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4659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488950"/>
                    </a:xfrm>
                    <a:prstGeom prst="rect">
                      <a:avLst/>
                    </a:prstGeom>
                    <a:noFill/>
                  </pic:spPr>
                </pic:pic>
              </a:graphicData>
            </a:graphic>
          </wp:anchor>
        </w:drawing>
      </w:r>
    </w:p>
    <w:p>
      <w:pPr>
        <w:ind w:left="360" w:right="140"/>
        <w:spacing w:after="0" w:line="233" w:lineRule="auto"/>
        <w:rPr>
          <w:sz w:val="20"/>
          <w:szCs w:val="20"/>
          <w:color w:val="auto"/>
        </w:rPr>
      </w:pPr>
      <w:r>
        <w:rPr>
          <w:rFonts w:ascii="Times New Roman" w:cs="Times New Roman" w:eastAsia="Times New Roman" w:hAnsi="Times New Roman"/>
          <w:sz w:val="17"/>
          <w:szCs w:val="17"/>
          <w:color w:val="auto"/>
        </w:rPr>
        <w:t>Common stock $0.0001 par value per share, 1,000,000,000 shares authorized as of March 31, 2025 and December 31, 2024; 165,345,899 and 161,980,907 shares issued as of March 31, 2025</w:t>
      </w:r>
    </w:p>
    <w:p>
      <w:pPr>
        <w:ind w:left="360" w:right="80"/>
        <w:spacing w:after="0" w:line="226" w:lineRule="auto"/>
        <w:rPr>
          <w:sz w:val="20"/>
          <w:szCs w:val="20"/>
          <w:color w:val="auto"/>
        </w:rPr>
      </w:pPr>
      <w:r>
        <w:rPr>
          <w:rFonts w:ascii="Times New Roman" w:cs="Times New Roman" w:eastAsia="Times New Roman" w:hAnsi="Times New Roman"/>
          <w:sz w:val="18"/>
          <w:szCs w:val="18"/>
          <w:color w:val="auto"/>
        </w:rPr>
        <w:t>and December 31, 2024, respectively; 154,247,031 and 152,057,148 outstanding as of March 31, 2025 and December 31, 2024, respectively</w:t>
      </w:r>
    </w:p>
    <w:p>
      <w:pPr>
        <w:ind w:left="360"/>
        <w:spacing w:after="0" w:line="221" w:lineRule="auto"/>
        <w:rPr>
          <w:sz w:val="20"/>
          <w:szCs w:val="20"/>
          <w:color w:val="auto"/>
        </w:rPr>
      </w:pPr>
      <w:r>
        <w:rPr>
          <w:rFonts w:ascii="Times New Roman" w:cs="Times New Roman" w:eastAsia="Times New Roman" w:hAnsi="Times New Roman"/>
          <w:sz w:val="18"/>
          <w:szCs w:val="18"/>
          <w:color w:val="auto"/>
        </w:rPr>
        <w:t>Treasury stock –</w:t>
      </w:r>
    </w:p>
    <w:p>
      <w:pPr>
        <w:ind w:left="360"/>
        <w:spacing w:after="0" w:line="219" w:lineRule="auto"/>
        <w:rPr>
          <w:sz w:val="20"/>
          <w:szCs w:val="20"/>
          <w:color w:val="auto"/>
        </w:rPr>
      </w:pPr>
      <w:r>
        <w:rPr>
          <w:rFonts w:ascii="Times New Roman" w:cs="Times New Roman" w:eastAsia="Times New Roman" w:hAnsi="Times New Roman"/>
          <w:sz w:val="18"/>
          <w:szCs w:val="18"/>
          <w:color w:val="auto"/>
        </w:rPr>
        <w:t>11,098,868 and 9,923,759 shares of common stock, $0.0001 par value per share, as of March 31,</w:t>
      </w:r>
    </w:p>
    <w:p>
      <w:pPr>
        <w:ind w:left="360"/>
        <w:spacing w:after="0"/>
        <w:rPr>
          <w:sz w:val="20"/>
          <w:szCs w:val="20"/>
          <w:color w:val="auto"/>
        </w:rPr>
      </w:pPr>
      <w:r>
        <w:rPr>
          <w:rFonts w:ascii="Times New Roman" w:cs="Times New Roman" w:eastAsia="Times New Roman" w:hAnsi="Times New Roman"/>
          <w:sz w:val="18"/>
          <w:szCs w:val="18"/>
          <w:color w:val="auto"/>
        </w:rPr>
        <w:t>2025 and December 31, 2024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March 31, 2025</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0"/>
        <w:spacing w:after="0"/>
        <w:tabs>
          <w:tab w:leader="none" w:pos="3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1200"/>
        <w:spacing w:after="0"/>
        <w:tabs>
          <w:tab w:leader="none" w:pos="30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15</w:t>
      </w:r>
    </w:p>
    <w:p>
      <w:pPr>
        <w:spacing w:after="0" w:line="200" w:lineRule="exact"/>
        <w:rPr>
          <w:sz w:val="20"/>
          <w:szCs w:val="20"/>
          <w:color w:val="auto"/>
        </w:rPr>
      </w:pPr>
    </w:p>
    <w:p>
      <w:pPr>
        <w:spacing w:after="0" w:line="268" w:lineRule="exact"/>
        <w:rPr>
          <w:sz w:val="20"/>
          <w:szCs w:val="20"/>
          <w:color w:val="auto"/>
        </w:rPr>
      </w:pPr>
    </w:p>
    <w:p>
      <w:pPr>
        <w:jc w:val="both"/>
        <w:ind w:left="820"/>
        <w:spacing w:after="0"/>
        <w:tabs>
          <w:tab w:leader="none" w:pos="2700" w:val="left"/>
        </w:tabs>
        <w:rPr>
          <w:sz w:val="20"/>
          <w:szCs w:val="20"/>
          <w:color w:val="auto"/>
        </w:rPr>
      </w:pPr>
      <w:r>
        <w:rPr>
          <w:rFonts w:ascii="Times New Roman" w:cs="Times New Roman" w:eastAsia="Times New Roman" w:hAnsi="Times New Roman"/>
          <w:sz w:val="18"/>
          <w:szCs w:val="18"/>
          <w:color w:val="auto"/>
        </w:rPr>
        <w:t>(10,119)</w:t>
      </w:r>
      <w:r>
        <w:rPr>
          <w:sz w:val="20"/>
          <w:szCs w:val="20"/>
          <w:color w:val="auto"/>
        </w:rPr>
        <w:tab/>
      </w:r>
      <w:r>
        <w:rPr>
          <w:rFonts w:ascii="Times New Roman" w:cs="Times New Roman" w:eastAsia="Times New Roman" w:hAnsi="Times New Roman"/>
          <w:sz w:val="18"/>
          <w:szCs w:val="18"/>
          <w:color w:val="auto"/>
        </w:rPr>
        <w:t>(7,801)</w:t>
      </w:r>
    </w:p>
    <w:p>
      <w:pPr>
        <w:spacing w:after="0" w:line="236" w:lineRule="exact"/>
        <w:rPr>
          <w:sz w:val="20"/>
          <w:szCs w:val="20"/>
          <w:color w:val="auto"/>
        </w:rPr>
      </w:pPr>
    </w:p>
    <w:p>
      <w:pPr>
        <w:sectPr>
          <w:pgSz w:w="11900" w:h="16838" w:orient="portrait"/>
          <w:cols w:equalWidth="0" w:num="2">
            <w:col w:w="7420" w:space="420"/>
            <w:col w:w="3260"/>
          </w:cols>
          <w:pgMar w:left="320" w:top="118" w:right="47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4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500,024</w:t>
            </w:r>
          </w:p>
        </w:tc>
      </w:tr>
      <w:tr>
        <w:trPr>
          <w:trHeight w:val="229"/>
        </w:trPr>
        <w:tc>
          <w:tcPr>
            <w:tcW w:w="34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34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(468,810)</w:t>
            </w:r>
          </w:p>
        </w:tc>
      </w:tr>
      <w:tr>
        <w:trPr>
          <w:trHeight w:val="142"/>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9"/>
        </w:trPr>
        <w:tc>
          <w:tcPr>
            <w:tcW w:w="34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24,387</w:t>
            </w:r>
          </w:p>
        </w:tc>
      </w:tr>
      <w:tr>
        <w:trPr>
          <w:trHeight w:val="142"/>
        </w:trPr>
        <w:tc>
          <w:tcPr>
            <w:tcW w:w="340" w:type="dxa"/>
            <w:vAlign w:val="bottom"/>
            <w:tcBorders>
              <w:top w:val="single" w:sz="8" w:color="CCEEFF"/>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3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54"/>
        </w:trPr>
        <w:tc>
          <w:tcPr>
            <w:tcW w:w="7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88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46,984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44,781</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Cost of revenue:</w:t>
            </w:r>
          </w:p>
        </w:tc>
        <w:tc>
          <w:tcPr>
            <w:tcW w:w="6680" w:type="dxa"/>
            <w:vAlign w:val="bottom"/>
            <w:tcBorders>
              <w:bottom w:val="single" w:sz="8" w:color="CCEEFF"/>
            </w:tcBorders>
            <w:gridSpan w:val="5"/>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16,173</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32,736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28,608</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43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34,313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35,899</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(8,788)</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8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7880" w:type="dxa"/>
            <w:vAlign w:val="bottom"/>
            <w:gridSpan w:val="11"/>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w:t>
            </w:r>
          </w:p>
        </w:tc>
        <w:tc>
          <w:tcPr>
            <w:tcW w:w="2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154,009,623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144,253,660</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7880" w:type="dxa"/>
            <w:vAlign w:val="bottom"/>
            <w:gridSpan w:val="11"/>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7880" w:type="dxa"/>
            <w:vAlign w:val="bottom"/>
            <w:tcBorders>
              <w:bottom w:val="single" w:sz="8" w:color="CCEEFF"/>
            </w:tcBorders>
            <w:gridSpan w:val="11"/>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(U.S. dollars in thousands, except for share data)</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0" w:type="dxa"/>
            <w:vAlign w:val="bottom"/>
            <w:tcBorders>
              <w:bottom w:val="single" w:sz="8" w:color="auto"/>
            </w:tcBorders>
          </w:tcPr>
          <w:p>
            <w:pPr>
              <w:spacing w:after="0"/>
              <w:rPr>
                <w:sz w:val="20"/>
                <w:szCs w:val="20"/>
                <w:color w:val="auto"/>
              </w:rPr>
            </w:pPr>
          </w:p>
        </w:tc>
      </w:tr>
      <w:tr>
        <w:trPr>
          <w:trHeight w:val="230"/>
        </w:trPr>
        <w:tc>
          <w:tcPr>
            <w:tcW w:w="746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r>
      <w:tr>
        <w:trPr>
          <w:trHeight w:val="257"/>
        </w:trPr>
        <w:tc>
          <w:tcPr>
            <w:tcW w:w="7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losses on cash flow hedges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available-for-sale marketable securities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losses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r>
      <w:tr>
        <w:trPr>
          <w:trHeight w:val="20"/>
        </w:trPr>
        <w:tc>
          <w:tcPr>
            <w:tcW w:w="7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data)</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ind w:left="20" w:right="340"/>
        <w:spacing w:after="0" w:line="253" w:lineRule="auto"/>
        <w:rPr>
          <w:sz w:val="20"/>
          <w:szCs w:val="20"/>
          <w:color w:val="auto"/>
        </w:rPr>
      </w:pPr>
      <w:r>
        <w:rPr>
          <w:rFonts w:ascii="Times New Roman" w:cs="Times New Roman" w:eastAsia="Times New Roman" w:hAnsi="Times New Roman"/>
          <w:sz w:val="17"/>
          <w:szCs w:val="17"/>
          <w:color w:val="auto"/>
        </w:rPr>
        <w:t>Cash settlement of equity classified share based payment awards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27" w:lineRule="exact"/>
        <w:rPr>
          <w:sz w:val="20"/>
          <w:szCs w:val="20"/>
          <w:color w:val="auto"/>
        </w:rPr>
      </w:pPr>
    </w:p>
    <w:p>
      <w:pPr>
        <w:ind w:left="20"/>
        <w:spacing w:after="0" w:line="220" w:lineRule="auto"/>
        <w:rPr>
          <w:sz w:val="20"/>
          <w:szCs w:val="20"/>
          <w:color w:val="auto"/>
        </w:rPr>
      </w:pPr>
      <w:r>
        <w:rPr>
          <w:rFonts w:ascii="Times New Roman" w:cs="Times New Roman" w:eastAsia="Times New Roman" w:hAnsi="Times New Roman"/>
          <w:sz w:val="18"/>
          <w:szCs w:val="18"/>
          <w:color w:val="auto"/>
        </w:rPr>
        <w:t>Issuance of common stock upon exercise of stock options, and vesting of</w:t>
      </w:r>
    </w:p>
    <w:p>
      <w:pPr>
        <w:ind w:left="2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2"/>
        </w:trPr>
        <w:tc>
          <w:tcPr>
            <w:tcW w:w="15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9"/>
        </w:trPr>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220" w:type="dxa"/>
            <w:vAlign w:val="bottom"/>
          </w:tcPr>
          <w:p>
            <w:pPr>
              <w:spacing w:after="0"/>
              <w:rPr>
                <w:sz w:val="14"/>
                <w:szCs w:val="14"/>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1160" w:type="dxa"/>
            <w:vAlign w:val="bottom"/>
            <w:gridSpan w:val="2"/>
            <w:vMerge w:val="continue"/>
          </w:tcPr>
          <w:p>
            <w:pPr>
              <w:spacing w:after="0"/>
              <w:rPr>
                <w:sz w:val="14"/>
                <w:szCs w:val="14"/>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68"/>
        </w:trPr>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vMerge w:val="restart"/>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capital</w:t>
            </w:r>
          </w:p>
        </w:tc>
        <w:tc>
          <w:tcPr>
            <w:tcW w:w="1260" w:type="dxa"/>
            <w:vAlign w:val="bottom"/>
            <w:gridSpan w:val="3"/>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160" w:type="dxa"/>
            <w:vAlign w:val="bottom"/>
            <w:gridSpan w:val="2"/>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deficit</w:t>
            </w:r>
          </w:p>
        </w:tc>
        <w:tc>
          <w:tcPr>
            <w:tcW w:w="200" w:type="dxa"/>
            <w:vAlign w:val="bottom"/>
          </w:tcPr>
          <w:p>
            <w:pPr>
              <w:spacing w:after="0"/>
              <w:rPr>
                <w:sz w:val="5"/>
                <w:szCs w:val="5"/>
                <w:color w:val="auto"/>
              </w:rPr>
            </w:pPr>
          </w:p>
        </w:tc>
        <w:tc>
          <w:tcPr>
            <w:tcW w:w="860" w:type="dxa"/>
            <w:vAlign w:val="bottom"/>
            <w:vMerge w:val="restart"/>
          </w:tcPr>
          <w:p>
            <w:pPr>
              <w:jc w:val="right"/>
              <w:ind w:right="210"/>
              <w:spacing w:after="0" w:line="202" w:lineRule="exact"/>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1060" w:type="dxa"/>
            <w:vAlign w:val="bottom"/>
            <w:gridSpan w:val="2"/>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152,057,148</w:t>
            </w:r>
          </w:p>
        </w:tc>
        <w:tc>
          <w:tcPr>
            <w:tcW w:w="80" w:type="dxa"/>
            <w:vAlign w:val="bottom"/>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9,923,759</w:t>
            </w:r>
          </w:p>
        </w:tc>
        <w:tc>
          <w:tcPr>
            <w:tcW w:w="8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(7,801)</w:t>
            </w:r>
          </w:p>
        </w:tc>
        <w:tc>
          <w:tcPr>
            <w:tcW w:w="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$ 500,024</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4"/>
                <w:szCs w:val="2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(468,810)</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24,387</w:t>
            </w:r>
          </w:p>
        </w:tc>
        <w:tc>
          <w:tcPr>
            <w:tcW w:w="0" w:type="dxa"/>
            <w:vAlign w:val="bottom"/>
          </w:tcPr>
          <w:p>
            <w:pPr>
              <w:spacing w:after="0"/>
              <w:rPr>
                <w:sz w:val="1"/>
                <w:szCs w:val="1"/>
                <w:color w:val="auto"/>
              </w:rPr>
            </w:pPr>
          </w:p>
        </w:tc>
      </w:tr>
      <w:tr>
        <w:trPr>
          <w:trHeight w:val="480"/>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324"/>
        </w:trPr>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32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(1,175,109)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1,175,109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405"/>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3,364,992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-1130935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-814070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-401955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2920" w:space="220"/>
            <w:col w:w="81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50"/>
        </w:trPr>
        <w:tc>
          <w:tcPr>
            <w:tcW w:w="3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154,247,031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11,098,868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(10,119)</w:t>
            </w: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(469,929)</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paid-in</w:t>
            </w:r>
          </w:p>
        </w:tc>
        <w:tc>
          <w:tcPr>
            <w:tcW w:w="240" w:type="dxa"/>
            <w:vAlign w:val="bottom"/>
          </w:tcPr>
          <w:p>
            <w:pPr>
              <w:spacing w:after="0"/>
              <w:rPr>
                <w:sz w:val="14"/>
                <w:szCs w:val="14"/>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1160" w:type="dxa"/>
            <w:vAlign w:val="bottom"/>
            <w:gridSpan w:val="3"/>
            <w:vMerge w:val="continue"/>
          </w:tcPr>
          <w:p>
            <w:pPr>
              <w:spacing w:after="0"/>
              <w:rPr>
                <w:sz w:val="14"/>
                <w:szCs w:val="14"/>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59"/>
        </w:trPr>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  Number</w:t>
            </w:r>
          </w:p>
        </w:tc>
        <w:tc>
          <w:tcPr>
            <w:tcW w:w="6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260" w:type="dxa"/>
            <w:vAlign w:val="bottom"/>
            <w:gridSpan w:val="3"/>
          </w:tcPr>
          <w:p>
            <w:pPr>
              <w:jc w:val="center"/>
              <w:ind w:right="8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200" w:type="dxa"/>
            <w:vAlign w:val="bottom"/>
          </w:tcPr>
          <w:p>
            <w:pPr>
              <w:spacing w:after="0"/>
              <w:rPr>
                <w:sz w:val="5"/>
                <w:szCs w:val="5"/>
                <w:color w:val="auto"/>
              </w:rPr>
            </w:pPr>
          </w:p>
        </w:tc>
        <w:tc>
          <w:tcPr>
            <w:tcW w:w="960" w:type="dxa"/>
            <w:vAlign w:val="bottom"/>
            <w:gridSpan w:val="2"/>
          </w:tcPr>
          <w:p>
            <w:pPr>
              <w:ind w:left="100"/>
              <w:spacing w:after="0" w:line="59" w:lineRule="exact"/>
              <w:rPr>
                <w:sz w:val="20"/>
                <w:szCs w:val="20"/>
                <w:color w:val="auto"/>
              </w:rPr>
            </w:pPr>
            <w:r>
              <w:rPr>
                <w:rFonts w:ascii="Times New Roman" w:cs="Times New Roman" w:eastAsia="Times New Roman" w:hAnsi="Times New Roman"/>
                <w:sz w:val="6"/>
                <w:szCs w:val="6"/>
                <w:b w:val="1"/>
                <w:bCs w:val="1"/>
                <w:color w:val="auto"/>
              </w:rPr>
              <w:t>deficit</w:t>
            </w:r>
          </w:p>
        </w:tc>
        <w:tc>
          <w:tcPr>
            <w:tcW w:w="200" w:type="dxa"/>
            <w:vAlign w:val="bottom"/>
          </w:tcPr>
          <w:p>
            <w:pPr>
              <w:spacing w:after="0"/>
              <w:rPr>
                <w:sz w:val="5"/>
                <w:szCs w:val="5"/>
                <w:color w:val="auto"/>
              </w:rPr>
            </w:pPr>
          </w:p>
        </w:tc>
        <w:tc>
          <w:tcPr>
            <w:tcW w:w="860" w:type="dxa"/>
            <w:vAlign w:val="bottom"/>
            <w:vMerge w:val="restart"/>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13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9"/>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142,588,917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7,685,190</w:t>
            </w: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0" w:type="dxa"/>
            <w:vAlign w:val="bottom"/>
          </w:tcPr>
          <w:p>
            <w:pPr>
              <w:spacing w:after="0"/>
              <w:rPr>
                <w:sz w:val="1"/>
                <w:szCs w:val="1"/>
                <w:color w:val="auto"/>
              </w:rPr>
            </w:pPr>
          </w:p>
        </w:tc>
      </w:tr>
      <w:tr>
        <w:trPr>
          <w:trHeight w:val="250"/>
        </w:trPr>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3,757,389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stock options, and vesting of restricted</w:t>
            </w: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57"/>
        </w:trPr>
        <w:tc>
          <w:tcPr>
            <w:tcW w:w="3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146,346,306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7,685,190</w:t>
            </w: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(4,881)</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478,292</w:t>
            </w:r>
          </w:p>
        </w:tc>
        <w:tc>
          <w:tcPr>
            <w:tcW w:w="80" w:type="dxa"/>
            <w:vAlign w:val="bottom"/>
          </w:tcPr>
          <w:p>
            <w:pPr>
              <w:spacing w:after="0"/>
              <w:rPr>
                <w:sz w:val="19"/>
                <w:szCs w:val="19"/>
                <w:color w:val="auto"/>
              </w:rPr>
            </w:pP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(448,591)</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0"/>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3"/>
        </w:trPr>
        <w:tc>
          <w:tcPr>
            <w:tcW w:w="850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deferred contract acquisition and fulfillment costs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foreign exchange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trade receivables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Increase in prepaid expenses and other current assets and other assets, noncurrent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in deferred contract acquisition and fulfillment costs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Increase in trade payables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expenses and other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Decrease in employees and payroll accruals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other liabilities, noncurrent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Decrease in deferred revenue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(8,617)</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57"/>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96"/>
        </w:trPr>
        <w:tc>
          <w:tcPr>
            <w:tcW w:w="85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in available-for-sale marketable securities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56"/>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8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r>
      <w:tr>
        <w:trPr>
          <w:trHeight w:val="256"/>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96"/>
        </w:trPr>
        <w:tc>
          <w:tcPr>
            <w:tcW w:w="850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60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 of long-term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settlement of equity classified share-based payment awards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account of repurchase of common stock</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2400" w:type="dxa"/>
            <w:vAlign w:val="bottom"/>
            <w:tcBorders>
              <w:top w:val="single" w:sz="8" w:color="CCEEFF"/>
            </w:tcBorders>
            <w:shd w:val="clear" w:color="auto" w:fill="CCEEFF"/>
          </w:tcPr>
          <w:p>
            <w:pPr>
              <w:spacing w:after="0"/>
              <w:rPr>
                <w:sz w:val="21"/>
                <w:szCs w:val="21"/>
                <w:color w:val="auto"/>
              </w:rPr>
            </w:pPr>
          </w:p>
        </w:tc>
        <w:tc>
          <w:tcPr>
            <w:tcW w:w="60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23"/>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03"/>
        </w:trPr>
        <w:tc>
          <w:tcPr>
            <w:tcW w:w="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53"/>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13"/>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w:t>
            </w:r>
          </w:p>
        </w:tc>
      </w:tr>
      <w:tr>
        <w:trPr>
          <w:trHeight w:val="21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36,784</w:t>
            </w:r>
          </w:p>
        </w:tc>
      </w:tr>
      <w:tr>
        <w:trPr>
          <w:trHeight w:val="207"/>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31,665</w:t>
            </w:r>
          </w:p>
        </w:tc>
      </w:tr>
      <w:tr>
        <w:trPr>
          <w:trHeight w:val="23"/>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19685</wp:posOffset>
            </wp:positionV>
            <wp:extent cx="2211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8360"/>
        <w:spacing w:after="0"/>
        <w:tabs>
          <w:tab w:leader="none" w:pos="101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19685</wp:posOffset>
            </wp:positionV>
            <wp:extent cx="22117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r>
      <w:tr>
        <w:trPr>
          <w:trHeight w:val="255"/>
        </w:trPr>
        <w:tc>
          <w:tcPr>
            <w:tcW w:w="1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 credit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9"/>
        </w:trPr>
        <w:tc>
          <w:tcPr>
            <w:tcW w:w="140" w:type="dxa"/>
            <w:vAlign w:val="bottom"/>
            <w:shd w:val="clear" w:color="auto" w:fill="CCEEFF"/>
          </w:tcPr>
          <w:p>
            <w:pPr>
              <w:spacing w:after="0"/>
              <w:rPr>
                <w:sz w:val="21"/>
                <w:szCs w:val="21"/>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stock-based compensation cost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 proceeds from option exercises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1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settlement of equity classified share-based payment awards, unpaid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4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r>
      <w:tr>
        <w:trPr>
          <w:trHeight w:val="254"/>
        </w:trPr>
        <w:tc>
          <w:tcPr>
            <w:tcW w:w="1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1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14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 to the consolidated balance sheet: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70"/>
        </w:trPr>
        <w:tc>
          <w:tcPr>
            <w:tcW w:w="140" w:type="dxa"/>
            <w:vAlign w:val="bottom"/>
            <w:tcBorders>
              <w:top w:val="single" w:sz="8" w:color="CCEEFF"/>
            </w:tcBorders>
          </w:tcPr>
          <w:p>
            <w:pPr>
              <w:spacing w:after="0"/>
              <w:rPr>
                <w:sz w:val="23"/>
                <w:szCs w:val="23"/>
                <w:color w:val="auto"/>
              </w:rPr>
            </w:pPr>
          </w:p>
        </w:tc>
        <w:tc>
          <w:tcPr>
            <w:tcW w:w="32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120" w:type="dxa"/>
            <w:vAlign w:val="bottom"/>
            <w:tcBorders>
              <w:top w:val="single" w:sz="8" w:color="auto"/>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r>
      <w:tr>
        <w:trPr>
          <w:trHeight w:val="230"/>
        </w:trPr>
        <w:tc>
          <w:tcPr>
            <w:tcW w:w="14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31,565</w:t>
            </w:r>
          </w:p>
        </w:tc>
      </w:tr>
      <w:tr>
        <w:trPr>
          <w:trHeight w:val="237"/>
        </w:trPr>
        <w:tc>
          <w:tcPr>
            <w:tcW w:w="140" w:type="dxa"/>
            <w:vAlign w:val="bottom"/>
            <w:tcBorders>
              <w:bottom w:val="single" w:sz="8" w:color="CCEEFF"/>
            </w:tcBorders>
          </w:tcPr>
          <w:p>
            <w:pPr>
              <w:spacing w:after="0"/>
              <w:rPr>
                <w:sz w:val="20"/>
                <w:szCs w:val="20"/>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Restricted cash included in other assets, noncurrent</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6"/>
        </w:trPr>
        <w:tc>
          <w:tcPr>
            <w:tcW w:w="140" w:type="dxa"/>
            <w:vAlign w:val="bottom"/>
            <w:shd w:val="clear" w:color="auto" w:fill="CCEEFF"/>
          </w:tcPr>
          <w:p>
            <w:pPr>
              <w:spacing w:after="0"/>
              <w:rPr>
                <w:sz w:val="22"/>
                <w:szCs w:val="22"/>
                <w:color w:val="auto"/>
              </w:rPr>
            </w:pPr>
          </w:p>
        </w:tc>
        <w:tc>
          <w:tcPr>
            <w:tcW w:w="3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14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31,665</w:t>
            </w:r>
          </w:p>
        </w:tc>
      </w:tr>
      <w:tr>
        <w:trPr>
          <w:trHeight w:val="20"/>
        </w:trPr>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GENERAL</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Kaltura, Inc. (together with its subsidiaries, the “Company”) was incorporated in October 2006 and commenced operations in January 2007. The Company’s business operations are allocated between two main segments, Enterprise, Education, and Technology (“EE&amp;T”) and Media and Telecom (“M&amp;T”). The Company has developed a platform for video creation, management, and collaboration. The Company's platform enables companies, educational institutions, and other organizations to cost-effectively launch advanced online video experiences, including for Over-the-top (“OTT”) Television, Cloud TV, web video publishing, video-based teaching, learning, and training, video-based marketing, and video-based collaboration. The Company’s core offerings consist of various Software-as-a-Service (“SaaS”) products and solutions and a Platform-as-a-Service (“PaaS”).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BASIS OF PRESENTATION AND SUMMARY OF SIGNIFICANT ACCOUNTING POLICIES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applicable rules and regulations of the Securities and Exchange Commission (the “SEC”) regarding interim financial reporting.</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balance sheet as of December 31, 2024 was derived from the audited consolidated financial statements as of that date, but does not include all of the disclosures, including certain notes required by U.S. GAAP on an annual reporting basis.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2024, included in the Company’s Annual Report on Form 10-K for the year ended December 31, 2024, filed with the SEC on February 20, 2025 ("2024 10-K").</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annual consolidated financial statements with normal recurring adjustments necessary for the fair presentation of the Company’s financial position as of March 31, 2025, and the Company’s consolidated results of operations, stockholders’ equity, and cash flows for the three months ended March 31, 2025 and 2024. The results for the three months ended March 31, 2025, are not necessarily indicative of the results to be expected for the full year ending December 31, 2025, or any other future interim or annual period.</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incremental borrowing rate for operating leases, fair value of financial assets and liabilities, including fair value of derivatives, fair value and useful life of intangible assets, as well as in estimates used in applying the revenue recognition policy.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marketable securities, restricted cash and trade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trade receivables are geographically dispersed and derived from sales to customers mainly in the United States, Europe and Asia.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of credit risk with respect to trade receivables is limited by credit limits, ongoing credit evaluation and account monitoring procedures.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Major customer data as a percentage of total revenues: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customers that represented 10% or more of the Company’s total revenue in each of the periods set forth below:</w:t>
      </w:r>
    </w:p>
    <w:p>
      <w:pPr>
        <w:spacing w:after="0" w:line="20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6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9"/>
        </w:trPr>
        <w:tc>
          <w:tcPr>
            <w:tcW w:w="7480" w:type="dxa"/>
            <w:vAlign w:val="bottom"/>
            <w:gridSpan w:val="2"/>
            <w:shd w:val="clear" w:color="auto" w:fill="CCEEFF"/>
          </w:tcPr>
          <w:p>
            <w:pPr>
              <w:jc w:val="right"/>
              <w:ind w:right="5030"/>
              <w:spacing w:after="0"/>
              <w:rPr>
                <w:sz w:val="20"/>
                <w:szCs w:val="20"/>
                <w:color w:val="auto"/>
              </w:rPr>
            </w:pPr>
            <w:r>
              <w:rPr>
                <w:rFonts w:ascii="Times New Roman" w:cs="Times New Roman" w:eastAsia="Times New Roman" w:hAnsi="Times New Roman"/>
                <w:sz w:val="18"/>
                <w:szCs w:val="18"/>
                <w:color w:val="auto"/>
                <w:w w:val="99"/>
              </w:rPr>
              <w:t>Customer A (Media &amp; Telecom)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10.62 %</w:t>
            </w: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discussed in Note 2 of the Company’s 2024 10-K. There have been no significant changes to these policies during the three months ended March 31, 2025 except as noted below.</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Pronouncements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 Improvements to Income Tax Disclosures”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The Company is currently evaluating the impact of the adoption of this standard.</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FASB issued Accounting Standards Update (ASU) 2024-03, “Income Statement — Reporting Comprehensive Income — Expense Disaggregation Disclosures”, which requires disclosure, on an annual and interim basis, of disaggregated information about certain income statement expense line items. The ASU does not change the expense captions presented on the face of the income statement; rather, it mandates the disaggregation of certain expense captions into specified categories within the footnotes to the financial statements. This ASU is effective for fiscal years beginning after December 15, 2026, and for interim periods within fiscal years beginning after December 15, 2027. The Company is currently evaluating the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REVENUES FROM CONTRACTS WITH CUSTOMERS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disaggregated revenue by category:</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Enterprise, Education and</w:t>
            </w:r>
          </w:p>
        </w:tc>
        <w:tc>
          <w:tcPr>
            <w:tcW w:w="220" w:type="dxa"/>
            <w:vAlign w:val="bottom"/>
          </w:tcPr>
          <w:p>
            <w:pPr>
              <w:spacing w:after="0"/>
              <w:rPr>
                <w:sz w:val="15"/>
                <w:szCs w:val="15"/>
                <w:color w:val="auto"/>
              </w:rPr>
            </w:pPr>
          </w:p>
        </w:tc>
        <w:tc>
          <w:tcPr>
            <w:tcW w:w="256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Media and Telecom</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20" w:type="dxa"/>
            <w:vAlign w:val="bottom"/>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Borders>
              <w:top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101"/>
        </w:trPr>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Enterprise, Education and</w:t>
            </w:r>
          </w:p>
        </w:tc>
        <w:tc>
          <w:tcPr>
            <w:tcW w:w="220" w:type="dxa"/>
            <w:vAlign w:val="bottom"/>
          </w:tcPr>
          <w:p>
            <w:pPr>
              <w:spacing w:after="0"/>
              <w:rPr>
                <w:sz w:val="15"/>
                <w:szCs w:val="15"/>
                <w:color w:val="auto"/>
              </w:rPr>
            </w:pPr>
          </w:p>
        </w:tc>
        <w:tc>
          <w:tcPr>
            <w:tcW w:w="256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Media and Telecom</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220" w:type="dxa"/>
            <w:vAlign w:val="bottom"/>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Borders>
              <w:top w:val="single" w:sz="8" w:color="auto"/>
            </w:tcBorders>
          </w:tcPr>
          <w:p>
            <w:pPr>
              <w:jc w:val="right"/>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101"/>
        </w:trPr>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101"/>
        </w:trPr>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(“US”)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that has not yet been recognized, including both deferred revenue and contracted amounts that will be invoiced and recognized as revenue in future periods. As of March 31, 2025, the aggregate amount of the transaction price allocated to remaining performance obligations was $184,860, which consists of both billed consideration in the amount of $53,936 and unbilled consideration in the amount of $130,924 that the Company expects to recognize as revenue but that was not yet recognized on the balance sheet. The Company expects to recognize 59% of its remaining performance obligations as revenue over the next 12 months and the remainder over the next four years.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 roll forward of costs to obtain a contract: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deferred contract acquisition costs during the period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10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0" w:type="dxa"/>
            <w:vAlign w:val="bottom"/>
          </w:tcPr>
          <w:p>
            <w:pPr>
              <w:spacing w:after="0"/>
              <w:rPr>
                <w:sz w:val="1"/>
                <w:szCs w:val="1"/>
                <w:color w:val="auto"/>
              </w:rPr>
            </w:pPr>
          </w:p>
        </w:tc>
      </w:tr>
      <w:tr>
        <w:trPr>
          <w:trHeight w:val="257"/>
        </w:trPr>
        <w:tc>
          <w:tcPr>
            <w:tcW w:w="6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costs to obtain a contract</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a Contract</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a roll forward of costs to fulfill a contract:</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6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deferred costs to fulfill a contract during the period</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costs to fulfill a contract</w:t>
            </w:r>
          </w:p>
        </w:tc>
        <w:tc>
          <w:tcPr>
            <w:tcW w:w="10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56"/>
        </w:trPr>
        <w:tc>
          <w:tcPr>
            <w:tcW w:w="6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fulfillment costs, current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37"/>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fulfillment costs, noncurrent</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57"/>
        </w:trPr>
        <w:tc>
          <w:tcPr>
            <w:tcW w:w="6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costs to fulfill a contract</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MARKETABLE SECURITIES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as of March 31, 2025 and December 31, 2024, respectively:</w:t>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66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spacing w:after="0"/>
              <w:rPr>
                <w:sz w:val="16"/>
                <w:szCs w:val="16"/>
                <w:color w:val="auto"/>
              </w:rPr>
            </w:pPr>
          </w:p>
        </w:tc>
        <w:tc>
          <w:tcPr>
            <w:tcW w:w="1540" w:type="dxa"/>
            <w:vAlign w:val="bottom"/>
            <w:tcBorders>
              <w:bottom w:val="single" w:sz="8" w:color="auto"/>
            </w:tcBorders>
            <w:gridSpan w:val="3"/>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4"/>
                <w:szCs w:val="14"/>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within one year:</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after one year: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spacing w:after="0"/>
              <w:rPr>
                <w:sz w:val="16"/>
                <w:szCs w:val="16"/>
                <w:color w:val="auto"/>
              </w:rPr>
            </w:pPr>
          </w:p>
        </w:tc>
        <w:tc>
          <w:tcPr>
            <w:tcW w:w="1540" w:type="dxa"/>
            <w:vAlign w:val="bottom"/>
            <w:tcBorders>
              <w:bottom w:val="single" w:sz="8" w:color="auto"/>
            </w:tcBorders>
            <w:gridSpan w:val="3"/>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3"/>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4"/>
                <w:szCs w:val="14"/>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within one year:</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48,254</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 matures after one year:</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did not record an allowance for credit losses for its available-for-sale marketable debt securities and all of the gross unrealized losses of the Company's marketable securities have been in a continuous loss position for less than 12 months. There were no gains or losses from available-for-sale marketable securities that were reclassified out of accumulated other comprehensive loss during the periods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FAIR VALUE MEASUREMENTS</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820, the Company measures its cash equivalents and marketable securities at fair value using the market approach valuation technique. Cash equivalents and marketable securities are classified within Level 1 or Level 2 because these assets are valued using quoted market prices or alternative pricing sources and models utilizing market observable inputs. Foreign currency derivative contracts are classified within the Level 2 value hierarchy, as the valuation inputs are based on quoted prices and market observable data of similar instruments. The following table sets forth the Company’s assets and liabilities that were measured at fair value as of March 31, 2025 and December 31, 2024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 Hierarchy</w:t>
            </w:r>
          </w:p>
        </w:tc>
        <w:tc>
          <w:tcPr>
            <w:tcW w:w="1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0" w:type="dxa"/>
            <w:vAlign w:val="bottom"/>
          </w:tcPr>
          <w:p>
            <w:pPr>
              <w:spacing w:after="0"/>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Pr>
          <w:p>
            <w:pPr>
              <w:spacing w:after="0"/>
              <w:rPr>
                <w:sz w:val="19"/>
                <w:szCs w:val="19"/>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50"/>
        </w:trPr>
        <w:tc>
          <w:tcPr>
            <w:tcW w:w="3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at fair value on a recurring basis: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bank deposits</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175"/>
        </w:trPr>
        <w:tc>
          <w:tcPr>
            <w:tcW w:w="3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Options and forward contracts designated as hedging</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  </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bank deposit</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instruments liability included in accrued</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and other current liabilities: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9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Options and forward contracts designated as hedging</w:t>
            </w: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  </w:t>
            </w:r>
          </w:p>
        </w:tc>
        <w:tc>
          <w:tcPr>
            <w:tcW w:w="2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DERIVATIVES AND HEDGING</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forward, put and call option contracts to hedge certain forecasted payroll costs denominated in new Israeli shekel ("NIS") against exchange rate fluctuations of the U.S. dollar for a period of up to twelve months. The Company recorded the cash flows associated with these derivatives under operating activities. The Company does not use derivative instruments for trading or speculative purposes.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Notional Amount of Foreign Currency Contracts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outstanding contracts designated as hedging instruments in the aggregate notional amount of $32,021 and $35,718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outstanding contracts amounted to an asset of $265 and $960, and a liability of $253 and $24 as of March 31, 2025 and December 31, 2024, respectively. These assets and liabilities were recorded under prepaid expenses and other current assets and accrued expenses and other current liabilities, respectively. Gains of $326 and $666 were reclassified from accumulated other comprehensive income during the three months ended March 31, 2025 and 2024, respectively. Such gains were reclassified from accumulated other comprehensive income when the related expenses were incurred.</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Foreign Currency Contracts on the Condensed Consolidated Statements of Operations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 of foreign currency contracts on the condensed consolidated statements of operations during the three months ended March 31, 2025 and 2024 were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Statement of Operations Location:</w:t>
            </w:r>
          </w:p>
        </w:tc>
        <w:tc>
          <w:tcPr>
            <w:tcW w:w="12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r>
      <w:tr>
        <w:trPr>
          <w:trHeight w:val="250"/>
        </w:trPr>
        <w:tc>
          <w:tcPr>
            <w:tcW w:w="3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LEASES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its office facilities under agreements that expire at various dates through November 2032.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operating lease expense were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r>
      <w:tr>
        <w:trPr>
          <w:trHeight w:val="250"/>
        </w:trPr>
        <w:tc>
          <w:tcPr>
            <w:tcW w:w="39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3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54"/>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Supplementary cash flow information related to operating leases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18"/>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r>
      <w:tr>
        <w:trPr>
          <w:trHeight w:val="250"/>
        </w:trPr>
        <w:tc>
          <w:tcPr>
            <w:tcW w:w="3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weighted-average discount rate is 4.7% and the weighted-average remaining term is 7.0 years. Maturities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operating lease liabilities as of March 31, 2025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5200" w:type="dxa"/>
            <w:vAlign w:val="bottom"/>
            <w:gridSpan w:val="3"/>
          </w:tcPr>
          <w:p>
            <w:pPr>
              <w:jc w:val="right"/>
              <w:ind w:right="30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78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33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w:t>
            </w:r>
          </w:p>
        </w:tc>
      </w:tr>
      <w:tr>
        <w:trPr>
          <w:trHeight w:val="20"/>
        </w:trPr>
        <w:tc>
          <w:tcPr>
            <w:tcW w:w="3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non-cancelable agreements with third-party providers for use of mainly cloud and other services, under which it committed to minimum and fixed purchases through the year ending December 31, 2026.</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details of the aggregate future non-cancelable purchase commitments under such agreements as of March 31, 2025:</w:t>
      </w:r>
    </w:p>
    <w:p>
      <w:pPr>
        <w:spacing w:after="0" w:line="2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Year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45516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13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28,576</w:t>
            </w:r>
          </w:p>
        </w:tc>
      </w:tr>
      <w:tr>
        <w:trPr>
          <w:trHeight w:val="27"/>
        </w:trPr>
        <w:tc>
          <w:tcPr>
            <w:tcW w:w="7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occasionally a party to claims or litigation in the normal course of the business. The Company does not believe that it is a party to any pending legal proceeding that is likely to have a material adverse effect on its business, financial condition, or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CONDENSED CONSOLIDATED BALANCE SHEET COMPONENTS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80010</wp:posOffset>
            </wp:positionV>
            <wp:extent cx="9169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13335</wp:posOffset>
            </wp:positionV>
            <wp:extent cx="917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400"/>
            <w:col w:w="1260"/>
          </w:cols>
          <w:pgMar w:left="320" w:top="118" w:right="1159" w:bottom="1440" w:gutter="0" w:footer="0" w:header="0"/>
        </w:sectPr>
      </w:pP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instrument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bank deposits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1"/>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Composition of property and equipment is as follows: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92"/>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63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4"/>
              </w:rPr>
              <w:t>Cost:</w:t>
            </w:r>
          </w:p>
        </w:tc>
        <w:tc>
          <w:tcPr>
            <w:tcW w:w="6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Depreciated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expenses for the three months ended March 31, 2025 and 2024 were $1,074 and $1,188, respectively.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3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92"/>
        </w:trPr>
        <w:tc>
          <w:tcPr>
            <w:tcW w:w="6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pay fund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deposit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5"/>
                <w:szCs w:val="15"/>
                <w:color w:val="auto"/>
              </w:rPr>
            </w:pPr>
          </w:p>
        </w:tc>
        <w:tc>
          <w:tcPr>
            <w:tcW w:w="130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44"/>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94"/>
        </w:trPr>
        <w:tc>
          <w:tcPr>
            <w:tcW w:w="6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0" w:type="dxa"/>
            <w:vAlign w:val="bottom"/>
          </w:tcPr>
          <w:p>
            <w:pPr>
              <w:spacing w:after="0"/>
              <w:rPr>
                <w:sz w:val="1"/>
                <w:szCs w:val="1"/>
                <w:color w:val="auto"/>
              </w:rPr>
            </w:pPr>
          </w:p>
        </w:tc>
      </w:tr>
      <w:tr>
        <w:trPr>
          <w:trHeight w:val="23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15"/>
                <w:szCs w:val="15"/>
                <w:color w:val="auto"/>
              </w:rPr>
            </w:pPr>
          </w:p>
        </w:tc>
        <w:tc>
          <w:tcPr>
            <w:tcW w:w="13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92"/>
        </w:trPr>
        <w:tc>
          <w:tcPr>
            <w:tcW w:w="6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taxes, noncurrent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0" w:type="dxa"/>
            <w:vAlign w:val="bottom"/>
          </w:tcPr>
          <w:p>
            <w:pPr>
              <w:spacing w:after="0"/>
              <w:rPr>
                <w:sz w:val="1"/>
                <w:szCs w:val="1"/>
                <w:color w:val="auto"/>
              </w:rPr>
            </w:pPr>
          </w:p>
        </w:tc>
      </w:tr>
      <w:tr>
        <w:trPr>
          <w:trHeight w:val="229"/>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56"/>
        </w:trPr>
        <w:tc>
          <w:tcPr>
            <w:tcW w:w="6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GOODWILL AND INTANGIBLE ASSETS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goodwill activity during the periods presented.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and accumulated amortization expenses of the intangible assets, as of March 31, 2025 and December 31, 2024,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 useful life (in</w:t>
            </w:r>
          </w:p>
        </w:tc>
        <w:tc>
          <w:tcPr>
            <w:tcW w:w="3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60" w:type="dxa"/>
            <w:vAlign w:val="bottom"/>
          </w:tcPr>
          <w:p>
            <w:pPr>
              <w:spacing w:after="0"/>
              <w:rPr>
                <w:sz w:val="16"/>
                <w:szCs w:val="16"/>
                <w:color w:val="auto"/>
              </w:rPr>
            </w:pPr>
          </w:p>
        </w:tc>
        <w:tc>
          <w:tcPr>
            <w:tcW w:w="204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Gross carrying amount:</w:t>
            </w:r>
          </w:p>
        </w:tc>
        <w:tc>
          <w:tcPr>
            <w:tcW w:w="25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20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Accumulated amortization and impairments:</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amortization expenses in the amount of $111 and $117, respectively, included in cost of revenue and sales and marketing expenses in the statements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March 31, 2025, is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50"/>
        </w:trPr>
        <w:tc>
          <w:tcPr>
            <w:tcW w:w="8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30"/>
        </w:trPr>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 (Remainder)</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8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9"/>
        </w:trPr>
        <w:tc>
          <w:tcPr>
            <w:tcW w:w="8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an income tax expense of $1,345 and $2,308 for the three months ended March 31, 2025, and 2024, respectively. The tax expense for these periods was primarily attributable to pre-tax foreign earnings in our foreign jurisdictions.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of 595% and (26)% for the three months ended March 31, 2025 and 2024, respectively, differ from the U.S. statutory tax rate primarily due to U.S. losses for which there is no benefit and the tax rate differences between the U.S. and the foreign countries in which we operate.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full valuation allowance on its net deferred tax assets. The residual deferred tax liability is from indefinite life goodwill intangibles and included under other liabilities, noncurrent in the balance sheet. Management currently believes that it is more likely than not that the deferred tax regarding the tax loss carry forwards and other temporary differences will not be realized in the foreseeable future in the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NET LOSS PER SHARE ATTRIBUTABLE TO COMMON STOCKHOLDERS:</w:t>
      </w:r>
    </w:p>
    <w:p>
      <w:pPr>
        <w:spacing w:after="0" w:line="22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3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154,009,623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144,253,660</w:t>
            </w:r>
          </w:p>
        </w:tc>
        <w:tc>
          <w:tcPr>
            <w:tcW w:w="0" w:type="dxa"/>
            <w:vAlign w:val="bottom"/>
          </w:tcPr>
          <w:p>
            <w:pPr>
              <w:spacing w:after="0"/>
              <w:rPr>
                <w:sz w:val="1"/>
                <w:szCs w:val="1"/>
                <w:color w:val="auto"/>
              </w:rPr>
            </w:pPr>
          </w:p>
        </w:tc>
      </w:tr>
      <w:tr>
        <w:trPr>
          <w:trHeight w:val="126"/>
        </w:trPr>
        <w:tc>
          <w:tcPr>
            <w:tcW w:w="6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3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Instruments potentially exercisable for common stock that were excluded from the computation of diluted net loss per share attributable to common stockholders for the periods presented because including them would have been anti-dilutive are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6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0"/>
        </w:trPr>
        <w:tc>
          <w:tcPr>
            <w:tcW w:w="6120" w:type="dxa"/>
            <w:vAlign w:val="bottom"/>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6"/>
        </w:trPr>
        <w:tc>
          <w:tcPr>
            <w:tcW w:w="6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37"/>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31,278,158</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39,704,374</w:t>
            </w:r>
          </w:p>
        </w:tc>
      </w:tr>
      <w:tr>
        <w:trPr>
          <w:trHeight w:val="256"/>
        </w:trPr>
        <w:tc>
          <w:tcPr>
            <w:tcW w:w="6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5"/>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31,278,158</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39,387,789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REPORTABLE SEGMENTS AND GEOGRAPHICAL INFORMATION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Company's CODM is its Chief Executive Officer. The Company's CODM does not regularly review asset information by segments and, therefore, the Company does not report asset information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organizes its operations in two segments: Enterprise, Education and Technology and Media and Telecom. The Enterprise, Education and Technology segment represents products related to industry solutions predominantly for education customers, and media services (except for Media and Telecom customers). The Media and Telecom segment primarily represents TV solutions that are sold to media and telecom operators and mass broadcasting and entertainment.</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measurement of the reportable operating segments is based on the same accounting principles applied in these financial statements, which includes certain corporate overhead allocations.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5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180" w:type="dxa"/>
            <w:vAlign w:val="bottom"/>
          </w:tcPr>
          <w:p>
            <w:pPr>
              <w:spacing w:after="0"/>
              <w:rPr>
                <w:sz w:val="21"/>
                <w:szCs w:val="21"/>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Media and</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Education and</w:t>
            </w:r>
          </w:p>
        </w:tc>
        <w:tc>
          <w:tcPr>
            <w:tcW w:w="1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restart"/>
          </w:tcPr>
          <w:p>
            <w:pPr>
              <w:jc w:val="right"/>
              <w:ind w:right="350"/>
              <w:spacing w:after="0" w:line="18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4"/>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Telecom</w:t>
            </w:r>
          </w:p>
        </w:tc>
        <w:tc>
          <w:tcPr>
            <w:tcW w:w="2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6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4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0" w:type="dxa"/>
            <w:vAlign w:val="bottom"/>
          </w:tcPr>
          <w:p>
            <w:pPr>
              <w:spacing w:after="0"/>
              <w:rPr>
                <w:sz w:val="1"/>
                <w:szCs w:val="1"/>
                <w:color w:val="auto"/>
              </w:rPr>
            </w:pPr>
          </w:p>
        </w:tc>
      </w:tr>
      <w:tr>
        <w:trPr>
          <w:trHeight w:val="351"/>
        </w:trPr>
        <w:tc>
          <w:tcPr>
            <w:tcW w:w="3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180" w:type="dxa"/>
            <w:vAlign w:val="bottom"/>
          </w:tcPr>
          <w:p>
            <w:pPr>
              <w:spacing w:after="0"/>
              <w:rPr>
                <w:sz w:val="24"/>
                <w:szCs w:val="2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Media and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320" w:type="dxa"/>
            <w:vAlign w:val="bottom"/>
            <w:gridSpan w:val="3"/>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Education and</w:t>
            </w:r>
          </w:p>
        </w:tc>
        <w:tc>
          <w:tcPr>
            <w:tcW w:w="1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390"/>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Telecom</w:t>
            </w: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costs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expenses, net</w:t>
            </w: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segment items include costs related to subcontractors and consultants, allocated rent, IT expenses and other general costs.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3 for disaggregated revenue by geographic region.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LONG-TERM LOAN</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2021, the Company refinanced all amounts outstanding under the then-existing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 which subsequently has been amended according to the Company's needs and other developments.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entered into an amendment (the "Fourth Amendment") to the then-existing Credit Agreement to replace the London Interbank Offered Rate (“LIBOR”) with the Secured Overnight Financing Rate (“SOFR”) as the benchmark rate under the Credit Agreement. Prior to the Fourth Amendment,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Credit Agreement would bear interest, at the Company's election, at (a) the Eurodollar Rate (as defined in the Credit Agreement as in effect prior to the Fourth Amendment) plus a margin of 3.50% or (b) Alternative Base Rate (“ABR”) (as defined in the Credit Agreement) plus a margin of 2.50%.</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Company entered into a new amendment to the then-existing Credit Agreement (the “Fifth Amendment”), which provides for a new term loan facility in the aggregate principal amount of $35,000, while the commitments under the Revolving Credit Facility decreased to $25,000.</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an amendment to the then-existing Credit Agreement in connection with the Company’s repurchase programs, which updated the aggregate amount of permitted Restricted Payments (as defined in the Credit Agreement; which term includes, among others, repurchase of the Company’s outstanding common stock) and conditions for making such payments (see Note 15 for further information).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another amendment to the Credit Agreement, also in connection with the Company’s repurchase programs, which provided for, among other things, an increase to the aggregate amount of permitted Restricted Payments and updates to the conditions for making such payments.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effectiveness of the Fifth Amendment, borrowings under the Credit Facilities are subject to interest, determined as follows: (a) SOFR loans accrue interest at a rate per annum equal to Term SOFR (as defined in the Credit Agreement) plus 0.10% per annum plus a margin of 2.50% (the Adjusted Term SOFR (as defined in the Credit Agreement) is subject to a 1.00% floor), and (b) ABR loans accrue interest at a rate per annum equal to the ABR plus a margin of 1.50% (ABR is equal to the highest of (i) the prime rate and (ii) the Federal Funds Effective Rate plus 0.50%, subject to a 2.00% floor). As of March 31, 2025, the current rate of interest under the Credit Facilities was equal to a rate per annum of 6.90%, consisting of 4.30% (the 3-month SOFR rate as of March 27, 2025), 0.10% credit spread adjustment and the margin of 2.50%.</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Facility is payable in consecutive quarterly installments on the last day of each fiscal quarter in an amount equal to (i) $438 for installments payable on December 31, 2023 (deferred to January 9, 2024) through September 30, 2024, (ii) $656 for installments payable on December 31, 2024 through September 30, 2025, and (iii) $1,313 for installments payable on and after December 31, 2025. The remaining unpaid balance on the Term Loan Facility is due and payable on December 21, 2026, together with accrued and unpaid interest on the principal amount to be paid to, but excluding, the payment date. Amounts outstanding under the Credit Facilities may be voluntarily prepaid at any time and from time to time, in whole or in part, without premium or penalty.</w:t>
      </w:r>
    </w:p>
    <w:p>
      <w:pPr>
        <w:spacing w:after="0" w:line="1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Credit Facilities, the Company is obligated to maintain compliance with certain financial covenants as defined therein. As of March 31, 2025, the Company met these covenants.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principal annual maturities according to the Credit Facilities agreements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160" w:type="dxa"/>
            <w:vAlign w:val="bottom"/>
          </w:tcPr>
          <w:p>
            <w:pPr>
              <w:spacing w:after="0"/>
              <w:rPr>
                <w:sz w:val="20"/>
                <w:szCs w:val="20"/>
                <w:color w:val="auto"/>
              </w:rPr>
            </w:pPr>
          </w:p>
        </w:tc>
      </w:tr>
      <w:tr>
        <w:trPr>
          <w:trHeight w:val="250"/>
        </w:trPr>
        <w:tc>
          <w:tcPr>
            <w:tcW w:w="7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8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 (Remainder)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29,313</w:t>
            </w:r>
          </w:p>
        </w:tc>
      </w:tr>
      <w:tr>
        <w:trPr>
          <w:trHeight w:val="270"/>
        </w:trPr>
        <w:tc>
          <w:tcPr>
            <w:tcW w:w="7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86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31,937</w:t>
            </w:r>
          </w:p>
        </w:tc>
      </w:tr>
      <w:tr>
        <w:trPr>
          <w:trHeight w:val="21"/>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of the loans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STOCKHOLDERS' EQUITY AND EQUITY INCENTIVE PLANS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1, 2025, the number of shares of common stock authorized for issuance under the 2021 Incentive Award Plan (the “2021 Plan”) automatically increased by 7,602,857 shares pursuant to the terms of the 2021 Plan.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with respect to options granted under the 2021 Plan is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 remaining</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6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1"/>
                <w:szCs w:val="21"/>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Outstanding as of January 1, 2025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Granted</w:t>
            </w: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(693,151)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Outstanding as of March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14,375,313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Exercisable options at end of the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with respect to the 2021 Plan for the three months ended March 31, 2025:</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189"/>
        </w:trPr>
        <w:tc>
          <w:tcPr>
            <w:tcW w:w="1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9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RSUs</w:t>
            </w: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79"/>
        </w:trPr>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per Share</w:t>
            </w:r>
          </w:p>
        </w:tc>
      </w:tr>
      <w:tr>
        <w:trPr>
          <w:trHeight w:val="216"/>
        </w:trPr>
        <w:tc>
          <w:tcPr>
            <w:tcW w:w="1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w:t>
            </w:r>
          </w:p>
        </w:tc>
        <w:tc>
          <w:tcPr>
            <w:tcW w:w="424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20"/>
                <w:szCs w:val="20"/>
                <w:color w:val="auto"/>
                <w:shd w:val="clear" w:color="auto" w:fill="CCEEFF"/>
              </w:rPr>
              <w:t>January 1, 2025</w:t>
            </w:r>
          </w:p>
        </w:tc>
        <w:tc>
          <w:tcPr>
            <w:tcW w:w="18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12,331,745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w:t>
            </w:r>
          </w:p>
        </w:tc>
      </w:tr>
      <w:tr>
        <w:trPr>
          <w:trHeight w:val="250"/>
        </w:trPr>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RSUs granted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8,418,514</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1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RSUs vested</w:t>
            </w:r>
          </w:p>
        </w:tc>
        <w:tc>
          <w:tcPr>
            <w:tcW w:w="4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(2,112,442)</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w:t>
            </w:r>
          </w:p>
        </w:tc>
      </w:tr>
      <w:tr>
        <w:trPr>
          <w:trHeight w:val="256"/>
        </w:trPr>
        <w:tc>
          <w:tcPr>
            <w:tcW w:w="5580" w:type="dxa"/>
            <w:vAlign w:val="bottom"/>
            <w:tcBorders>
              <w:bottom w:val="single" w:sz="8" w:color="CCEEFF"/>
            </w:tcBorders>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RSUs forfeited </w:t>
            </w:r>
            <w:r>
              <w:rPr>
                <w:rFonts w:ascii="Times New Roman" w:cs="Times New Roman" w:eastAsia="Times New Roman" w:hAnsi="Times New Roman"/>
                <w:sz w:val="23"/>
                <w:szCs w:val="23"/>
                <w:color w:val="auto"/>
                <w:vertAlign w:val="superscript"/>
              </w:rPr>
              <w:t>(1)</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(1,734,972)</w:t>
            </w: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Unvested and Outstanding as of March 31, 2025</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16,902,845</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56"/>
        <w:spacing w:after="0" w:line="26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Company's Board of Directors approved the cash settlement of 1,661,000 RSUs for its officers based on the Company's closing stock price on March 19, 2025. These RSUs were vested upon achieving specific performance targets outlined in the 2024 Executive Compensation Plan. The total amount approved for cash settlement was $3,089.</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stock-based compensation expense by line item in the accompanying consolidated statement of operations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0"/>
        </w:trPr>
        <w:tc>
          <w:tcPr>
            <w:tcW w:w="6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6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6"/>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43"/>
        </w:trPr>
        <w:tc>
          <w:tcPr>
            <w:tcW w:w="6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1"/>
        </w:trPr>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there was $31,029 of total unrecognized compensation cost related to non-vested stock-based compensation arrangements granted under the Company's equity incentive plans. These costs are expected to be recognized over a weighted-average period of approximately two years.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the following common stock reserved for future issuance under the 2021 Plan:</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880" w:type="dxa"/>
            <w:vAlign w:val="bottom"/>
            <w:tcBorders>
              <w:bottom w:val="single" w:sz="8" w:color="CCEEFF"/>
            </w:tcBorders>
          </w:tcPr>
          <w:p>
            <w:pPr>
              <w:spacing w:after="0"/>
              <w:rPr>
                <w:sz w:val="20"/>
                <w:szCs w:val="20"/>
                <w:color w:val="auto"/>
              </w:rPr>
            </w:pPr>
          </w:p>
        </w:tc>
        <w:tc>
          <w:tcPr>
            <w:tcW w:w="348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14,375,313</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16,902,845</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under 2021 Plan</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6,035,813</w:t>
            </w:r>
          </w:p>
        </w:tc>
      </w:tr>
      <w:tr>
        <w:trPr>
          <w:trHeight w:val="250"/>
        </w:trPr>
        <w:tc>
          <w:tcPr>
            <w:tcW w:w="688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255"/>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37,313,971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2024, the Company’s Board of Directors authorized a stock repurchase program of the Company’s outstanding common stock (the “2024 Repurchase Program”), which provided for repurchases up to a total of $5,000 thereunder. Subsequently, in March 2025, the Board approved a new repurchase program (the “2025 Repurchase Program”), providing for repurchases up to a total of $15,000 thereunder, which superseded the 2024 Repurchase Program. Under the 2025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2025 Repurchase Program does not obligate the Company to repurchase any specific amount of common stock, has no time limit, and may be modified, suspended, or discontinued at any time without notice at the discretion of the Board of Directors.</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1,175,109 shares of common stock at a weighted average price of $1.94 per share (excluding broker and transaction fees of $35). As of March 31, 2025, the Company had remaining authorization under the 2025 Repurchase Program to repurchase common stock up to an aggregate amount of $14,073, subject to satisfying required conditions under the Companies Law and Companies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SELECTED STATEMENTS OF OPERATIONS DATA</w:t>
      </w: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0"/>
        </w:trPr>
        <w:tc>
          <w:tcPr>
            <w:tcW w:w="5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7"/>
        </w:trPr>
        <w:tc>
          <w:tcPr>
            <w:tcW w:w="58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expenses:</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5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4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3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fees</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7"/>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5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7"/>
        </w:trPr>
        <w:tc>
          <w:tcPr>
            <w:tcW w:w="58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57"/>
        </w:trPr>
        <w:tc>
          <w:tcPr>
            <w:tcW w:w="5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ACCUMULATED OTHER COMPREHENSIVE INCOME</w:t>
      </w:r>
    </w:p>
    <w:p>
      <w:pPr>
        <w:spacing w:after="0" w:line="23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income (loss) by component, net of tax ("AOCI"), during the three months ended March 31, 2025 and 2024:</w:t>
      </w:r>
    </w:p>
    <w:p>
      <w:pPr>
        <w:spacing w:after="0" w:line="12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Unrealized Gains on</w:t>
            </w:r>
          </w:p>
        </w:tc>
        <w:tc>
          <w:tcPr>
            <w:tcW w:w="120" w:type="dxa"/>
            <w:vAlign w:val="bottom"/>
          </w:tcPr>
          <w:p>
            <w:pPr>
              <w:spacing w:after="0"/>
              <w:rPr>
                <w:sz w:val="18"/>
                <w:szCs w:val="18"/>
                <w:color w:val="auto"/>
              </w:rPr>
            </w:pP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Unrealized Gains (Losses) on</w:t>
            </w: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0"/>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Available-for-Sale Securities</w:t>
            </w:r>
          </w:p>
        </w:tc>
        <w:tc>
          <w:tcPr>
            <w:tcW w:w="29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Derivatives Designated as Hedging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20"/>
                <w:szCs w:val="20"/>
                <w:color w:val="auto"/>
              </w:rPr>
            </w:pP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37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175"/>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175"/>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gains reclassified from accumulated</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KALTURA, INC. AND SUBSIDIARIES</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3740" w:type="dxa"/>
            <w:vAlign w:val="bottom"/>
          </w:tcPr>
          <w:p>
            <w:pPr>
              <w:spacing w:after="0"/>
              <w:rPr>
                <w:sz w:val="24"/>
                <w:szCs w:val="24"/>
                <w:color w:val="auto"/>
              </w:rPr>
            </w:pPr>
          </w:p>
        </w:tc>
        <w:tc>
          <w:tcPr>
            <w:tcW w:w="2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Net Unrealized Losses (Gains)</w:t>
            </w:r>
          </w:p>
        </w:tc>
        <w:tc>
          <w:tcPr>
            <w:tcW w:w="120" w:type="dxa"/>
            <w:vAlign w:val="bottom"/>
          </w:tcPr>
          <w:p>
            <w:pPr>
              <w:spacing w:after="0"/>
              <w:rPr>
                <w:sz w:val="24"/>
                <w:szCs w:val="24"/>
                <w:color w:val="auto"/>
              </w:rPr>
            </w:pP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Unrealized Gains (Losses) on</w:t>
            </w:r>
          </w:p>
        </w:tc>
        <w:tc>
          <w:tcPr>
            <w:tcW w:w="24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0"/>
        </w:trPr>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7"/>
              </w:rPr>
              <w:t>on Available-for-Sale</w:t>
            </w:r>
          </w:p>
        </w:tc>
        <w:tc>
          <w:tcPr>
            <w:tcW w:w="29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Derivatives Designated as Hedging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 Instruments</w:t>
            </w:r>
          </w:p>
        </w:tc>
        <w:tc>
          <w:tcPr>
            <w:tcW w:w="120" w:type="dxa"/>
            <w:vAlign w:val="bottom"/>
          </w:tcPr>
          <w:p>
            <w:pPr>
              <w:spacing w:after="0"/>
              <w:rPr>
                <w:sz w:val="20"/>
                <w:szCs w:val="20"/>
                <w:color w:val="auto"/>
              </w:rPr>
            </w:pP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37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40" w:type="dxa"/>
            <w:vAlign w:val="bottom"/>
          </w:tcPr>
          <w:p>
            <w:pPr>
              <w:spacing w:after="0"/>
              <w:rPr>
                <w:sz w:val="19"/>
                <w:szCs w:val="19"/>
                <w:color w:val="auto"/>
              </w:rPr>
            </w:pPr>
          </w:p>
        </w:tc>
        <w:tc>
          <w:tcPr>
            <w:tcW w:w="21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gains reclassified from accumulated</w:t>
            </w:r>
          </w:p>
        </w:tc>
        <w:tc>
          <w:tcPr>
            <w:tcW w:w="2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center"/>
              <w:ind w:left="169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center"/>
              <w:ind w:left="175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2024, filed with the SEC on February 20, 2025 (the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our 2024 10-K and elsewhere in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Kaltura, Inc. (“Kaltura,” “we,” “us,” or “our”), a market-leading provider of live, real-time, and on-demand video offerings for enterprises, with a mission to “create and power AI-infused hyper-personalized video experiences for organizations, that boost customer and employee engagement and success."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Founded in 2006, we pioneered the concept of leveraging video as a core data type within organizational workflows. Today, our Video Experience Cloud includes our platforms for Enterprise Video Content Management System (including Real-Time Conferencing, Live Streaming and Lecture Capture) and TV Content Management System ("TVCMS"). These platforms power our AI-infused, video-first products: Video Portals, LMS &amp; CMS Video Extensions, Virtual Events &amp; Webinars, Virtual Classroom, and TV Streaming Applications.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video usage continues to accelerate across communication, work, and learning environments, organizations are increasingly deploying sophisticated video solutions to further engage with their customers, partners, and employees. The introduction of generative AI (“Gen AI”) further amplifies this demand and is expected to have a substantial impact on our business by enabling the automatic production of hyper-personalized and contextually relevant video experiences in real time. We believe this powerful new tool will expand opportunities for increased video creation, consumption, and monetization, and drives a need for advanced video content management solutions.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the sale of Software-as-a-Service (“SaaS”) subscriptions, and we also derive revenue from platform usage license subscriptions and associated professional services. Our sales typically target medium to large enterprises, educational institutions, technology providers, and media and telecom companies. Our professional services revenue is generally driven by implementation and support services for new and existing customers.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organize our business into two reporting segments: (i) Enterprise, Education, and Technology (“EE&amp;T”); and (ii) Media and Telecom (“M&amp;T”). Accordingly, our financial reporting distinguishes between revenue and gross profit from Subscription and Professional Services from customers who use our products and services to address Entertainment &amp; Monetization use cases, reported in our M&amp;T segment, and those that are attained from customers who are using us to address all other use cases, reported in our “EE&amp;T segment”. These segments share a common underlying platform consisting of our API-based architecture, as well as unified product development, operations, and administrative resources.</w:t>
      </w:r>
    </w:p>
    <w:p>
      <w:pPr>
        <w:spacing w:after="0" w:line="102" w:lineRule="exact"/>
        <w:rPr>
          <w:sz w:val="20"/>
          <w:szCs w:val="20"/>
          <w:color w:val="auto"/>
        </w:rPr>
      </w:pPr>
    </w:p>
    <w:p>
      <w:pPr>
        <w:jc w:val="both"/>
        <w:ind w:left="660" w:hanging="328"/>
        <w:spacing w:after="0" w:line="231" w:lineRule="exact"/>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Enterprise, Education &amp; Technology</w:t>
      </w:r>
      <w:r>
        <w:rPr>
          <w:rFonts w:ascii="Times New Roman" w:cs="Times New Roman" w:eastAsia="Times New Roman" w:hAnsi="Times New Roman"/>
          <w:sz w:val="18"/>
          <w:szCs w:val="18"/>
          <w:color w:val="auto"/>
        </w:rPr>
        <w:t>: In the EE&amp;T segment, subscription revenue is primarily generated on a per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basis for all of our products, in addition to revenue derived from associated professional services. This segment encompasses customers utilizing Kaltura’s solutions across Customer Experience and Employee Experience and use cases-including Marketing, Sales &amp; Customer Success; Teaching, Learning, Training &amp; Certification; and Communication &amp; Collaboration. Contracts in this segment typically range from 12 to 24 months, with billing generally executed on an annual basis.</w:t>
      </w:r>
    </w:p>
    <w:p>
      <w:pPr>
        <w:spacing w:after="0" w:line="141" w:lineRule="exact"/>
        <w:rPr>
          <w:rFonts w:ascii="Arial" w:cs="Arial" w:eastAsia="Arial" w:hAnsi="Arial"/>
          <w:sz w:val="20"/>
          <w:szCs w:val="20"/>
          <w:color w:val="auto"/>
        </w:rPr>
      </w:pPr>
    </w:p>
    <w:p>
      <w:pPr>
        <w:jc w:val="both"/>
        <w:ind w:left="660" w:hanging="328"/>
        <w:spacing w:after="0" w:line="232"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&amp; Telecom</w:t>
      </w:r>
      <w:r>
        <w:rPr>
          <w:rFonts w:ascii="Times New Roman" w:cs="Times New Roman" w:eastAsia="Times New Roman" w:hAnsi="Times New Roman"/>
          <w:sz w:val="18"/>
          <w:szCs w:val="18"/>
          <w:color w:val="auto"/>
        </w:rPr>
        <w:t>: The M&amp;T segment includes revenue from our Entertainment &amp; Monetization use cases, along with the associated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customers of our telecom TVCMS and TV Streaming Applications, revenue is recognized primarily on a per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subscriber basis, while media customers leveraging our Online Video Platform are billed on a platform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Contracts in this segment generally extend for two to five years, with billing performed on either a quarterly or annual basis. Implementation of TV offerings typically requires six to 12 months, with upfront resource requirements generally higher than those for our other offerings. Consequently, there is an extended period from initial booking to go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 accompanied by a higher proportion of professional services revenue relative to overall revenue. Additionally, a greater share of revenue in this segment is derived from customers licensing our offerings through private cloud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 deployments, which has an impact on our gross margin.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Reflected below is a summary of reportable segment revenue and reportable segment gross profit for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45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4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Borders>
              <w:bottom w:val="single" w:sz="8" w:color="auto"/>
            </w:tcBorders>
          </w:tcPr>
          <w:p>
            <w:pPr>
              <w:spacing w:after="0"/>
              <w:rPr>
                <w:sz w:val="19"/>
                <w:szCs w:val="19"/>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80" w:type="dxa"/>
            <w:vAlign w:val="bottom"/>
          </w:tcPr>
          <w:p>
            <w:pPr>
              <w:spacing w:after="0"/>
              <w:rPr>
                <w:sz w:val="19"/>
                <w:szCs w:val="19"/>
                <w:color w:val="auto"/>
              </w:rPr>
            </w:pPr>
          </w:p>
        </w:tc>
        <w:tc>
          <w:tcPr>
            <w:tcW w:w="17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w:t>
            </w:r>
          </w:p>
        </w:tc>
        <w:tc>
          <w:tcPr>
            <w:tcW w:w="18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80" w:type="dxa"/>
            <w:vAlign w:val="bottom"/>
          </w:tcPr>
          <w:p>
            <w:pPr>
              <w:spacing w:after="0"/>
              <w:rPr>
                <w:sz w:val="19"/>
                <w:szCs w:val="19"/>
                <w:color w:val="auto"/>
              </w:rPr>
            </w:pPr>
          </w:p>
        </w:tc>
        <w:tc>
          <w:tcPr>
            <w:tcW w:w="17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18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w:t>
            </w: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w:t>
            </w:r>
          </w:p>
        </w:tc>
        <w:tc>
          <w:tcPr>
            <w:tcW w:w="18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80" w:type="dxa"/>
            <w:vAlign w:val="bottom"/>
          </w:tcPr>
          <w:p>
            <w:pPr>
              <w:spacing w:after="0"/>
              <w:rPr>
                <w:sz w:val="19"/>
                <w:szCs w:val="19"/>
                <w:color w:val="auto"/>
              </w:rPr>
            </w:pPr>
          </w:p>
        </w:tc>
        <w:tc>
          <w:tcPr>
            <w:tcW w:w="17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28,608</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employ a "land and expand strategy" with the aim of having our customers increase their usage of our offerings and/or purchase additional offerings over time. For the three months ended March 31, 2025 and 2024, our Net Dollar Retention Rate was 107% and 98%, respectively. We grew our Annualized Recurring Revenue (as defined below), by 7% in the three months ended March 31, 2025, compared to the three months ended March 31, 2024, demonstrating our ability to land new customers with higher spending levels and increase revenue from our existing customers.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any given year, a large majority of our revenue comes from existing customers, with whom we are in active dialogue and tend to have visibility into their expected usage of our offerings.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go-to-market strategy, we focus on direct sales to larger enterprise, education, and media &amp; telecom customers while also investing in channel partnerships, and in 'inside sales' for smaller customers. We believe ongoing demand for secure, scalable, and deeply integrated video solutions —further amplified by the rise of Gen AI—positions us for future growth. Our strategy remains centered on broadening our product suite, expanding our customer base across industries, and increasing recurring revenue from existing clients.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Platform</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our platform is ideally suited for expansion across solutions, industries, and use cases. For example, in 2020, we entered the real-time conferencing market with the introduction of our Virtual and Hybrid Events, Webinars, and Online Learning products, focusing on learning, training, events, and marketing. Since then, we expanded the capabilities of our Virtual &amp; Hybrid Events product to support a broader range of event types and use cases, fitted them to also address low-touch and self-serve sales and introduced a set of Gen AI-powered capabilities designed to increase productivity in creating content and setting up events and to foster user engagement. We plan to continue enhancing our platform’s capabilities—including by further integrating Gen AI features that enable automatic video creation, advanced personalization, and real-time analytics. Our robust API-first architecture supports deep integration into multiple workflows, which we believe is critical for driving adoption and delivering enhanced value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remain focused on acquiring customers across our key verticals (technology, education, regulated industries, professional and commercial services, and media &amp; telecom). Our approach includes direct enterprise sales for larger customers, as well as channel partnerships and more self-serve or inside sales–led motions to capture small and medium enterprises (“SMEs”). We believe that increasing brand awareness and continued product innovation will help us attract new customers across geographies and industries. We also continue to provide our self-serve offering that can be purchased completely online, which serves as a demand generation engine for our low-touch and enterprise offerings. We believe this will enable us to efficiently acquire smaller customers across all industries over time–expanding beyond enterprises into SMEs,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Revenue from Existing Customers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customers run multiple Kaltura products for various use cases, ranging from employee training and collaboration to external marketing and virtual events. By cross-selling and upselling additional solutions—such as our newly introduced Gen AI-powered capabilities and expanded application suites—we aim to drive higher usage and expand overall revenue. Sustained customer adoption and usage growth are also supported by strong integration, ongoing support, and a commitment to evolving security and compliance requirements. We are focused on increasing sales within our existing customer base through increased usage of our platform and the cross-selling of additional products and solutions. For the three months ended March 31, 2025, our Net Dollar Retention Rate was 107%. In order for us to increase revenue within our customer base, we will need to maintain engineering-level customer support and continue to introduce new products and features as well as innovative new use cases that are tailored to our customers' needs.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Growth</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have invested significantly in our business to date, we believe that we still have a significant market opportunity ahead of us. We intend to continue to make investments to support the growth and expansion of our business and to increase revenue. We believe there is a significant opportunity to continue our growth. We expect that our cost of revenue and operating expenses will fluctuate.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and Operating Metrics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640" w:type="dxa"/>
            <w:vAlign w:val="bottom"/>
          </w:tcPr>
          <w:p>
            <w:pPr>
              <w:spacing w:after="0"/>
              <w:rPr>
                <w:sz w:val="21"/>
                <w:szCs w:val="21"/>
                <w:color w:val="auto"/>
              </w:rPr>
            </w:pPr>
          </w:p>
        </w:tc>
        <w:tc>
          <w:tcPr>
            <w:tcW w:w="3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56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19"/>
                <w:szCs w:val="19"/>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Recurring Revenue</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174,842</w:t>
            </w:r>
          </w:p>
        </w:tc>
        <w:tc>
          <w:tcPr>
            <w:tcW w:w="12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162,713</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Dollar Retention Rate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9"/>
              </w:rPr>
              <w:t>184,860</w:t>
            </w:r>
          </w:p>
        </w:tc>
        <w:tc>
          <w:tcPr>
            <w:tcW w:w="12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165,224</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On-Prem components for which revenue recognition is not ratable across the license term, we calculate ARR for each contract by dividing the total contract value (excluding professional services) as of the last day of the specified period by the number of days in the contract term and then multiplying by 365.</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Recurring revenue excludes revenue from one-time professional services and setup fees. ARR is not adjusted for the impact of any known or projected future customer cancellations, upgrades or downgrades, or price increases or decreases.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foreign exchange rate fluctuations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Dollar Retention Rate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Dollar Retention Rate, which we use to measure our success in retaining and growing recurring revenue from our existing customers, compares our recognized recurring revenue from a set of 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For annual periods, we report Net Dollar Retention Rate as the arithmetic average of the Net Dollar Retention Rate for all fiscal quarters included in the period.</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calculating the Net Dollar Retention Rate, we consider subdivisions of the same legal entity (such as divisions of a parent company or separate campuses within the same state university system) as a single customer. This also includes Value-add Resellers, which are resellers that directly manage customer relationships, along with the customers they oversee.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March 31, 2025, our Remaining Performance Obligations was $184.9 million, which consists of both billed consideration in the amount of $53.9 million and unbilled consideration in the amount of $130.9 million that we expect to invoice and recognize in future periods. We expect to recognize 59% of our Remaining Performance Obligations as revenue over the next 12 months and the remainder over the next four years, in each case, in accordance with our revenue recognition policy.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EBITDA and Adjusted EBITDA, non-GAAP financial measures, are useful in evaluating the performance of our business.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EBITDA as net profit (loss) before interest expense, net, provision for income taxes and depreciation and amortization expenses. Adjusted EBITDA is defined as EBITDA (as defined above), adjusted for the impact of certain non-cash and other items that we believe are not indicative of our core operating performance, such as non-cash stock-based compensation expenses and war-related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supplemental measures of our performance, are not defined by or presented in accordance with GAAP, and should not be considered in isolation or as an alternative to net profit (loss) or any other performance measure prepared in accordance with GAAP.</w:t>
      </w:r>
    </w:p>
    <w:p>
      <w:pPr>
        <w:spacing w:after="0" w:line="10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EBITDA and Adjusted EBITDA are presented because we believe that they provide useful supplemental information to investors and analysts regarding our operating performance and are frequently used by these parties in evaluating companies in our industry. By presenting EBITDA and Adjusted EBITDA,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as a supplemental measure of our performance because it assists us in comparing the operating performance of our business on a consistent basis between periods, as described above.</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use EBITDA and Adjusted EBITDA, as described above, EBITDA and Adjusted EBITDA, have significant limitations as analytical tools. Some of these limitations include:</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cash expenditures, or future requirements for capital expenditures or contractual commitments;</w:t>
      </w:r>
    </w:p>
    <w:p>
      <w:pPr>
        <w:spacing w:after="0" w:line="171" w:lineRule="exact"/>
        <w:rPr>
          <w:sz w:val="20"/>
          <w:szCs w:val="20"/>
          <w:color w:val="auto"/>
        </w:rPr>
      </w:pPr>
    </w:p>
    <w:p>
      <w:pPr>
        <w:ind w:left="340"/>
        <w:spacing w:after="0"/>
        <w:tabs>
          <w:tab w:leader="none" w:pos="640" w:val="left"/>
          <w:tab w:leader="none" w:pos="2120" w:val="left"/>
        </w:tabs>
        <w:rPr>
          <w:sz w:val="20"/>
          <w:szCs w:val="20"/>
          <w:color w:val="auto"/>
        </w:rPr>
      </w:pPr>
      <w:r>
        <w:rPr>
          <w:rFonts w:ascii="Times New Roman" w:cs="Times New Roman" w:eastAsia="Times New Roman" w:hAnsi="Times New Roman"/>
          <w:sz w:val="18"/>
          <w:szCs w:val="18"/>
          <w:color w:val="auto"/>
        </w:rPr>
        <w:t>•</w:t>
        <w:tab/>
        <w:t>such measures do</w:t>
      </w:r>
      <w:r>
        <w:rPr>
          <w:sz w:val="20"/>
          <w:szCs w:val="20"/>
          <w:color w:val="auto"/>
        </w:rPr>
        <w:tab/>
      </w:r>
      <w:r>
        <w:rPr>
          <w:rFonts w:ascii="Times New Roman" w:cs="Times New Roman" w:eastAsia="Times New Roman" w:hAnsi="Times New Roman"/>
          <w:sz w:val="17"/>
          <w:szCs w:val="17"/>
          <w:color w:val="auto"/>
        </w:rPr>
        <w:t>not reflect changes in, or cash requirements for, our working capital needs;</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the interest expense, or the cash requirements necessary to service interest or principal payments on our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tax expense or the cash requirements to pay our taxes;</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thereby further limiting their usefulness as comparative measures.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these limitations, EBITDA and Adjusted EBITDA should not be considered as measures of discretionary cash available to us to invest in the growth of our business. We compensate for these limitations by relying primarily on our GAAP results and using these non-GAAP measures only supplementally. Adjusted EBITDA includes an adjustment for non-cash stock-based compensation expenses.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above help to provide management with a measure of our core operating performance over time by removing items that are not related to day-to-day operations. Nevertheless, because of the limitations described above, management does not view EBITDA, or Adjusted EBITDA in isolation and also uses other measures, such as revenue, operating loss, and net loss, to measure operating performance.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financial performance measure, which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4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Borders>
              <w:bottom w:val="single" w:sz="8" w:color="auto"/>
            </w:tcBorders>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29"/>
        </w:trPr>
        <w:tc>
          <w:tcPr>
            <w:tcW w:w="6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Financial expense (income), net </w:t>
            </w:r>
            <w:r>
              <w:rPr>
                <w:rFonts w:ascii="Times New Roman" w:cs="Times New Roman" w:eastAsia="Times New Roman" w:hAnsi="Times New Roman"/>
                <w:sz w:val="23"/>
                <w:szCs w:val="23"/>
                <w:color w:val="auto"/>
                <w:vertAlign w:val="superscript"/>
              </w:rPr>
              <w:t>(a)</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29"/>
        </w:trPr>
        <w:tc>
          <w:tcPr>
            <w:tcW w:w="6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 related costs </w:t>
            </w:r>
            <w:r>
              <w:rPr>
                <w:rFonts w:ascii="Times New Roman" w:cs="Times New Roman" w:eastAsia="Times New Roman" w:hAnsi="Times New Roman"/>
                <w:sz w:val="23"/>
                <w:szCs w:val="23"/>
                <w:color w:val="auto"/>
                <w:vertAlign w:val="superscript"/>
              </w:rPr>
              <w:t>(b)</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
        </w:trPr>
        <w:tc>
          <w:tcPr>
            <w:tcW w:w="6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820" w:right="40" w:hanging="488"/>
        <w:spacing w:after="0" w:line="282" w:lineRule="auto"/>
        <w:tabs>
          <w:tab w:leader="none" w:pos="8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2025 and 2024 included $609 and $704 respectively, of interest expenses and $896 and $818 respectively, of interest income.</w:t>
      </w:r>
    </w:p>
    <w:p>
      <w:pPr>
        <w:spacing w:after="0" w:line="188" w:lineRule="exact"/>
        <w:rPr>
          <w:rFonts w:ascii="Times New Roman" w:cs="Times New Roman" w:eastAsia="Times New Roman" w:hAnsi="Times New Roman"/>
          <w:sz w:val="18"/>
          <w:szCs w:val="18"/>
          <w:color w:val="auto"/>
        </w:rPr>
      </w:pPr>
    </w:p>
    <w:p>
      <w:pPr>
        <w:ind w:left="820" w:right="80" w:hanging="488"/>
        <w:spacing w:after="0" w:line="266" w:lineRule="auto"/>
        <w:tabs>
          <w:tab w:leader="none" w:pos="8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2024 included costs related to conflicts in Israel, attributable to temporary relocation of key employees from Israel for business continuity purposes, purchase of emergency equipment for key employees for business continuity purposes, and charitable donations to communities directly impacted by the war.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Subscription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term license to On-Prem software.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(“PCS”) included in On-Prem deals is recognized ratably over the period of the PCS.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of the service.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subscription revenue consists primarily of employee-related costs including payroll, benefits and stock-based compensation expense for operations and customer support teams, costs of cloud hosting providers and other third-party service providers, amortization of capitalized software development costs and acquired technology and allocated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professional services consists primarily of personnel costs of our professional services organization, including payroll, benefits, and stock-based compensation expense, allocated overhead costs and other third-party service providers.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 decreased in absolute dollars from the three months ended March 31, 2024 to the three months ended March 31, 2025. For the three months ended March 31, 2025 and 2024, our cost of revenue was $14,248 and $16,173, respectively.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have improved year-over-year since 2020, and while this measure has and will continue to vacillate between quarters, we expect it to continue the growth trend in the coming years. Gross margins have been, and will continue to be, affected by a variety of factors, including the average sales price of our products and services, volume growth, the mix of revenue between software licenses, maintenance and support, professional services, onboarding of new media and telecom customers, hosting of major virtual events, and changes in cloud infrastructure and personnel costs. In particular, the gross margins in the M&amp;T segment are lower than in the EE&amp;T segment because of resources required for implementing solutions for TV experiences, which generally exceed those of other offerings. This results in a longer period for M&amp;T from initial booking to go-live and a higher proportion of professional services revenue as a percentage of overall revenue. Additionally, a higher proportion of M&amp;T revenue comes from customers who choose to license our offerings through private cloud and on-premise deployments, which also impacts our M&amp;T gross margin. Going forward, we expect to see a gradual improvement in gross margins for both EE&amp;T and M&amp;T, driven by enhanced efficiencies in both production and professional services costs.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our gross margins were 70% (77% for subscriptions and (81)% for professional services) and 64% (72% for subscriptions and (32)% for professional services), respectively.</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our EE&amp;T segment, gross margins for the three months ended March 31, 2025 and 2024 were 77% (83% for subscriptions and (163)% for professional services) and 73% (79% for subscriptions and (35)% for professional services), respectively.</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our M&amp;T segment, gross margins for the three months ended March 31, 2025 and 2024 were 49% (58% for subscriptions and (29)% for professional services) and 41% (53% for subscriptions and (29)% for professional services), respectively.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and software subscriptions. We expect our research and development expenses to gradually decrease as a percentage of revenue.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consist primarily of personnel related costs for our sales and marketing functions, including salaries and other direct personnel-related costs, such as sales commissions.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expenses include marketing program costs and amortization of acquired customer relationships intangible assets. We expect our sales and marketing expenses to be relatively stable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costs for our executive, finance, human resources, information technology, and legal functions, including salaries and other direct personnel-related costs. We expect our general and administrative expenses to gradually decrease as a percentage of revenue.</w:t>
      </w:r>
    </w:p>
    <w:p>
      <w:pPr>
        <w:spacing w:after="0" w:line="122" w:lineRule="exact"/>
        <w:rPr>
          <w:sz w:val="20"/>
          <w:szCs w:val="20"/>
          <w:color w:val="auto"/>
        </w:rPr>
      </w:pPr>
    </w:p>
    <w:p>
      <w:pPr>
        <w:ind w:left="660" w:right="140"/>
        <w:spacing w:after="0" w:line="406" w:lineRule="auto"/>
        <w:rPr>
          <w:sz w:val="20"/>
          <w:szCs w:val="20"/>
          <w:color w:val="auto"/>
        </w:rPr>
      </w:pPr>
      <w:r>
        <w:rPr>
          <w:rFonts w:ascii="Times New Roman" w:cs="Times New Roman" w:eastAsia="Times New Roman" w:hAnsi="Times New Roman"/>
          <w:sz w:val="18"/>
          <w:szCs w:val="18"/>
          <w:color w:val="auto"/>
        </w:rPr>
        <w:t xml:space="preserve">We allocate overhead costs such as rent, utilities, and supplies to all departments based on relative headcount to each operating expense category. </w:t>
      </w:r>
      <w:r>
        <w:rPr>
          <w:rFonts w:ascii="Times New Roman" w:cs="Times New Roman" w:eastAsia="Times New Roman" w:hAnsi="Times New Roman"/>
          <w:sz w:val="18"/>
          <w:szCs w:val="18"/>
          <w:b w:val="1"/>
          <w:bCs w:val="1"/>
          <w:i w:val="1"/>
          <w:iCs w:val="1"/>
          <w:color w:val="auto"/>
        </w:rPr>
        <w:t>Financial Expenses (Income), Net</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expenses (income), net consists of interest expense accrued or paid on our indebtedness, net of interest income earned on our cash balances and marketable securities. Financial expenses (income), net also includes foreign exchange gains and losses and bank fees.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interest expenses to vary each reporting period depending on the amount of outstanding indebtedness and prevailing interest rates.</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interest income will vary in each reporting period depending on our average cash and marketable securities balances during the period and applicable interest rates.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presented. The period-to-period comparisons of our historical results are not necessarily indicative of the results that may be expected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2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23"/>
        </w:trPr>
        <w:tc>
          <w:tcPr>
            <w:tcW w:w="3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5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3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560" w:type="dxa"/>
            <w:vAlign w:val="bottom"/>
            <w:tcBorders>
              <w:bottom w:val="single" w:sz="8" w:color="auto"/>
            </w:tcBorders>
          </w:tcPr>
          <w:p>
            <w:pPr>
              <w:spacing w:after="0"/>
              <w:rPr>
                <w:sz w:val="19"/>
                <w:szCs w:val="19"/>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manage and report operating results through two reportable segments:</w:t>
      </w:r>
    </w:p>
    <w:p>
      <w:pPr>
        <w:spacing w:after="0" w:line="181" w:lineRule="exact"/>
        <w:rPr>
          <w:sz w:val="20"/>
          <w:szCs w:val="20"/>
          <w:color w:val="auto"/>
        </w:rPr>
      </w:pPr>
    </w:p>
    <w:p>
      <w:pPr>
        <w:jc w:val="both"/>
        <w:ind w:left="660" w:right="20" w:hanging="328"/>
        <w:spacing w:after="0" w:line="254" w:lineRule="auto"/>
        <w:tabs>
          <w:tab w:leader="none" w:pos="648"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b w:val="1"/>
          <w:bCs w:val="1"/>
          <w:color w:val="auto"/>
        </w:rPr>
        <w:t xml:space="preserve">Enterprise, Education &amp; Technology </w:t>
      </w:r>
      <w:r>
        <w:rPr>
          <w:rFonts w:ascii="Times New Roman" w:cs="Times New Roman" w:eastAsia="Times New Roman" w:hAnsi="Times New Roman"/>
          <w:sz w:val="18"/>
          <w:szCs w:val="18"/>
          <w:color w:val="auto"/>
        </w:rPr>
        <w:t>(73% and 72% of revenue for the three months ended March 31, 2025 and 2024, respectively): Our EE&amp;T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represents revenues from all of our products, industry solutions for education customers, and Media Services (except for M&amp;T customers), as well as associated professional services for those offerings.</w:t>
      </w:r>
    </w:p>
    <w:p>
      <w:pPr>
        <w:spacing w:after="0" w:line="141" w:lineRule="exact"/>
        <w:rPr>
          <w:rFonts w:ascii="Times New Roman" w:cs="Times New Roman" w:eastAsia="Times New Roman" w:hAnsi="Times New Roman"/>
          <w:sz w:val="20"/>
          <w:szCs w:val="20"/>
          <w:b w:val="1"/>
          <w:bCs w:val="1"/>
          <w:i w:val="1"/>
          <w:iCs w:val="1"/>
          <w:color w:val="auto"/>
        </w:rPr>
      </w:pPr>
    </w:p>
    <w:p>
      <w:pPr>
        <w:ind w:left="660" w:hanging="328"/>
        <w:spacing w:after="0" w:line="275" w:lineRule="auto"/>
        <w:tabs>
          <w:tab w:leader="none" w:pos="648" w:val="left"/>
        </w:tabs>
        <w:numPr>
          <w:ilvl w:val="0"/>
          <w:numId w:val="1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b w:val="1"/>
          <w:bCs w:val="1"/>
          <w:color w:val="auto"/>
        </w:rPr>
        <w:t xml:space="preserve">Media &amp; Telecom </w:t>
      </w:r>
      <w:r>
        <w:rPr>
          <w:rFonts w:ascii="Times New Roman" w:cs="Times New Roman" w:eastAsia="Times New Roman" w:hAnsi="Times New Roman"/>
          <w:sz w:val="18"/>
          <w:szCs w:val="18"/>
          <w:color w:val="auto"/>
        </w:rPr>
        <w:t>(27% and 28% of revenue for the three months ended March 31, 2025 and 2024, respectively): Our M&amp;T segment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revenues from our TV Solution and Media Services sold to media and telecom customers.</w:t>
      </w:r>
    </w:p>
    <w:p>
      <w:pPr>
        <w:spacing w:after="0" w:line="106" w:lineRule="exact"/>
        <w:rPr>
          <w:rFonts w:ascii="Times New Roman" w:cs="Times New Roman" w:eastAsia="Times New Roman" w:hAnsi="Times New Roman"/>
          <w:sz w:val="20"/>
          <w:szCs w:val="20"/>
          <w:b w:val="1"/>
          <w:bCs w:val="1"/>
          <w:i w:val="1"/>
          <w:iCs w:val="1"/>
          <w:color w:val="auto"/>
        </w:rPr>
      </w:pPr>
    </w:p>
    <w:p>
      <w:pPr>
        <w:ind w:left="660" w:right="5760"/>
        <w:spacing w:after="0" w:line="378"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b w:val="1"/>
          <w:bCs w:val="1"/>
          <w:i w:val="1"/>
          <w:iCs w:val="1"/>
          <w:color w:val="auto"/>
        </w:rPr>
        <w:t>Comparison of the three months ended March 31, 2025 and 2024 Enterprise, Education &amp; Technology</w:t>
      </w:r>
    </w:p>
    <w:p>
      <w:pPr>
        <w:ind w:left="66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The following table presents our EE&amp;T segment revenue and gross profit (loss)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56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 revenue: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33,607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2,952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809</w:t>
            </w: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(976)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Enterprise, Education &amp; Technology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34,416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1,976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Enterprise, Education &amp; Technology gross profit: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27,888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3,703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Professional services gross loss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(691)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Enterprise, Education &amp; Technology 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26,568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Enterprise, Education &amp; Technology Revenue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EE&amp;T revenue increased by $2.0 million, or 6%, to $34.4 million for the three months ended March 31, 2025, from $32.4 million for the three months ended March 31, 2024. This increase was due to a $1.2 million increase in revenue from new customers, and $0.8 million increase in revenue from existing customers.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EE&amp;T subscription revenue increased by $3.0 million, or 10%, to $33.6 million for the three months ended March 31, 2025, from $30.7 million for the three months ended March 31, 2024.</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EE&amp;T professional services revenue decreased by $1.0 million, or 55%, to $0.8 million for the three months ended March 31, 2025, from $1.8 million for the three months ended March 31, 2024. The decrease in professional services revenue mainly reflects the transition of certain development projects to ongoing support and maintenance, now recognized as subscription revenue.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Enterprise, Education &amp; Technology Gross Profit</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EE&amp;T gross profit increased by $3.0 million, or 13%, to $26.6 million for the three months ended March 31, 2025, from $23.6 million for the three months ended March 31, 2024. This increase was mainly due to a $2.0 million increase in revenue and reduction in production costs, which is a result of improved efficiency.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EE&amp;T subscription gross profit increased by $3.7 million, or 15%, to $27.9 million for the three months ended March 31, 2025, from $24.2 million for the three months ended March 31, 2024.</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EE&amp;T professional services gross loss increased by $0.7 million, or 110%, to $1.3 million for the three months ended March 31, 2025, from $0.6 million for the three months ended March 31, 2024.</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Media &amp; Telecom</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M&amp;T segment revenue and gross profit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68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2"/>
                <w:szCs w:val="12"/>
                <w:color w:val="auto"/>
              </w:rPr>
            </w:pPr>
          </w:p>
        </w:tc>
        <w:tc>
          <w:tcPr>
            <w:tcW w:w="2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6"/>
              </w:rPr>
              <w:t>Percentage</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&amp; Telecom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services revenue</w:t>
            </w: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&amp; Telecom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Media &amp; Telecom gross profit: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Professional services gross loss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Media &amp; Telecom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Media &amp; Telecom Revenue</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M&amp;T revenue increased by $0.2 million, or 2%, to $12.6 million for the three months ended March 31, 2025, from $12.3 million for the three months ended March 31, 2024. The increase is mainly attributable to a revenue increase from existing customers.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M&amp;T subscription revenue increased by $0.8 million, or 7%, to $11.3 million for the three months ended March 31, 2025, from $10.5 million for the three months ended March 31, 2024.</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M&amp;T professional services revenue decreased by $0.6 million, or 31%, to $1.3 million for the three months ended March 31, 2025, from $1.8 million for the three months ended March 31, 2024.</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Media &amp; Telecom Gross Profit</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M&amp;T gross profit increased by $1.1 million, or 22%, to $6.2 million for the three months ended March 31, 2025, from $5.1 million for the three months ended March 31, 2024. This increase was mainly due to revenue increase of $0.2 million and ongoing efforts to optimize cost structure.</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M&amp;T subscription gross profit increased by $0.9 million, or 17%, to $6.5 million for the three months ended March 31, 2025, from $5.6 million for the three months ended March 31, 2024.</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M&amp;T professional services gross loss decreased by $0.2 million, or 32%, to $0.4 million for the three months ended March 31, 2025, from $0.5 million for the three months ended March 31, 2024.</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240" w:type="dxa"/>
            <w:vAlign w:val="bottom"/>
          </w:tcPr>
          <w:p>
            <w:pPr>
              <w:spacing w:after="0"/>
              <w:rPr>
                <w:sz w:val="24"/>
                <w:szCs w:val="24"/>
                <w:color w:val="auto"/>
              </w:rPr>
            </w:pPr>
          </w:p>
        </w:tc>
        <w:tc>
          <w:tcPr>
            <w:tcW w:w="258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Subcontractors and consultants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 related</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slightly increased by $0.1 million, or 1%, to $12.1 million for the three months ended March 31, 2025, from $12.0 million for the three months ended March 31,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71"/>
        </w:trPr>
        <w:tc>
          <w:tcPr>
            <w:tcW w:w="4300" w:type="dxa"/>
            <w:vAlign w:val="bottom"/>
          </w:tcPr>
          <w:p>
            <w:pPr>
              <w:spacing w:after="0"/>
              <w:rPr>
                <w:sz w:val="24"/>
                <w:szCs w:val="24"/>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4"/>
                <w:szCs w:val="24"/>
                <w:color w:val="auto"/>
              </w:rPr>
            </w:pPr>
          </w:p>
        </w:tc>
        <w:tc>
          <w:tcPr>
            <w:tcW w:w="2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r>
      <w:tr>
        <w:trPr>
          <w:trHeight w:val="230"/>
        </w:trPr>
        <w:tc>
          <w:tcPr>
            <w:tcW w:w="4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80" w:type="dxa"/>
            <w:vAlign w:val="bottom"/>
          </w:tcPr>
          <w:p>
            <w:pPr>
              <w:spacing w:after="0"/>
              <w:rPr>
                <w:sz w:val="19"/>
                <w:szCs w:val="19"/>
                <w:color w:val="auto"/>
              </w:rPr>
            </w:pPr>
          </w:p>
        </w:tc>
      </w:tr>
      <w:tr>
        <w:trPr>
          <w:trHeight w:val="23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 &amp; commission</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expenses</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6"/>
        </w:trPr>
        <w:tc>
          <w:tcPr>
            <w:tcW w:w="4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242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sales and marketing expenses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315" w:lineRule="exact"/>
        <w:rPr>
          <w:sz w:val="20"/>
          <w:szCs w:val="20"/>
          <w:color w:val="auto"/>
        </w:rPr>
      </w:pPr>
    </w:p>
    <w:p>
      <w:pPr>
        <w:jc w:val="both"/>
        <w:ind w:right="20" w:firstLine="492"/>
        <w:spacing w:after="0" w:line="292"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7"/>
          <w:szCs w:val="17"/>
          <w:color w:val="auto"/>
        </w:rPr>
        <w:t>ales and marketing expenses slightly increased by $0.1 million, or 1%, to $11.9 million for the three months ended March 31, 2025, from $11.8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million for the three months ended March 31, 2024.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spacing w:after="0" w:line="34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240" w:type="dxa"/>
            <w:vAlign w:val="bottom"/>
          </w:tcPr>
          <w:p>
            <w:pPr>
              <w:spacing w:after="0"/>
              <w:rPr>
                <w:sz w:val="17"/>
                <w:szCs w:val="17"/>
                <w:color w:val="auto"/>
              </w:rPr>
            </w:pPr>
          </w:p>
        </w:tc>
        <w:tc>
          <w:tcPr>
            <w:tcW w:w="26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 and insurance</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Subcontractors and consultants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Travel and entertainment</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Unused cloud hosting commitment expense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(1,312)</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1,384</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decreased by $1.8 million to $10.3 million for the three months ended March 31, 2025, from $12.1 million for the three months ended March 31, 2024. The decrease was primarily due to a $1.3 million one-time expense in 2024 associated with terminating commitments with a cloud hosting service provider, a $0.8 million decrease in compensation expenses, primarily reflects lower stock-based compensation costs, largely driven by the full recognition of high fair value options and RSUs granted in December 2021, which were fully expensed prior to 2025, a $0.1 million decrease in professional fees and insurance and a $0.1 million decrease in subcontractors and consultants expenses.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Expenses (Income), net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income, net increased by $3.3 million, or 220%, to $1.8 million income for the three months ended March 31, 2025, from $1.5 million expense for the three months ended March 31, 2024. The increase was primarily due to exchange rate differences.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decreased by $1.0 million, or 42%, to $1.3 million for the three months ended March 31, 2025, from $2.3 million for the three months ended March 31, 2024, primarily due to decreased tax liability related to income generated by our subsidiaries organized under the laws of Israel and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Our principal sources of liquidity are expected to be our cash on hand and borrowings available under our Revolving Credit Facility. As of March 31, 2025, we had no balance outstanding under the Revolving Credit Facility and the total revolving commitment of $25.0 million is available for future borrowings.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Part I, Item 1A. “Risk Factors” of our 2024 10-K, and “—Key Factors Affecting Our Performance.” above. In addition, our cash and cash equivalents are maintained at financial institutions in amounts that exceed federally insured limits. In the event of failure of any of the financial institutions where we maintain our cash and cash equivalents, there can be no assurance that we will be able to access uninsured funds in a timely manner or at all.</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global economic volatility, including due to uncertainty around U.S. and foreign tariffs and other trade barriers, rising inflation and interest rates, price increases and supply chain issues, and various other factors, has resulted in, and may continue to result in, significant disruption of global financial markets, reducing our ability to access capital. Our ability to access capital may also be impacted by political, economic, and military conditions in Israel, including the current security situation or any escalation of conflicts with Israel, and in other regions in which we operate, or changes in the business environment in those regions. If we are unable to raise additional funds when desired, our business, financial condition and results of operations could be adversely affected.</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2024, the Company’s Board of Directors authorized a stock repurchase program of the Company’s outstanding common stock (the “2024 Repurchase Program”), which provided for repurchases up to a total of $5.0 million thereunder. Subsequently, in March 2025, the Board approved a new repurchase program (the “2025 Repurchase Program”), providing for repurchases up to a total of $15,000 thereunder, which superseded the 2024 Repurchase Program. Under the 2025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2025 Repurchase Program does not obligate the Company to repurchase any specific amount of common stock, has no time limit, and may be modified, suspended, or discontinued at any time without notice at the discretion of the Board of Directors.</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1,175,109 shares of common stock at a weighted average price of $1.94 per share (excluding broker and transaction fees of approximately $35 thousand). As of March 31, 2025, the Company had remaining authorization under the 2025 Repurchase Program to repurchase common stock up to an aggregate amount of approximately $14.1 million, subject to satisfying required conditions under the Companies Law and Companies Regulations. See Part II, Item 2 “Purchases of Equity Securities by the Issuer or Affiliated Purchaser" of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2021, we entered into a new credit agreement (as amended, the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which thereafter were extended and amended to align our business needs and other developments. In December 2023, we refinanced all amounts outstanding under the then-existing Credit Agreement, and entered into a new amendment to the credit agreement (the “Fifth Amendment”) with an existing lender, which provides for an additional term loan facility of $3.5 million in addition to the existing $31.5 million in term loans outstanding immediately prior to the Fifth Amendment. Commitments under the Revolving Credit Facility decreased to $25.0 million.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2024, we entered into an amendment to the Credit Agreement with an existing lender, in connection with our repurchase programs, which updated the aggregate amount of permitted Restricted Payments (as defined in the Credit Agreement, which term includes, among others, the repurchase of the Company’s outstanding common stock) and conditions for making such payments.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another amendment to the Credit Agreement, also in connection with our repurchase programs, which provided for, among other things, an increase to the aggregate amount of permitted Restricted Payments and updates to the conditions for making such payments.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available for borrowing under the Revolving Credit Facility is limited to a borrowing base, which is equal to the product of (a) 500% (which will automatically reduce to 350% on the date the Term Loan Facility is repaid in full), multiplied by (b) monthly Recurring Revenue for the most recently ended monthly period, multiplied by (c) the Retention Rate (in each case, as defined in the Credit Agreement).</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the effectiveness of the Fifth Amendment, borrowings under the Credit Facilities are subject to interest, determined as follows: (a) SOFR loans accrue interest at a rate per annum equal to Term SOFR (as defined in the Credit Agreement) plus 0.10% per annum plus a margin of 2.50% (the Adjusted Term SOFR (as defined in the Credit Agreement) is subject to a 1.00% floor), and (b) Alternative Base Rate ("ABR") loans (as defined in the Credit Agreement) accrue interest at a rate per annum equal to the ABR plus a margin of 1.50% (ABR is equal to the highest of (i) the prime rate and (ii) the Federal Funds Effective Rate plus 0.50%, subject to a 2.00% floor). As of March 31, 2025, the current rate of interest under the Credit Facilities was equal to a rate per annum of 6.90%, consisting of 4.30% (the 3-month SOFR rate as of March 27, 2025), 0.10% credit spread adjustment and the margin of 2.50%.</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Amounts outstanding under the Credit Facilities may be voluntarily prepaid at any time and from time to time, in whole or in part, without premium or penalty.</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voluntary prepayments (other than ABR loans borrowed under the Revolving Credit Facility) must be accompanied by accrued and unpaid interest on the principal amount being prepaid and customary “breakage” costs, if any, with respect to prepayments of SOFR loans.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Facility is payable in consecutive quarterly installments on the last day of each fiscal quarter in an amount equal to (i) $0.4 million for installments payable on December 31, 2023 (deferred to January 9, 2024), through September 30, 2024, (ii) $0.7 million for installments payable on December 31, 2024 through September 30, 2025, and (iii) $1.3 million for installments payable on and after December 31, 2025. The remaining unpaid balance on the Term Loan Facility is due and payable on December 21, 2026, together with accrued and unpaid interest on the principal amount to be paid to, but excluding,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and subject to certain exceptions, restrict our ability, and the ability of our subsidiaries, to:</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issue, incur, assume, become liable in respect of or suffer to exist any debt or liens;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merger, consolidation or amalgamation, or liquidate, wind up or dissolve, or dispose of all or substantially all of our or their respective property or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property or, in the case of our subsidiaries, issue or sell any shares of such subsidiary’s capital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prepay, redeem, purchase, retire or defease subordinated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certain other restricted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financial covenants that require us to maintain (i) a minimum amount of Consolidated Adjusted EBITDA (as defined in the Credit Agreement) as of the last day of each fiscal quarter (which minimum amount increased through the fiscal quarter ended December 31, 2023) (the “Adjusted EBITDA Covenant”), and (ii) Liquidity (as defined in the Credit Agreement) of at least $20.0 million as of the last day of any calendar month. We were in compliance with these covenants as of March 31, 2025.</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(as defined in the Credit Agreement).</w:t>
      </w:r>
    </w:p>
    <w:p>
      <w:pPr>
        <w:spacing w:after="0" w:line="1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had no balance outstanding under the Revolving Credit Facility and the total revolving commitment of $25.0 million remains available for future borrowings. As of March 31, 2025, we had approximately $31.7 million of borrowings outstanding under the Term Loan Facility.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4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Borders>
              <w:bottom w:val="single" w:sz="8" w:color="auto"/>
            </w:tcBorders>
          </w:tcPr>
          <w:p>
            <w:pPr>
              <w:spacing w:after="0"/>
              <w:rPr>
                <w:sz w:val="19"/>
                <w:szCs w:val="19"/>
                <w:color w:val="auto"/>
              </w:rPr>
            </w:pPr>
          </w:p>
        </w:tc>
      </w:tr>
      <w:tr>
        <w:trPr>
          <w:trHeight w:val="250"/>
        </w:trPr>
        <w:tc>
          <w:tcPr>
            <w:tcW w:w="6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36,784</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decreased by $0.1 million for the three months ended March 31, 2025, as compared to the three months ended March 31, 2024.</w:t>
      </w:r>
    </w:p>
    <w:p>
      <w:pPr>
        <w:spacing w:after="0" w:line="10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$1.0 million for three months ended March 31, 2025 was primarily due to $1.1 million incremental net loss, adjusted for non-cash charges of $8.5 million, and net cash outflows of $8.4 million due to changes in our operating assets and liabilities. Non-cash charges primarily consisted of depreciation and amortization of $1.2 million, stock-based compensation expenses of $4.5 million, and amortization of deferred contract acquisitions and fulfillment costs of $2.9 million partially offset by non-cash interest income, net of $0.1 million. The main drivers of net cash outflows were derived from the changes in operating assets and liabilities and were related to a decrease in deferred revenue of $9.3 million, an aggregate increase in employees accruals, and accrued expenses and other liabilities of $3.5 million, an increase in trade receivables of $1.8 million, an increase of $1.3 million in prepaid expenses and other current assets and other assets, increase in deferred contract acquisition and fulfillment cost of $1.1 million and net change in operating lease right of use assets and lease liabilities of $0.2 million, partially offset by increase in trade payables of $5.2 million.</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$1.1 million for the three months ended March 31, 2024, was primarily due to $11.1 million incremental net loss, adjusted for non-cash charges of $10.1 million, and net cash outflows of $0.2 million due to changes in our operating assets and liabilities. Non-cash charges primarily consisted of depreciation and amortization of $1.3 million, stock-based compensation expenses of $6.5 million, amortization of deferred contract acquisitions and fulfillment costs of $2.9 million, partially offset by non-cash interest income, net of $0.3 million. The main drivers of net cash outflows were derived from the changes in operating assets and liabilities and were related to a decrease in deferred revenue of $8.6 million, increase in deferred contract acquisition and fulfillment cost of $1.1 million, an increase of $0.6 million in prepaid expenses and other current assets and other assets and net change in operating lease right of use assets and lease liabilities of $0.4 million, partially offset by an increase in trade payables of $4.4 million, a decrease in trade receivables of $5.5 million and an aggregate increase in employees accruals, and accrued expenses and other liabilities of $0.6 million.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increased by $5.8 million for the three months ended March 31, 2025 as compared to the three months ended March 31, 2024.</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$2.2 million for the three months ended March 31, 2025 was related mainly to proceeds from maturities of marketable securities of $28.9 million, partially offset by purchases of marketable securities of $26.4 million, and $0.3 million of capital expenditures.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$3.5 million for the three months ended March 31, 2024 was related mainly to purchases of marketable securities of $15.4 million, and $0.1 million of capital expenditures, partially offset by proceeds from maturities of marketable securities of $12.0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$1.8 million for the three months ended March 31, 2025 as compared to the three months ended March 31, 2024.</w:t>
      </w:r>
    </w:p>
    <w:p>
      <w:pPr>
        <w:spacing w:after="0" w:line="10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Net cash used in financing activities of $2.6 million for the three months ended March 31, 2025 was primarily due to repurchase of common stock of $2.3 million, repayment of long-term loans of $0.9 million, and cash settlement of equity classified share-based payment awards of $0.9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offset by $1.5 million due to proceeds from the exercise of stock options.</w:t>
      </w:r>
    </w:p>
    <w:p>
      <w:pPr>
        <w:spacing w:after="0" w:line="1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$0.8 million for the three months ended March 31, 2024 was primarily due to repayment of long-term loans of $0.9 million, offset by $0.1 million due to proceeds from the exercise of stock options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commitments consist of obligations under operating leases, purchase obligations with third-party providers for the use of cloud hosting and other services and outstanding debt. There were no material changes to our commitments and contractual obligations during the three months ended March 31, 2025 from the commitments and contractual obligations disclosed in Part II, Item 7, "Management’s Discussion and Analysis of Financial Condition and Results of Operations," of our 2024 10-K. For further information on our commitments and contractual obligations, refer to Note 7, Note 8 and Note 14 of the notes to our unaudited condensed consolidated financial statements included in Part I, Item 1 of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were disclosed in Part II, Item 7, "Management’s Discussion and Analysis of Financial Condition and Results of Operations," of our 2024 10-K. There have been no significant changes to these policies and estimates during the three months ended March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These foreign currency exposures give rise to market risk associated with exchange rate movements of the U.S. dollar against the NIS and Euros. Furthermore, we anticipate that a significant portion of our expenses will continue to be denominated in NIS as well as that a significant portion of our revenue will continue to be denominated in Euros.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reduce the impact of foreign currency exchange risks associated with forecasted future cash flows and certain existing assets and liabilities and the volatility in our consolidated statements of operations, we established a hedging program. Currently, our hedging activity relates to U.S. dollar/NIS exchange rate exposure. We do not intend to enter into derivative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are expected to reduce but not eliminate the impact of currency exchange rate movements.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hypothetical 10% change in foreign currency exchange rates applicable to our business would have had an impact on our results for the three months ended March 31, 2025, of $0.8 million due to NIS (after considering cash-flow hedges) and $1.1 million due to Euros.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we had outstanding floating rate debt obligations of $31.7 million (consisting of the outstanding principal balance under our credit facilities). Accordingly, fluctuations in market interest rates may increase or decrease our interest expense which will, in turn, increase or decrease our net income and cash flow. We seek to manage exposure to adverse interest rate changes through our normal operating and financing activities. At this time, we do not use derivative instruments to mitigate our interest rate risk. A hypothetical 10% change in interest rates during the periods presented would have resulted in a change to interest expense of $0.1 million for the three months ended March 31, 2025.</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2024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purchases of its common stock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Dollar Value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 Purchased (1)</w:t>
            </w:r>
          </w:p>
        </w:tc>
        <w:tc>
          <w:tcPr>
            <w:tcW w:w="14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5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1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160" w:type="dxa"/>
            <w:vAlign w:val="bottom"/>
          </w:tcPr>
          <w:p>
            <w:pPr>
              <w:spacing w:after="0"/>
              <w:rPr>
                <w:sz w:val="16"/>
                <w:szCs w:val="16"/>
                <w:color w:val="auto"/>
              </w:rPr>
            </w:pPr>
          </w:p>
        </w:tc>
        <w:tc>
          <w:tcPr>
            <w:tcW w:w="19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Plans or Programs (in</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40"/>
        </w:trPr>
        <w:tc>
          <w:tcPr>
            <w:tcW w:w="2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January 1, 2025 to January 31,</w:t>
            </w:r>
          </w:p>
        </w:tc>
        <w:tc>
          <w:tcPr>
            <w:tcW w:w="100" w:type="dxa"/>
            <w:vAlign w:val="bottom"/>
          </w:tcPr>
          <w:p>
            <w:pPr>
              <w:spacing w:after="0"/>
              <w:rPr>
                <w:sz w:val="16"/>
                <w:szCs w:val="16"/>
                <w:color w:val="auto"/>
              </w:rPr>
            </w:pPr>
          </w:p>
        </w:tc>
        <w:tc>
          <w:tcPr>
            <w:tcW w:w="1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10,353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10,353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February 1, 2025 to February</w:t>
            </w:r>
          </w:p>
        </w:tc>
        <w:tc>
          <w:tcPr>
            <w:tcW w:w="100" w:type="dxa"/>
            <w:vAlign w:val="bottom"/>
          </w:tcPr>
          <w:p>
            <w:pPr>
              <w:spacing w:after="0"/>
              <w:rPr>
                <w:sz w:val="17"/>
                <w:szCs w:val="17"/>
                <w:color w:val="auto"/>
              </w:rPr>
            </w:pPr>
          </w:p>
        </w:tc>
        <w:tc>
          <w:tcPr>
            <w:tcW w:w="17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5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28, 2025</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March 1, 2025 to March 31,</w:t>
            </w:r>
          </w:p>
        </w:tc>
        <w:tc>
          <w:tcPr>
            <w:tcW w:w="100" w:type="dxa"/>
            <w:vAlign w:val="bottom"/>
            <w:vMerge w:val="continue"/>
          </w:tcPr>
          <w:p>
            <w:pPr>
              <w:spacing w:after="0"/>
              <w:rPr>
                <w:sz w:val="17"/>
                <w:szCs w:val="17"/>
                <w:color w:val="auto"/>
              </w:rPr>
            </w:pPr>
          </w:p>
        </w:tc>
        <w:tc>
          <w:tcPr>
            <w:tcW w:w="1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1,164,756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1,164,756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14,073</w:t>
            </w:r>
          </w:p>
        </w:tc>
        <w:tc>
          <w:tcPr>
            <w:tcW w:w="0" w:type="dxa"/>
            <w:vAlign w:val="bottom"/>
          </w:tcPr>
          <w:p>
            <w:pPr>
              <w:spacing w:after="0"/>
              <w:rPr>
                <w:sz w:val="1"/>
                <w:szCs w:val="1"/>
                <w:color w:val="auto"/>
              </w:rPr>
            </w:pPr>
          </w:p>
        </w:tc>
      </w:tr>
      <w:tr>
        <w:trPr>
          <w:trHeight w:val="261"/>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1,175,109</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1,175,109</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0" w:type="dxa"/>
            <w:vAlign w:val="bottom"/>
          </w:tcPr>
          <w:p>
            <w:pPr>
              <w:spacing w:after="0"/>
              <w:rPr>
                <w:sz w:val="1"/>
                <w:szCs w:val="1"/>
                <w:color w:val="auto"/>
              </w:rPr>
            </w:pPr>
          </w:p>
        </w:tc>
      </w:tr>
      <w:tr>
        <w:trPr>
          <w:trHeight w:val="22"/>
        </w:trPr>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56"/>
        <w:spacing w:after="0" w:line="255" w:lineRule="auto"/>
        <w:tabs>
          <w:tab w:leader="none" w:pos="9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Company’s Board of Directors authorized a stock repurchase program of the Company’s outstanding common stock (the “2024 Repurchase Program”), which provided for repurchases up to a total of $5.0 million. As of January 31, 2025, the Company had approximately $2.1 million of remaining repurchase authority under the 2024 Repurchase Program. Subsequently, in March 2025, the Board approved a new repurchase program (the “2025 Repurchase Program”), providing for repurchases up to a total of $15.0 million, which superseded the 2024 Repurchase Program. Under the 2025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2025 Repurchase Program does not obligate the Company to repurchase any specific amount of common stock, has no time limit, and may be modified, suspended, or discontinued at any time without notice at the discretion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July 23, 2021, we completed our IPO, in which we issued and sold 15,000,000 shares of our common stock at a price to the public of $10.00 per share. On August 6, 2021, we issued and sold an additional 2,250,000 shares of our common stock at a price of $10.00 per share in connection with the underwriters’ exercise in full of their option to purchase additional shares of our common stock. All shares sold were registered pursuant to a registration statement on Form S-1 (File No. 333- 253699), as amended (the “Registration Statement”), declared effective by the SEC on July 20, 2021. Other than as reported in Part I, Item 5, “Market for Registrant’s Common Equity, Related Stockholder Matters and Issuer Purchases of Equity Securities” in our 2024 10-K, there has been no material change in the expected use of the net proceeds from our IPO as described in the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directors or officers of the Company adopted or terminated a “Rule 10b5-1 trading arrangement” or “non-Rule 10b5-1 trading arrangement,” as each term is defined in Item in Item 408(a)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listed below are incorporated by reference or are filed with this Quarterly Report on Form 10-Q, in each case as indicated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36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Filed/Furnished</w:t>
            </w:r>
          </w:p>
        </w:tc>
        <w:tc>
          <w:tcPr>
            <w:tcW w:w="0" w:type="dxa"/>
            <w:vAlign w:val="bottom"/>
          </w:tcPr>
          <w:p>
            <w:pPr>
              <w:spacing w:after="0"/>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3680" w:type="dxa"/>
            <w:vAlign w:val="bottom"/>
            <w:gridSpan w:val="9"/>
            <w:vMerge w:val="continue"/>
          </w:tcPr>
          <w:p>
            <w:pPr>
              <w:spacing w:after="0"/>
              <w:rPr>
                <w:sz w:val="14"/>
                <w:szCs w:val="14"/>
                <w:color w:val="auto"/>
              </w:rPr>
            </w:pPr>
          </w:p>
        </w:tc>
        <w:tc>
          <w:tcPr>
            <w:tcW w:w="8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Form</w:t>
            </w:r>
          </w:p>
        </w:tc>
        <w:tc>
          <w:tcPr>
            <w:tcW w:w="15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File No.</w:t>
            </w:r>
          </w:p>
        </w:tc>
        <w:tc>
          <w:tcPr>
            <w:tcW w:w="9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Exhibit</w:t>
            </w:r>
          </w:p>
        </w:tc>
        <w:tc>
          <w:tcPr>
            <w:tcW w:w="13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Filing Date</w:t>
            </w:r>
          </w:p>
        </w:tc>
        <w:tc>
          <w:tcPr>
            <w:tcW w:w="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44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680" w:type="dxa"/>
            <w:vAlign w:val="bottom"/>
            <w:gridSpan w:val="9"/>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Amended and Restated Certificate of</w:t>
              </w:r>
            </w:hyperlink>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001-40644</w:t>
            </w:r>
          </w:p>
        </w:tc>
        <w:tc>
          <w:tcPr>
            <w:tcW w:w="10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07/23/2021</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68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Incorporation of Kaltura, Inc.</w:t>
              </w:r>
            </w:hyperlink>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680" w:type="dxa"/>
            <w:vAlign w:val="bottom"/>
            <w:gridSpan w:val="9"/>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Certificate of Designations of Series A Junior</w:t>
              </w:r>
            </w:hyperlink>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001-40644</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08/08/2022</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Participating Preferred Stock of Kaltura, Inc.</w:t>
              </w:r>
            </w:hyperlink>
          </w:p>
        </w:tc>
        <w:tc>
          <w:tcPr>
            <w:tcW w:w="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680" w:type="dxa"/>
            <w:vAlign w:val="bottom"/>
            <w:gridSpan w:val="9"/>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Bylaws of Kaltura, Inc.</w:t>
              </w:r>
            </w:hyperlink>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001-40644</w:t>
            </w:r>
          </w:p>
        </w:tc>
        <w:tc>
          <w:tcPr>
            <w:tcW w:w="10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07/23/2021</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680" w:type="dxa"/>
            <w:vAlign w:val="bottom"/>
            <w:gridSpan w:val="9"/>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Specimen Common Stock Certificate of Kaltura,</w:t>
              </w:r>
            </w:hyperlink>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333-253699</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03/23/2021</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52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w:t>
              </w:r>
            </w:hyperlink>
          </w:p>
        </w:tc>
        <w:tc>
          <w:tcPr>
            <w:tcW w:w="16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80" w:type="dxa"/>
            <w:vAlign w:val="bottom"/>
            <w:gridSpan w:val="2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Sixth Amended and Restated Investor Rights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333-253699</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4.2</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3/23/2021</w:t>
            </w:r>
          </w:p>
        </w:tc>
      </w:tr>
      <w:tr>
        <w:trPr>
          <w:trHeight w:val="155"/>
        </w:trPr>
        <w:tc>
          <w:tcPr>
            <w:tcW w:w="10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Agreement, dated as of July 22, 2016, by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326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among Kaltura, Inc. and each of the investors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8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listed on Exhibit A thereto, as amended</w:t>
              </w:r>
            </w:hyperlink>
          </w:p>
        </w:tc>
        <w:tc>
          <w:tcPr>
            <w:tcW w:w="4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69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5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Amendment to Employment Agreement, dated as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10.22</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6"/>
        </w:trPr>
        <w:tc>
          <w:tcPr>
            <w:tcW w:w="1040" w:type="dxa"/>
            <w:vAlign w:val="bottom"/>
          </w:tcPr>
          <w:p>
            <w:pPr>
              <w:spacing w:after="0"/>
              <w:rPr>
                <w:sz w:val="13"/>
                <w:szCs w:val="13"/>
                <w:color w:val="auto"/>
              </w:rPr>
            </w:pPr>
          </w:p>
        </w:tc>
        <w:tc>
          <w:tcPr>
            <w:tcW w:w="3580" w:type="dxa"/>
            <w:vAlign w:val="bottom"/>
            <w:gridSpan w:val="27"/>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of February 19, 2025, by and between Kaltura</w:t>
              </w:r>
            </w:hyperlink>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82">
              <w:r>
                <w:rPr>
                  <w:rFonts w:ascii="Times New Roman" w:cs="Times New Roman" w:eastAsia="Times New Roman" w:hAnsi="Times New Roman"/>
                  <w:sz w:val="18"/>
                  <w:szCs w:val="18"/>
                  <w:color w:val="0000FF"/>
                  <w:w w:val="98"/>
                </w:rPr>
                <w:t>Ltd and Ron Yekutiel</w:t>
              </w:r>
            </w:hyperlink>
          </w:p>
        </w:tc>
        <w:tc>
          <w:tcPr>
            <w:tcW w:w="18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9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580" w:type="dxa"/>
            <w:vAlign w:val="bottom"/>
            <w:gridSpan w:val="2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Amendment to Consulting Agreement, dated as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10.23</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6"/>
        </w:trPr>
        <w:tc>
          <w:tcPr>
            <w:tcW w:w="1040" w:type="dxa"/>
            <w:vAlign w:val="bottom"/>
          </w:tcPr>
          <w:p>
            <w:pPr>
              <w:spacing w:after="0"/>
              <w:rPr>
                <w:sz w:val="13"/>
                <w:szCs w:val="13"/>
                <w:color w:val="auto"/>
              </w:rPr>
            </w:pPr>
          </w:p>
        </w:tc>
        <w:tc>
          <w:tcPr>
            <w:tcW w:w="34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of February 19, 2025, by and between Kaltura</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83">
              <w:r>
                <w:rPr>
                  <w:rFonts w:ascii="Times New Roman" w:cs="Times New Roman" w:eastAsia="Times New Roman" w:hAnsi="Times New Roman"/>
                  <w:sz w:val="18"/>
                  <w:szCs w:val="18"/>
                  <w:color w:val="0000FF"/>
                  <w:w w:val="98"/>
                </w:rPr>
                <w:t>Inc and Ron Yekutiel</w:t>
              </w:r>
            </w:hyperlink>
          </w:p>
        </w:tc>
        <w:tc>
          <w:tcPr>
            <w:tcW w:w="180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580" w:type="dxa"/>
            <w:vAlign w:val="bottom"/>
            <w:gridSpan w:val="2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Amendment to Consulting Agreement, dated as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10.24</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6"/>
        </w:trPr>
        <w:tc>
          <w:tcPr>
            <w:tcW w:w="1040" w:type="dxa"/>
            <w:vAlign w:val="bottom"/>
          </w:tcPr>
          <w:p>
            <w:pPr>
              <w:spacing w:after="0"/>
              <w:rPr>
                <w:sz w:val="13"/>
                <w:szCs w:val="13"/>
                <w:color w:val="auto"/>
              </w:rPr>
            </w:pPr>
          </w:p>
        </w:tc>
        <w:tc>
          <w:tcPr>
            <w:tcW w:w="34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of February 19, 2025, by and between Kaltura</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84">
              <w:r>
                <w:rPr>
                  <w:rFonts w:ascii="Times New Roman" w:cs="Times New Roman" w:eastAsia="Times New Roman" w:hAnsi="Times New Roman"/>
                  <w:sz w:val="18"/>
                  <w:szCs w:val="18"/>
                  <w:color w:val="0000FF"/>
                  <w:w w:val="98"/>
                </w:rPr>
                <w:t>Europe Limited and Ron Yekutiel</w:t>
              </w:r>
            </w:hyperlink>
          </w:p>
        </w:tc>
        <w:tc>
          <w:tcPr>
            <w:tcW w:w="9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5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Amendment to Employment Agreement, dated as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10.30</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6"/>
        </w:trPr>
        <w:tc>
          <w:tcPr>
            <w:tcW w:w="1040" w:type="dxa"/>
            <w:vAlign w:val="bottom"/>
          </w:tcPr>
          <w:p>
            <w:pPr>
              <w:spacing w:after="0"/>
              <w:rPr>
                <w:sz w:val="13"/>
                <w:szCs w:val="13"/>
                <w:color w:val="auto"/>
              </w:rPr>
            </w:pPr>
          </w:p>
        </w:tc>
        <w:tc>
          <w:tcPr>
            <w:tcW w:w="3580" w:type="dxa"/>
            <w:vAlign w:val="bottom"/>
            <w:gridSpan w:val="27"/>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of February 19, 2025, by and between Kaltura</w:t>
              </w:r>
            </w:hyperlink>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Ltd. and Eynav Azaria</w:t>
              </w:r>
            </w:hyperlink>
          </w:p>
        </w:tc>
        <w:tc>
          <w:tcPr>
            <w:tcW w:w="1740" w:type="dxa"/>
            <w:vAlign w:val="bottom"/>
            <w:tcBorders>
              <w:top w:val="single" w:sz="8" w:color="0000FF"/>
            </w:tcBorders>
            <w:gridSpan w:val="16"/>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9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5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Amendment to Employment Agreement, dated as</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10.32</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6"/>
        </w:trPr>
        <w:tc>
          <w:tcPr>
            <w:tcW w:w="1040" w:type="dxa"/>
            <w:vAlign w:val="bottom"/>
          </w:tcPr>
          <w:p>
            <w:pPr>
              <w:spacing w:after="0"/>
              <w:rPr>
                <w:sz w:val="13"/>
                <w:szCs w:val="13"/>
                <w:color w:val="auto"/>
              </w:rPr>
            </w:pPr>
          </w:p>
        </w:tc>
        <w:tc>
          <w:tcPr>
            <w:tcW w:w="3580" w:type="dxa"/>
            <w:vAlign w:val="bottom"/>
            <w:gridSpan w:val="27"/>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of February 19, 2025, by and between Kaltura</w:t>
              </w:r>
            </w:hyperlink>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15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Ltd. and Natan Israeli</w:t>
              </w:r>
            </w:hyperlink>
          </w:p>
        </w:tc>
        <w:tc>
          <w:tcPr>
            <w:tcW w:w="1800" w:type="dxa"/>
            <w:vAlign w:val="bottom"/>
            <w:tcBorders>
              <w:top w:val="single" w:sz="8" w:color="0000FF"/>
            </w:tcBorders>
            <w:gridSpan w:val="17"/>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580" w:type="dxa"/>
            <w:vAlign w:val="bottom"/>
            <w:gridSpan w:val="2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Amendment to Offer Letter for John Doherty,</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001-40644</w:t>
            </w:r>
          </w:p>
        </w:tc>
        <w:tc>
          <w:tcPr>
            <w:tcW w:w="1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10.34</w:t>
            </w:r>
          </w:p>
        </w:tc>
        <w:tc>
          <w:tcPr>
            <w:tcW w:w="1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02/20/2025</w:t>
            </w:r>
          </w:p>
        </w:tc>
      </w:tr>
      <w:tr>
        <w:trPr>
          <w:trHeight w:val="155"/>
        </w:trPr>
        <w:tc>
          <w:tcPr>
            <w:tcW w:w="1040" w:type="dxa"/>
            <w:vAlign w:val="bottom"/>
          </w:tcPr>
          <w:p>
            <w:pPr>
              <w:spacing w:after="0"/>
              <w:rPr>
                <w:sz w:val="13"/>
                <w:szCs w:val="13"/>
                <w:color w:val="auto"/>
              </w:rPr>
            </w:pPr>
          </w:p>
        </w:tc>
        <w:tc>
          <w:tcPr>
            <w:tcW w:w="3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dated February 19, 2025</w:t>
              </w:r>
            </w:hyperlink>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Seventh Amendment to Credit Agreement, dated</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352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as of March 19, 2025, the subsidiaries of the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358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Borrower party thereto, the several banks and</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33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other financial institutions or entities party</w:t>
            </w:r>
          </w:p>
        </w:tc>
        <w:tc>
          <w:tcPr>
            <w:tcW w:w="20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thereto, and Silicon Valley Bank, as the</w:t>
            </w:r>
          </w:p>
        </w:tc>
        <w:tc>
          <w:tcPr>
            <w:tcW w:w="44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3580" w:type="dxa"/>
            <w:vAlign w:val="bottom"/>
            <w:gridSpan w:val="27"/>
          </w:tcPr>
          <w:p>
            <w:pPr>
              <w:spacing w:after="0" w:line="169" w:lineRule="exact"/>
              <w:rPr>
                <w:sz w:val="20"/>
                <w:szCs w:val="20"/>
                <w:color w:val="auto"/>
              </w:rPr>
            </w:pPr>
            <w:r>
              <w:rPr>
                <w:rFonts w:ascii="Times New Roman" w:cs="Times New Roman" w:eastAsia="Times New Roman" w:hAnsi="Times New Roman"/>
                <w:sz w:val="18"/>
                <w:szCs w:val="18"/>
                <w:color w:val="0000FF"/>
                <w:w w:val="99"/>
              </w:rPr>
              <w:t>Administrative Agent, the Issuing Lender and the</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356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Swingline Lender</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w:t>
            </w: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to Rule 13a-14(a)/15d-14(a).</w:t>
            </w:r>
          </w:p>
        </w:tc>
        <w:tc>
          <w:tcPr>
            <w:tcW w:w="14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10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to Rule 13a-14(a)/15d-14(a).</w:t>
            </w:r>
          </w:p>
        </w:tc>
        <w:tc>
          <w:tcPr>
            <w:tcW w:w="142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88"/>
              </w:rPr>
              <w:t>**</w:t>
            </w:r>
          </w:p>
        </w:tc>
      </w:tr>
      <w:tr>
        <w:trPr>
          <w:trHeight w:val="155"/>
        </w:trPr>
        <w:tc>
          <w:tcPr>
            <w:tcW w:w="10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w:t>
            </w:r>
          </w:p>
        </w:tc>
        <w:tc>
          <w:tcPr>
            <w:tcW w:w="160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2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w:t>
            </w: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88"/>
              </w:rPr>
              <w:t>**</w:t>
            </w:r>
          </w:p>
        </w:tc>
      </w:tr>
      <w:tr>
        <w:trPr>
          <w:trHeight w:val="156"/>
        </w:trPr>
        <w:tc>
          <w:tcPr>
            <w:tcW w:w="10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w:t>
            </w:r>
          </w:p>
        </w:tc>
        <w:tc>
          <w:tcPr>
            <w:tcW w:w="156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1040" w:type="dxa"/>
            <w:vAlign w:val="bottom"/>
          </w:tcPr>
          <w:p>
            <w:pPr>
              <w:spacing w:after="0"/>
              <w:rPr>
                <w:sz w:val="17"/>
                <w:szCs w:val="17"/>
                <w:color w:val="auto"/>
              </w:rPr>
            </w:pPr>
          </w:p>
        </w:tc>
        <w:tc>
          <w:tcPr>
            <w:tcW w:w="358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ind w:left="1040"/>
        <w:spacing w:after="0" w:line="203" w:lineRule="auto"/>
        <w:rPr>
          <w:sz w:val="20"/>
          <w:szCs w:val="20"/>
          <w:color w:val="auto"/>
        </w:rPr>
      </w:pPr>
      <w:r>
        <w:rPr>
          <w:rFonts w:ascii="Times New Roman" w:cs="Times New Roman" w:eastAsia="Times New Roman" w:hAnsi="Times New Roman"/>
          <w:sz w:val="18"/>
          <w:szCs w:val="18"/>
          <w:color w:val="auto"/>
        </w:rPr>
        <w:t>file because its XBRL tags are embedded within</w:t>
      </w:r>
    </w:p>
    <w:p>
      <w:pPr>
        <w:ind w:left="1040"/>
        <w:spacing w:after="0"/>
        <w:rPr>
          <w:sz w:val="20"/>
          <w:szCs w:val="20"/>
          <w:color w:val="auto"/>
        </w:rPr>
      </w:pPr>
      <w:r>
        <w:rPr>
          <w:rFonts w:ascii="Times New Roman" w:cs="Times New Roman" w:eastAsia="Times New Roman" w:hAnsi="Times New Roman"/>
          <w:sz w:val="18"/>
          <w:szCs w:val="18"/>
          <w:color w:val="auto"/>
        </w:rPr>
        <w:t>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720" w:type="dxa"/>
            <w:vAlign w:val="bottom"/>
          </w:tcPr>
          <w:p>
            <w:pPr>
              <w:spacing w:after="0"/>
              <w:rPr>
                <w:sz w:val="20"/>
                <w:szCs w:val="20"/>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101.CAL</w:t>
            </w:r>
          </w:p>
        </w:tc>
        <w:tc>
          <w:tcPr>
            <w:tcW w:w="62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62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2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62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2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2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Linkbase Document</w:t>
            </w:r>
          </w:p>
        </w:tc>
        <w:tc>
          <w:tcPr>
            <w:tcW w:w="2720" w:type="dxa"/>
            <w:vAlign w:val="bottom"/>
          </w:tcPr>
          <w:p>
            <w:pPr>
              <w:spacing w:after="0"/>
              <w:rPr>
                <w:sz w:val="20"/>
                <w:szCs w:val="20"/>
                <w:color w:val="auto"/>
              </w:rPr>
            </w:pPr>
          </w:p>
        </w:tc>
      </w:tr>
      <w:tr>
        <w:trPr>
          <w:trHeight w:val="184"/>
        </w:trPr>
        <w:tc>
          <w:tcPr>
            <w:tcW w:w="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622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(as formatted as</w:t>
            </w:r>
          </w:p>
        </w:tc>
        <w:tc>
          <w:tcPr>
            <w:tcW w:w="2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6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2720" w:type="dxa"/>
            <w:vAlign w:val="bottom"/>
          </w:tcPr>
          <w:p>
            <w:pPr>
              <w:spacing w:after="0"/>
              <w:rPr>
                <w:sz w:val="20"/>
                <w:szCs w:val="20"/>
                <w:color w:val="auto"/>
              </w:rPr>
            </w:pPr>
          </w:p>
        </w:tc>
      </w:tr>
    </w:tbl>
    <w:p>
      <w:pPr>
        <w:spacing w:after="0" w:line="3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firstLine="8"/>
        <w:spacing w:after="0" w:line="260"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similar attachments) have been omitted pursuant to Item 601(a)(5) of Regulation S-K. The registrant undertakes to furnish a supplemental copy of any of the omitted schedules (or similar attachments) to the SEC upon request.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31" w:right="7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KALTURA, INC.</w:t>
      </w:r>
    </w:p>
    <w:p>
      <w:pPr>
        <w:spacing w:after="0" w:line="252" w:lineRule="exact"/>
        <w:rPr>
          <w:sz w:val="20"/>
          <w:szCs w:val="20"/>
          <w:color w:val="auto"/>
        </w:rPr>
      </w:pPr>
    </w:p>
    <w:p>
      <w:pPr>
        <w:ind w:left="20"/>
        <w:spacing w:after="0"/>
        <w:tabs>
          <w:tab w:leader="none" w:pos="5200" w:val="left"/>
          <w:tab w:leader="none" w:pos="80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43180</wp:posOffset>
            </wp:positionV>
            <wp:extent cx="3308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5200" w:val="left"/>
          <w:tab w:leader="none" w:pos="802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43180</wp:posOffset>
            </wp:positionV>
            <wp:extent cx="3308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John Doherty</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1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SEVENTH AMENDMENT TO CREDIT AGREEMENT</w:t>
      </w:r>
    </w:p>
    <w:p>
      <w:pPr>
        <w:spacing w:after="0" w:line="2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Seventh Amendment to Credit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xml:space="preserve">”) dated and effective as of March 19, 2025 by and among </w:t>
      </w:r>
      <w:r>
        <w:rPr>
          <w:rFonts w:ascii="Times New Roman" w:cs="Times New Roman" w:eastAsia="Times New Roman" w:hAnsi="Times New Roman"/>
          <w:sz w:val="22"/>
          <w:szCs w:val="22"/>
          <w:b w:val="1"/>
          <w:bCs w:val="1"/>
          <w:color w:val="auto"/>
        </w:rPr>
        <w:t>KALTURA,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the Subsidiaries of the Borrower party hereto (the “</w:t>
      </w:r>
      <w:r>
        <w:rPr>
          <w:rFonts w:ascii="Times New Roman" w:cs="Times New Roman" w:eastAsia="Times New Roman" w:hAnsi="Times New Roman"/>
          <w:sz w:val="22"/>
          <w:szCs w:val="22"/>
          <w:b w:val="1"/>
          <w:bCs w:val="1"/>
          <w:i w:val="1"/>
          <w:iCs w:val="1"/>
          <w:color w:val="auto"/>
        </w:rPr>
        <w:t>Guarantors</w:t>
      </w:r>
      <w:r>
        <w:rPr>
          <w:rFonts w:ascii="Times New Roman" w:cs="Times New Roman" w:eastAsia="Times New Roman" w:hAnsi="Times New Roman"/>
          <w:sz w:val="22"/>
          <w:szCs w:val="22"/>
          <w:color w:val="auto"/>
        </w:rPr>
        <w:t>”), the several banks and other financial institutions or entities party hereto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SILICON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VALLEY BANK, A DIVISION OF FIRST-CITIZENS BANK &amp; TRUST COMPANY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SVB</w:t>
      </w:r>
      <w:r>
        <w:rPr>
          <w:rFonts w:ascii="Times New Roman" w:cs="Times New Roman" w:eastAsia="Times New Roman" w:hAnsi="Times New Roman"/>
          <w:sz w:val="22"/>
          <w:szCs w:val="22"/>
          <w:color w:val="auto"/>
        </w:rPr>
        <w:t>”), as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(SVB, in such capacity,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the Issuing Lender and the Swingline Lender.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Borrower, the Administrative Agent, the Issuing Lender and the Swingline Lender are parties to that certain Credit Agreement dated as of January 14, 2021, as amended by that certain First Amendment to Credit Agreement dated as of June 29, 2021, as further amended by that certain Second Amendment to Credit Agreement dated as of December 20, 2021, as further amended by that certain Third Amendment to Credit Agreement dated as of April 19, 2022, as further amended by that certain Fourth Amendment to Credit Agreement dated as of May 23, 2023, as further amended by that certain Fifth Amendment to Credit Agreement dated as of December 21, 2023, and as further amended by that certain Sixth Amendment to Credit Agreement dated as of July 22, 2024 (as the same may be further amended, modified, supplemented or restated and in effect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and</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 has requested that the Lenders and the Administrative Agent agree to modify and amend certain terms and conditions of the Credit Agreement subject to the terms and conditions of this Amendment.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44" w:lineRule="exact"/>
        <w:rPr>
          <w:sz w:val="20"/>
          <w:szCs w:val="20"/>
          <w:color w:val="auto"/>
        </w:rPr>
      </w:pPr>
    </w:p>
    <w:p>
      <w:pPr>
        <w:ind w:firstLine="656"/>
        <w:spacing w:after="0" w:line="236"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used herein and not otherwise defined shall have the same meaning herein as in the Credit Agreement.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7.6 of the Credit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7.6(f)</w:t>
      </w:r>
      <w:r>
        <w:rPr>
          <w:rFonts w:ascii="Times New Roman" w:cs="Times New Roman" w:eastAsia="Times New Roman" w:hAnsi="Times New Roman"/>
          <w:sz w:val="22"/>
          <w:szCs w:val="22"/>
          <w:color w:val="auto"/>
        </w:rPr>
        <w:t xml:space="preserve"> of the Credit Agreement is hereby deleted in its entirety and replaced with the following:</w:t>
      </w:r>
    </w:p>
    <w:p>
      <w:pPr>
        <w:spacing w:after="0" w:line="177"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 xml:space="preserve">“(f) the Group Members may make Restricted Payments not otherwise permitted by one of the foregoing clauses of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all such Restricted Payments made pursuant to this clause (f) shall not exceed $20,000,000 in the aggregate, (ii) immediately after giving effect to any such Restricted Payment, Liquidity shall be at least $50,000,000, and (iii) no Default or Event of Default has occurred and is continuing or would arise as a result of the making of any such Restricted Payment;”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To dispel doubt, (i) the Liquidity requirement pursuant to the amended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of the Credit Agreement above, shall not apply to nor shall change the $20,000,000 Minimum Liquidity covenant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of the Credit Agreement, and (ii) “Restricted Payments” shall not include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40"/>
          </w:cols>
          <w:pgMar w:left="320" w:top="122" w:right="339" w:bottom="1440" w:gutter="0" w:footer="0" w:header="0"/>
        </w:sectPr>
      </w:pPr>
    </w:p>
    <w:bookmarkStart w:id="55" w:name="page56"/>
    <w:bookmarkEnd w:id="55"/>
    <w:p>
      <w:pPr>
        <w:spacing w:after="0" w:line="271" w:lineRule="auto"/>
        <w:rPr>
          <w:sz w:val="20"/>
          <w:szCs w:val="20"/>
          <w:color w:val="auto"/>
        </w:rPr>
      </w:pPr>
      <w:r>
        <w:rPr>
          <w:rFonts w:ascii="Times New Roman" w:cs="Times New Roman" w:eastAsia="Times New Roman" w:hAnsi="Times New Roman"/>
          <w:sz w:val="22"/>
          <w:szCs w:val="22"/>
          <w:color w:val="auto"/>
        </w:rPr>
        <w:t>payments of cash to settle “Awards” in accordance with the Borrower’s 2021 Incentive Award Plan as in effect on March 19, 2025.</w:t>
      </w:r>
    </w:p>
    <w:p>
      <w:pPr>
        <w:spacing w:after="0" w:line="131" w:lineRule="exact"/>
        <w:rPr>
          <w:sz w:val="20"/>
          <w:szCs w:val="20"/>
          <w:color w:val="auto"/>
        </w:rPr>
      </w:pPr>
    </w:p>
    <w:p>
      <w:pPr>
        <w:jc w:val="both"/>
        <w:ind w:firstLine="656"/>
        <w:spacing w:after="0" w:line="225"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color w:val="auto"/>
        </w:rPr>
        <w:t>. The effectiveness of this Amendment shall be subject to the prior or concurrent satisfaction of each of the following conditions precedent (the date on which such conditions are satisfied, the “</w:t>
      </w:r>
      <w:r>
        <w:rPr>
          <w:rFonts w:ascii="Times New Roman" w:cs="Times New Roman" w:eastAsia="Times New Roman" w:hAnsi="Times New Roman"/>
          <w:sz w:val="22"/>
          <w:szCs w:val="22"/>
          <w:b w:val="1"/>
          <w:bCs w:val="1"/>
          <w:i w:val="1"/>
          <w:iCs w:val="1"/>
          <w:color w:val="auto"/>
        </w:rPr>
        <w:t>Seventh Amendment Effective Date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right="20" w:hanging="644"/>
        <w:spacing w:after="0" w:line="236" w:lineRule="auto"/>
        <w:tabs>
          <w:tab w:leader="none" w:pos="12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Administrative Agent shall have received this Amendment duly executed and delivered by the Administrative Agent, the Loan Parties and the Lenders;</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All Governmental Approvals and consents and approvals of, or notices to, any other Person (including the holders of any Capital Stock issued by any Loan Party) required in connection with the execution, delivery and performance of this Amendment, shall have been obtained and be in full force and effect.</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2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There shall not have occurred since December 31, 2022 any event or condition that has had or that could reasonably be expected to have, either individually or in the aggregate, a Material Adverse Effect.</w:t>
      </w:r>
    </w:p>
    <w:p>
      <w:pPr>
        <w:spacing w:after="0" w:line="152"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have occurred and be continuing on the Seventh Amendment Effective Date.</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 and Expenses</w:t>
      </w:r>
      <w:r>
        <w:rPr>
          <w:rFonts w:ascii="Times New Roman" w:cs="Times New Roman" w:eastAsia="Times New Roman" w:hAnsi="Times New Roman"/>
          <w:sz w:val="22"/>
          <w:szCs w:val="22"/>
          <w:color w:val="auto"/>
        </w:rPr>
        <w:t xml:space="preserve">. The Lenders and the Administrative Agent shall have received all amounts required to be paid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Immediately after giving effect to this Amendment, each of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9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the conditions specified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each Lender that has executed this Amendment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Seventh Amendment Effective Date specifying such Lender’s objection thereto and either such objection shall not have been withdrawn by notice to the Administrative Agent to that effect on or prior to the Seventh Amendment Effective Date or, if any extension of credit on the Seventh Amendment Effective Date has been requested, such Lender shall not have made available to the Administrative Agent on or prior to the Seventh Amendment Effective Date such Lender’s Revolving Percentage of such requested extension of credit.</w:t>
      </w:r>
    </w:p>
    <w:p>
      <w:pPr>
        <w:spacing w:after="0" w:line="162" w:lineRule="exact"/>
        <w:rPr>
          <w:sz w:val="20"/>
          <w:szCs w:val="20"/>
          <w:color w:val="auto"/>
        </w:rPr>
      </w:pPr>
    </w:p>
    <w:p>
      <w:pPr>
        <w:ind w:firstLine="656"/>
        <w:spacing w:after="0" w:line="236"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Loan Party hereby represents and warrants to the Administrative Agent and the Lenders, effective as of the Seventh Amendment Effective Date,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40"/>
          </w:cols>
          <w:pgMar w:left="320" w:top="1098" w:right="339" w:bottom="1440" w:gutter="0" w:footer="0" w:header="0"/>
        </w:sectPr>
      </w:pPr>
    </w:p>
    <w:bookmarkStart w:id="56" w:name="page57"/>
    <w:bookmarkEnd w:id="56"/>
    <w:p>
      <w:pPr>
        <w:jc w:val="both"/>
        <w:ind w:left="1300" w:hanging="644"/>
        <w:spacing w:after="0" w:line="227" w:lineRule="auto"/>
        <w:tabs>
          <w:tab w:leader="none" w:pos="129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(whether enforcement is sought by proceedings in equity or at law) or by bankruptcy, insolvency, reorganization, moratorium or similar laws relating to or limiting creditors’ rights generally.</w:t>
      </w:r>
    </w:p>
    <w:p>
      <w:pPr>
        <w:spacing w:after="0" w:line="153" w:lineRule="exact"/>
        <w:rPr>
          <w:rFonts w:ascii="Times New Roman" w:cs="Times New Roman" w:eastAsia="Times New Roman" w:hAnsi="Times New Roman"/>
          <w:sz w:val="21"/>
          <w:szCs w:val="21"/>
          <w:color w:val="auto"/>
        </w:rPr>
      </w:pPr>
    </w:p>
    <w:p>
      <w:pPr>
        <w:jc w:val="both"/>
        <w:ind w:left="1300" w:hanging="644"/>
        <w:spacing w:after="0" w:line="213" w:lineRule="auto"/>
        <w:tabs>
          <w:tab w:leader="none" w:pos="12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9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by each Loan Party of this Amendment and the other Loan Documents executed and delivered in connection herewith, and the performance by Loan Parties of their obligations hereunder and thereunder and by the Borrower of its obligations under the Credit Agreement, as amended by this Amendment, (i) have been duly authorized by all necessary organizational action on the part of such Loan Party and (ii) does not</w:t>
      </w:r>
    </w:p>
    <w:p>
      <w:pPr>
        <w:spacing w:after="0" w:line="2" w:lineRule="exact"/>
        <w:rPr>
          <w:rFonts w:ascii="Times New Roman" w:cs="Times New Roman" w:eastAsia="Times New Roman" w:hAnsi="Times New Roman"/>
          <w:sz w:val="21"/>
          <w:szCs w:val="21"/>
          <w:color w:val="auto"/>
        </w:rPr>
      </w:pPr>
    </w:p>
    <w:p>
      <w:pPr>
        <w:ind w:left="1300" w:firstLine="4"/>
        <w:spacing w:after="0" w:line="225" w:lineRule="auto"/>
        <w:tabs>
          <w:tab w:leader="none" w:pos="167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provisions of the Operating Documents of such Loan Party or (B) constitute a violation by such Loan Party of any material Requirement of Law or Contractual Obligation of such Loan Party.</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as of the Seventh Amendment Effective Date.</w:t>
      </w:r>
    </w:p>
    <w:p>
      <w:pPr>
        <w:spacing w:after="0" w:line="179" w:lineRule="exact"/>
        <w:rPr>
          <w:sz w:val="20"/>
          <w:szCs w:val="20"/>
          <w:color w:val="auto"/>
        </w:rPr>
      </w:pPr>
    </w:p>
    <w:p>
      <w:pPr>
        <w:jc w:val="both"/>
        <w:ind w:firstLine="656"/>
        <w:spacing w:after="0" w:line="220"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Costs and Fees</w:t>
      </w:r>
      <w:r>
        <w:rPr>
          <w:rFonts w:ascii="Times New Roman" w:cs="Times New Roman" w:eastAsia="Times New Roman" w:hAnsi="Times New Roman"/>
          <w:sz w:val="22"/>
          <w:szCs w:val="22"/>
          <w:color w:val="auto"/>
        </w:rPr>
        <w:t>. The Borrower shall pay to the Administrative Agent all reasonable and documented out-of-pocket costs, expenses, and fees and charges of every kind in connection with the preparation, negotiation, execution and delivery of this Amendment and any documents and instruments relating hereto (which costs include, without limitation, the reasonable fees and expenses of any attorneys retained by the Administrative Agent).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6. </w:t>
      </w:r>
      <w:r>
        <w:rPr>
          <w:rFonts w:ascii="Times New Roman" w:cs="Times New Roman" w:eastAsia="Times New Roman" w:hAnsi="Times New Roman"/>
          <w:sz w:val="22"/>
          <w:szCs w:val="22"/>
          <w:u w:val="single" w:color="auto"/>
          <w:color w:val="auto"/>
        </w:rPr>
        <w:t>Choice of Law, etc.</w:t>
      </w:r>
      <w:r>
        <w:rPr>
          <w:rFonts w:ascii="Times New Roman" w:cs="Times New Roman" w:eastAsia="Times New Roman" w:hAnsi="Times New Roman"/>
          <w:sz w:val="22"/>
          <w:szCs w:val="22"/>
          <w:color w:val="auto"/>
        </w:rPr>
        <w:t xml:space="preserve">. This Amendment and the rights of the parties hereunder, shall be determined under, governed by, and construed in accordance with the internal laws (and not the conflict of law rules) of the State of New York. The provisions of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(Submission to Jurisdiction; Waivers) of the Credit Agreement are incorporated herein by reference </w:t>
      </w:r>
      <w:r>
        <w:rPr>
          <w:rFonts w:ascii="Times New Roman" w:cs="Times New Roman" w:eastAsia="Times New Roman" w:hAnsi="Times New Roman"/>
          <w:sz w:val="22"/>
          <w:szCs w:val="22"/>
          <w:i w:val="1"/>
          <w:iCs w:val="1"/>
          <w:color w:val="auto"/>
        </w:rPr>
        <w:t xml:space="preserve">mutatis mutandis </w:t>
      </w:r>
      <w:r>
        <w:rPr>
          <w:rFonts w:ascii="Times New Roman" w:cs="Times New Roman" w:eastAsia="Times New Roman" w:hAnsi="Times New Roman"/>
          <w:sz w:val="22"/>
          <w:szCs w:val="22"/>
          <w:color w:val="auto"/>
        </w:rPr>
        <w:t>with the same force and effect as if expressly written herein</w:t>
      </w:r>
    </w:p>
    <w:p>
      <w:pPr>
        <w:spacing w:after="0" w:line="152" w:lineRule="exact"/>
        <w:rPr>
          <w:sz w:val="20"/>
          <w:szCs w:val="20"/>
          <w:color w:val="auto"/>
        </w:rPr>
      </w:pPr>
    </w:p>
    <w:p>
      <w:pPr>
        <w:jc w:val="both"/>
        <w:ind w:firstLine="656"/>
        <w:spacing w:after="0" w:line="220"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 Execution</w:t>
      </w:r>
      <w:r>
        <w:rPr>
          <w:rFonts w:ascii="Times New Roman" w:cs="Times New Roman" w:eastAsia="Times New Roman" w:hAnsi="Times New Roman"/>
          <w:sz w:val="22"/>
          <w:szCs w:val="22"/>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Loan Documents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300" w:right="20" w:hanging="644"/>
        <w:spacing w:after="0" w:line="217" w:lineRule="auto"/>
        <w:tabs>
          <w:tab w:leader="none" w:pos="129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as amended hereby, and each of the other Loan Documents, as amended hereby, shall be and remain in full force and effect in accordance with their respective terms and hereby are ratified and confirmed in all respects. Each Loan Party hereby further ratifies and reaffirms the validity and enforceability of all of the Liens heretofore granted pursuant to terms and subject to the conditions set forth in the Guarantee and Collateral Agreement, the other Security Documents or any other Loan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40"/>
          </w:cols>
          <w:pgMar w:left="320" w:top="1071" w:right="339" w:bottom="1440" w:gutter="0" w:footer="0" w:header="0"/>
        </w:sectPr>
      </w:pPr>
    </w:p>
    <w:bookmarkStart w:id="57" w:name="page58"/>
    <w:bookmarkEnd w:id="57"/>
    <w:p>
      <w:pPr>
        <w:jc w:val="both"/>
        <w:ind w:left="1300"/>
        <w:spacing w:after="0" w:line="208" w:lineRule="auto"/>
        <w:rPr>
          <w:sz w:val="20"/>
          <w:szCs w:val="20"/>
          <w:color w:val="auto"/>
        </w:rPr>
      </w:pPr>
      <w:r>
        <w:rPr>
          <w:rFonts w:ascii="Times New Roman" w:cs="Times New Roman" w:eastAsia="Times New Roman" w:hAnsi="Times New Roman"/>
          <w:sz w:val="22"/>
          <w:szCs w:val="22"/>
          <w:color w:val="auto"/>
        </w:rPr>
        <w:t>Document to the Administrative Agent on behalf and for the benefit of the Secured Parties, as collateral security for 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 Each Loan Party hereby further ratifies and reaffirms the validity and enforceability of the appointment of the Administrative Agent as attorney-in-fact under each applicable Loan Document all pursuant to terms and subject to the conditions set forth therein. The execution, delivery, and performance of this Amendment shall not operate, except as expressly set forth herein, as a modification or waiver of any right, power, or remedy of the Administrative Agent or any Lender under the Credit Agreement, the Guarantee and Collateral Agreement or any other Loan Document. Nothing herein contained shall be construed as a substitution or novation of the Obligations outstanding under the Credit Agreement, the Loan Documents or instruments securing the same. The amendments, consents,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as amended herein, and shall not operate as a consent or waiver to any matter under the Loan Documents as amended herein. Except for the amendments to the Credit Agreement expressly set forth herein, the Credit Agreement, the Guarantee and Collateral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spacing w:after="0" w:line="154" w:lineRule="exact"/>
        <w:rPr>
          <w:sz w:val="20"/>
          <w:szCs w:val="20"/>
          <w:color w:val="auto"/>
        </w:rPr>
      </w:pPr>
    </w:p>
    <w:p>
      <w:pPr>
        <w:jc w:val="both"/>
        <w:ind w:left="1300" w:hanging="644"/>
        <w:spacing w:after="0" w:line="220" w:lineRule="auto"/>
        <w:tabs>
          <w:tab w:leader="none" w:pos="12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179" w:lineRule="exact"/>
        <w:rPr>
          <w:sz w:val="20"/>
          <w:szCs w:val="20"/>
          <w:color w:val="auto"/>
        </w:rPr>
      </w:pPr>
    </w:p>
    <w:p>
      <w:pPr>
        <w:jc w:val="both"/>
        <w:ind w:firstLine="656"/>
        <w:spacing w:after="0" w:line="220"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40"/>
          </w:cols>
          <w:pgMar w:left="320" w:top="1071" w:right="339" w:bottom="1440" w:gutter="0" w:footer="0" w:header="0"/>
        </w:sectPr>
      </w:pPr>
    </w:p>
    <w:bookmarkStart w:id="58" w:name="page59"/>
    <w:bookmarkEnd w:id="58"/>
    <w:p>
      <w:pPr>
        <w:spacing w:after="0" w:line="5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duly executed and delivered by their proper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duly authorized officers as of the day and year first above written.</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-13970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-13970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Seventh Amendment to Credit Agreement]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40"/>
          </w:cols>
          <w:pgMar w:left="320" w:top="1440" w:right="339" w:bottom="1440" w:gutter="0" w:footer="0" w:header="0"/>
        </w:sectPr>
      </w:pPr>
    </w:p>
    <w:bookmarkStart w:id="59" w:name="page60"/>
    <w:bookmarkEnd w:id="59"/>
    <w:p>
      <w:pPr>
        <w:ind w:left="3220"/>
        <w:spacing w:after="0"/>
        <w:rPr>
          <w:sz w:val="20"/>
          <w:szCs w:val="20"/>
          <w:color w:val="auto"/>
        </w:rPr>
      </w:pPr>
      <w:r>
        <w:rPr>
          <w:rFonts w:ascii="Times New Roman" w:cs="Times New Roman" w:eastAsia="Times New Roman" w:hAnsi="Times New Roman"/>
          <w:sz w:val="22"/>
          <w:szCs w:val="22"/>
          <w:b w:val="1"/>
          <w:bCs w:val="1"/>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tabs>
          <w:tab w:leader="none" w:pos="5720" w:val="left"/>
        </w:tabs>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as a</w:t>
      </w:r>
      <w:r>
        <w:rPr>
          <w:rFonts w:ascii="Arial" w:cs="Arial" w:eastAsia="Arial" w:hAnsi="Arial"/>
          <w:sz w:val="22"/>
          <w:szCs w:val="22"/>
          <w:b w:val="1"/>
          <w:bCs w:val="1"/>
          <w:color w:val="auto"/>
        </w:rPr>
        <w:t xml:space="preserve"> deed </w:t>
      </w: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6" w:lineRule="exact"/>
        <w:rPr>
          <w:sz w:val="20"/>
          <w:szCs w:val="20"/>
          <w:color w:val="auto"/>
        </w:rPr>
      </w:pPr>
    </w:p>
    <w:p>
      <w:pPr>
        <w:ind w:left="3220"/>
        <w:spacing w:after="0"/>
        <w:tabs>
          <w:tab w:leader="none" w:pos="5820" w:val="left"/>
        </w:tabs>
        <w:rPr>
          <w:sz w:val="20"/>
          <w:szCs w:val="20"/>
          <w:color w:val="auto"/>
        </w:rPr>
      </w:pPr>
      <w:r>
        <w:rPr>
          <w:rFonts w:ascii="Arial" w:cs="Arial" w:eastAsia="Arial" w:hAnsi="Arial"/>
          <w:sz w:val="22"/>
          <w:szCs w:val="22"/>
          <w:b w:val="1"/>
          <w:bCs w:val="1"/>
          <w:color w:val="auto"/>
        </w:rPr>
        <w:t>Kaltura Europe Limited</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3220"/>
        <w:spacing w:after="0"/>
        <w:tabs>
          <w:tab w:leader="none" w:pos="4320" w:val="left"/>
          <w:tab w:leader="none" w:pos="4620" w:val="left"/>
        </w:tabs>
        <w:rPr>
          <w:sz w:val="20"/>
          <w:szCs w:val="20"/>
          <w:color w:val="auto"/>
        </w:rPr>
      </w:pPr>
      <w:r>
        <w:rPr>
          <w:rFonts w:ascii="Arial" w:cs="Arial" w:eastAsia="Arial" w:hAnsi="Arial"/>
          <w:sz w:val="22"/>
          <w:szCs w:val="22"/>
          <w:color w:val="auto"/>
        </w:rPr>
        <w:t>acting by</w:t>
        <w:tab/>
        <w:t>)</w:t>
      </w:r>
      <w:r>
        <w:rPr>
          <w:sz w:val="20"/>
          <w:szCs w:val="20"/>
          <w:color w:val="auto"/>
        </w:rPr>
        <w:tab/>
      </w:r>
      <w:r>
        <w:rPr>
          <w:rFonts w:ascii="Arial" w:cs="Arial" w:eastAsia="Arial" w:hAnsi="Arial"/>
          <w:sz w:val="21"/>
          <w:szCs w:val="21"/>
          <w:color w:val="auto"/>
        </w:rPr>
        <w:t>………………………………………</w:t>
      </w:r>
    </w:p>
    <w:p>
      <w:pPr>
        <w:spacing w:after="0" w:line="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243" w:lineRule="exact"/>
        <w:rPr>
          <w:sz w:val="20"/>
          <w:szCs w:val="20"/>
          <w:color w:val="auto"/>
        </w:rPr>
      </w:pPr>
    </w:p>
    <w:p>
      <w:pPr>
        <w:ind w:left="3220"/>
        <w:spacing w:after="0"/>
        <w:tabs>
          <w:tab w:leader="none" w:pos="5220" w:val="left"/>
        </w:tabs>
        <w:rPr>
          <w:sz w:val="20"/>
          <w:szCs w:val="20"/>
          <w:color w:val="auto"/>
        </w:rPr>
      </w:pPr>
      <w:r>
        <w:rPr>
          <w:rFonts w:ascii="Arial" w:cs="Arial" w:eastAsia="Arial" w:hAnsi="Arial"/>
          <w:sz w:val="22"/>
          <w:szCs w:val="22"/>
          <w:color w:val="auto"/>
        </w:rPr>
        <w:t>in the presence of:</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22"/>
          <w:szCs w:val="22"/>
          <w:i w:val="1"/>
          <w:iCs w:val="1"/>
          <w:color w:val="auto"/>
        </w:rPr>
        <w:t>Witness Signature</w:t>
      </w:r>
    </w:p>
    <w:p>
      <w:pPr>
        <w:spacing w:after="0" w:line="92" w:lineRule="exact"/>
        <w:rPr>
          <w:sz w:val="20"/>
          <w:szCs w:val="20"/>
          <w:color w:val="auto"/>
        </w:rPr>
      </w:pPr>
    </w:p>
    <w:p>
      <w:pPr>
        <w:ind w:left="3220"/>
        <w:spacing w:after="0"/>
        <w:rPr>
          <w:sz w:val="20"/>
          <w:szCs w:val="20"/>
          <w:color w:val="auto"/>
        </w:rPr>
      </w:pPr>
      <w:r>
        <w:rPr>
          <w:rFonts w:ascii="Arial" w:cs="Arial" w:eastAsia="Arial" w:hAnsi="Arial"/>
          <w:sz w:val="22"/>
          <w:szCs w:val="22"/>
          <w:i w:val="1"/>
          <w:iCs w:val="1"/>
          <w:color w:val="auto"/>
        </w:rPr>
        <w:t>Name:</w:t>
      </w:r>
    </w:p>
    <w:p>
      <w:pPr>
        <w:spacing w:after="0" w:line="112" w:lineRule="exact"/>
        <w:rPr>
          <w:sz w:val="20"/>
          <w:szCs w:val="20"/>
          <w:color w:val="auto"/>
        </w:rPr>
      </w:pPr>
    </w:p>
    <w:p>
      <w:pPr>
        <w:ind w:left="3220"/>
        <w:spacing w:after="0"/>
        <w:rPr>
          <w:sz w:val="20"/>
          <w:szCs w:val="20"/>
          <w:color w:val="auto"/>
        </w:rPr>
      </w:pPr>
      <w:r>
        <w:rPr>
          <w:rFonts w:ascii="Arial" w:cs="Arial" w:eastAsia="Arial" w:hAnsi="Arial"/>
          <w:sz w:val="22"/>
          <w:szCs w:val="22"/>
          <w:i w:val="1"/>
          <w:iCs w:val="1"/>
          <w:color w:val="auto"/>
        </w:rPr>
        <w:t>Address:</w:t>
      </w:r>
    </w:p>
    <w:p>
      <w:pPr>
        <w:spacing w:after="0" w:line="112" w:lineRule="exact"/>
        <w:rPr>
          <w:sz w:val="20"/>
          <w:szCs w:val="20"/>
          <w:color w:val="auto"/>
        </w:rPr>
      </w:pPr>
    </w:p>
    <w:p>
      <w:pPr>
        <w:ind w:left="3220"/>
        <w:spacing w:after="0"/>
        <w:rPr>
          <w:sz w:val="20"/>
          <w:szCs w:val="20"/>
          <w:color w:val="auto"/>
        </w:rPr>
      </w:pPr>
      <w:r>
        <w:rPr>
          <w:rFonts w:ascii="Arial" w:cs="Arial" w:eastAsia="Arial" w:hAnsi="Arial"/>
          <w:sz w:val="22"/>
          <w:szCs w:val="22"/>
          <w:i w:val="1"/>
          <w:iCs w:val="1"/>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20"/>
          <w:szCs w:val="20"/>
          <w:color w:val="auto"/>
        </w:rPr>
        <w:t>[Signature Page to Seventh Amendment to Credit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0119"/>
          </w:cols>
          <w:pgMar w:left="340" w:top="1256" w:right="1440" w:bottom="1440" w:gutter="0" w:footer="0" w:header="0"/>
        </w:sectPr>
      </w:pPr>
    </w:p>
    <w:bookmarkStart w:id="60" w:name="page61"/>
    <w:bookmarkEnd w:id="60"/>
    <w:p>
      <w:pPr>
        <w:spacing w:after="0" w:line="275" w:lineRule="exact"/>
        <w:rPr>
          <w:sz w:val="20"/>
          <w:szCs w:val="20"/>
          <w:color w:val="auto"/>
        </w:rPr>
      </w:pPr>
    </w:p>
    <w:p>
      <w:pPr>
        <w:ind w:left="3880"/>
        <w:spacing w:after="0" w:line="287" w:lineRule="auto"/>
        <w:rPr>
          <w:sz w:val="20"/>
          <w:szCs w:val="20"/>
          <w:color w:val="auto"/>
        </w:rPr>
      </w:pPr>
      <w:r>
        <w:rPr>
          <w:rFonts w:ascii="Times New Roman" w:cs="Times New Roman" w:eastAsia="Times New Roman" w:hAnsi="Times New Roman"/>
          <w:sz w:val="22"/>
          <w:szCs w:val="22"/>
          <w:b w:val="1"/>
          <w:bCs w:val="1"/>
          <w:color w:val="auto"/>
        </w:rPr>
        <w:t>ADMINISTRATIVE AGENT, ISSUING LENDER, SWINGLINE LENDER AND A LENDER:</w:t>
      </w:r>
    </w:p>
    <w:p>
      <w:pPr>
        <w:spacing w:after="0" w:line="3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FIRST-CITIZENS BANK &amp; TRUST COMPANY</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[Signature Page to Seventh Amendment to Credit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ny-2619197</w:t>
      </w:r>
    </w:p>
    <w:p>
      <w:pPr>
        <w:sectPr>
          <w:pgSz w:w="11900" w:h="16838" w:orient="portrait"/>
          <w:cols w:equalWidth="0" w:num="1">
            <w:col w:w="11220"/>
          </w:cols>
          <w:pgMar w:left="340" w:top="1440" w:right="339" w:bottom="1440" w:gutter="0" w:footer="0" w:header="0"/>
        </w:sectPr>
      </w:pPr>
    </w:p>
    <w:bookmarkStart w:id="61" w:name="page62"/>
    <w:bookmarkEnd w:id="61"/>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Yekutiel, certify that:</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Kaltura,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3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660" w:right="120" w:hanging="328"/>
        <w:spacing w:after="0" w:line="23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ind w:left="900" w:right="220" w:hanging="451"/>
        <w:spacing w:after="0" w:line="231" w:lineRule="auto"/>
        <w:tabs>
          <w:tab w:leader="none" w:pos="7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460" w:hanging="451"/>
        <w:spacing w:after="0" w:line="231" w:lineRule="auto"/>
        <w:tabs>
          <w:tab w:leader="none" w:pos="7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620" w:hanging="451"/>
        <w:spacing w:after="0" w:line="263" w:lineRule="auto"/>
        <w:tabs>
          <w:tab w:leader="none" w:pos="70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900" w:right="320" w:hanging="451"/>
        <w:spacing w:after="0" w:line="226" w:lineRule="auto"/>
        <w:tabs>
          <w:tab w:leader="none" w:pos="7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right="240" w:hanging="451"/>
        <w:spacing w:after="0" w:line="250" w:lineRule="auto"/>
        <w:tabs>
          <w:tab w:leader="none" w:pos="7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right="180" w:hanging="451"/>
        <w:spacing w:after="0" w:line="237" w:lineRule="auto"/>
        <w:tabs>
          <w:tab w:leader="none" w:pos="7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40"/>
        <w:spacing w:after="0"/>
        <w:tabs>
          <w:tab w:leader="none" w:pos="5320" w:val="left"/>
          <w:tab w:leader="none" w:pos="79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864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2"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3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Doherty, certify that:</w:t>
      </w:r>
    </w:p>
    <w:p>
      <w:pPr>
        <w:spacing w:after="0" w:line="18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Kaltura,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3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660" w:right="120" w:hanging="328"/>
        <w:spacing w:after="0" w:line="23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ind w:left="900" w:right="220" w:hanging="451"/>
        <w:spacing w:after="0" w:line="231" w:lineRule="auto"/>
        <w:tabs>
          <w:tab w:leader="none" w:pos="7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left="900" w:right="460" w:hanging="451"/>
        <w:spacing w:after="0" w:line="250" w:lineRule="auto"/>
        <w:tabs>
          <w:tab w:leader="none" w:pos="7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00" w:right="620" w:hanging="451"/>
        <w:spacing w:after="0" w:line="263" w:lineRule="auto"/>
        <w:tabs>
          <w:tab w:leader="none" w:pos="70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00" w:right="320" w:hanging="451"/>
        <w:spacing w:after="0" w:line="231" w:lineRule="auto"/>
        <w:tabs>
          <w:tab w:leader="none" w:pos="7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00" w:right="240" w:hanging="451"/>
        <w:spacing w:after="0" w:line="237" w:lineRule="auto"/>
        <w:tabs>
          <w:tab w:leader="none" w:pos="7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900" w:right="180" w:hanging="451"/>
        <w:spacing w:after="0" w:line="237" w:lineRule="auto"/>
        <w:tabs>
          <w:tab w:leader="none" w:pos="7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40"/>
        <w:spacing w:after="0"/>
        <w:tabs>
          <w:tab w:leader="none" w:pos="5320" w:val="left"/>
          <w:tab w:leader="none" w:pos="79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864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John Doherty</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Kaltura, Inc. (the “Company”) for the period ended March 31, 2025 as filed with the</w:t>
      </w:r>
    </w:p>
    <w:p>
      <w:pPr>
        <w:spacing w:after="0" w:line="205"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57" w:lineRule="exact"/>
        <w:rPr>
          <w:sz w:val="20"/>
          <w:szCs w:val="20"/>
          <w:color w:val="auto"/>
        </w:rPr>
      </w:pPr>
    </w:p>
    <w:p>
      <w:pPr>
        <w:ind w:left="700" w:hanging="251"/>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40"/>
        <w:spacing w:after="0"/>
        <w:tabs>
          <w:tab w:leader="none" w:pos="5320" w:val="left"/>
          <w:tab w:leader="none" w:pos="79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775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Ron Yekutiel</w:t>
      </w:r>
    </w:p>
    <w:p>
      <w:pPr>
        <w:spacing w:after="0" w:line="3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Kaltura, Inc. (the “Company”) for the period ended March 31, 2025, as filed with the</w:t>
      </w:r>
    </w:p>
    <w:p>
      <w:pPr>
        <w:spacing w:after="0" w:line="205"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57" w:lineRule="exact"/>
        <w:rPr>
          <w:sz w:val="20"/>
          <w:szCs w:val="20"/>
          <w:color w:val="auto"/>
        </w:rPr>
      </w:pPr>
    </w:p>
    <w:p>
      <w:pPr>
        <w:ind w:left="700" w:hanging="251"/>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40"/>
        <w:spacing w:after="0"/>
        <w:tabs>
          <w:tab w:leader="none" w:pos="5320" w:val="left"/>
          <w:tab w:leader="none" w:pos="79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77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2"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John Doherty</w:t>
      </w:r>
    </w:p>
    <w:p>
      <w:pPr>
        <w:spacing w:after="0" w:line="3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lowerLetter"/>
      <w:start w:val="1"/>
    </w:lvl>
    <w:lvl w:ilvl="1">
      <w:lvlJc w:val="left"/>
      <w:lvlText w:val="(%2)"/>
      <w:numFmt w:val="lowerLetter"/>
      <w:start w:val="7"/>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lowerLetter"/>
      <w:start w:val="1"/>
    </w:lvl>
    <w:lvl w:ilvl="1">
      <w:lvlJc w:val="left"/>
      <w:lvlText w:val="(%2)"/>
      <w:numFmt w:val="upperLetter"/>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decimal"/>
      <w:start w:val="7"/>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decimal"/>
      <w:start w:val="9"/>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76" Type="http://schemas.openxmlformats.org/officeDocument/2006/relationships/hyperlink" Target="https://www.sec.gov/Archives/edgar/data/1432133/000162828021014333/exhibit31-closing8xk.htm" TargetMode="External"/><Relationship Id="rId77" Type="http://schemas.openxmlformats.org/officeDocument/2006/relationships/hyperlink" Target="https://www.sec.gov/Archives/edgar/data/1432133/000143213322000035/kalturainc-certificateofde.htm" TargetMode="External"/><Relationship Id="rId78" Type="http://schemas.openxmlformats.org/officeDocument/2006/relationships/hyperlink" Target="https://www.sec.gov/Archives/edgar/data/1432133/000162828021014333/exhibit32-closing8xk.htm" TargetMode="External"/><Relationship Id="rId79" Type="http://schemas.openxmlformats.org/officeDocument/2006/relationships/hyperlink" Target="https://www.sec.gov/Archives/edgar/data/1432133/000162828021005315/exhibit41-sx1a1.htm" TargetMode="External"/><Relationship Id="rId81" Type="http://schemas.openxmlformats.org/officeDocument/2006/relationships/hyperlink" Target="https://www.sec.gov/Archives/edgar/data/1432133/000162828021005315/exhibit42-sx1a1.htm" TargetMode="External"/><Relationship Id="rId82" Type="http://schemas.openxmlformats.org/officeDocument/2006/relationships/hyperlink" Target="https://www.sec.gov/Archives/edgar/data/1432133/000143213325000025/exhibit1022-amendmenttoemp.htm" TargetMode="External"/><Relationship Id="rId83" Type="http://schemas.openxmlformats.org/officeDocument/2006/relationships/hyperlink" Target="https://www.sec.gov/Archives/edgar/data/1432133/000143213325000025/exhibit1023-amendmenttocon.htm" TargetMode="External"/><Relationship Id="rId84" Type="http://schemas.openxmlformats.org/officeDocument/2006/relationships/hyperlink" Target="https://www.sec.gov/Archives/edgar/data/1432133/000143213325000025/exhibit1024-amendmenttocon.htm" TargetMode="External"/><Relationship Id="rId85" Type="http://schemas.openxmlformats.org/officeDocument/2006/relationships/hyperlink" Target="https://www.sec.gov/Archives/edgar/data/1432133/000143213325000025/exhibit1030-amendmenttoemp.htm" TargetMode="External"/><Relationship Id="rId86" Type="http://schemas.openxmlformats.org/officeDocument/2006/relationships/hyperlink" Target="https://www.sec.gov/Archives/edgar/data/1432133/000143213325000025/exhibit1032-amendmenttoemp.htm" TargetMode="External"/><Relationship Id="rId87" Type="http://schemas.openxmlformats.org/officeDocument/2006/relationships/hyperlink" Target="https://www.sec.gov/Archives/edgar/data/1432133/000143213325000025/exhibit1034-amendmenttoof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2025-05-08T08:34:34Z</dcterms:created>
  <dcterms:modified xsi:type="dcterms:W3CDTF">2025-05-08T08:34:34Z</dcterms:modified>
</cp:coreProperties>
</file>