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4.png" ContentType="image/png"/>
  <Override PartName="/word/media/image70.png" ContentType="image/pn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2.png" ContentType="image/png"/>
  <Override PartName="/word/media/image61.png" ContentType="image/png"/>
  <Override PartName="/word/media/image60.png" ContentType="image/png"/>
  <Override PartName="/word/media/image59.png" ContentType="image/png"/>
  <Override PartName="/word/media/image51.png" ContentType="image/png"/>
  <Override PartName="/word/media/image50.jpeg" ContentType="image/jpeg"/>
  <Override PartName="/word/media/image52.png" ContentType="image/png"/>
  <Override PartName="/word/media/image49.jpeg" ContentType="image/jpeg"/>
  <Override PartName="/word/media/image48.jpeg" ContentType="image/jpeg"/>
  <Override PartName="/word/media/image47.jpeg" ContentType="image/jpeg"/>
  <Override PartName="/word/media/image77.jpeg" ContentType="image/jpeg"/>
  <Override PartName="/word/media/image2.jpeg" ContentType="image/jpeg"/>
  <Override PartName="/word/media/image72.jpeg" ContentType="image/jpeg"/>
  <Override PartName="/word/media/image16.jpeg" ContentType="image/jpeg"/>
  <Override PartName="/word/media/image46.jpeg" ContentType="image/jpeg"/>
  <Override PartName="/word/media/image71.jpeg" ContentType="image/jpeg"/>
  <Override PartName="/word/media/image15.jpeg" ContentType="image/jpeg"/>
  <Override PartName="/word/media/image31.png" ContentType="image/png"/>
  <Override PartName="/word/media/image41.jpeg" ContentType="image/jpeg"/>
  <Override PartName="/word/media/image45.jpeg" ContentType="image/jpeg"/>
  <Override PartName="/word/media/image57.jpeg" ContentType="image/jpeg"/>
  <Override PartName="/word/media/image1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58.png" ContentType="image/png"/>
  <Override PartName="/word/media/image6.jpeg" ContentType="image/jpeg"/>
  <Override PartName="/word/media/image36.jpeg" ContentType="image/jpeg"/>
  <Override PartName="/word/media/image4.jpeg" ContentType="image/jpeg"/>
  <Override PartName="/word/media/image20.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63.png" ContentType="image/png"/>
  <Override PartName="/word/media/image18.jpeg" ContentType="image/jpeg"/>
  <Override PartName="/word/media/image78.jpeg" ContentType="image/jpeg"/>
  <Override PartName="/word/media/image35.jpeg" ContentType="image/jpeg"/>
  <Override PartName="/word/media/image3.jpeg" ContentType="image/jpeg"/>
  <Override PartName="/word/media/image28.png" ContentType="image/pn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34.png" ContentType="image/png"/>
  <Override PartName="/word/media/image26.jpeg" ContentType="image/jpeg"/>
  <Override PartName="/word/media/image40.jpeg" ContentType="image/jpeg"/>
  <Override PartName="/word/media/image44.png" ContentType="image/png"/>
  <Override PartName="/word/media/image27.jpeg" ContentType="image/jpeg"/>
  <Override PartName="/word/media/image29.jpeg" ContentType="image/jpeg"/>
  <Override PartName="/word/media/image53.png" ContentType="image/png"/>
  <Override PartName="/word/media/image17.jpeg" ContentType="image/jpeg"/>
  <Override PartName="/word/media/image30.jpeg" ContentType="image/jpeg"/>
  <Override PartName="/word/media/image75.jpeg" ContentType="image/jpeg"/>
  <Override PartName="/word/media/image73.png" ContentType="image/png"/>
  <Override PartName="/word/media/image19.jpeg" ContentType="image/jpeg"/>
  <Override PartName="/word/media/image32.jpeg" ContentType="image/jpeg"/>
  <Override PartName="/word/media/image76.jpeg" ContentType="image/jpeg"/>
  <Override PartName="/word/media/image1.jpeg" ContentType="image/jpeg"/>
  <Override PartName="/word/media/image33.jpeg" ContentType="image/jpeg"/>
  <Override PartName="/word/media/image38.jpeg" ContentType="image/jpeg"/>
  <Override PartName="/word/media/image39.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jc w:val="both"/>
        <w:rPr/>
      </w:pPr>
      <w:r>
        <w:rPr/>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As filed with the Securities and Exchange Commission on March 26, 2021</w:t>
      </w:r>
    </w:p>
    <w:p>
      <w:pPr>
        <w:pStyle w:val="TextBody"/>
        <w:spacing w:lineRule="auto" w:line="288" w:before="0" w:after="0"/>
        <w:jc w:val="right"/>
        <w:rPr>
          <w:rFonts w:ascii="Helvetica;sans-serif" w:hAnsi="Helvetica;sans-serif"/>
          <w:b/>
          <w:color w:val="000000"/>
          <w:sz w:val="16"/>
        </w:rPr>
      </w:pPr>
      <w:r>
        <w:rPr>
          <w:rFonts w:ascii="Helvetica;sans-serif" w:hAnsi="Helvetica;sans-serif"/>
          <w:b/>
          <w:color w:val="000000"/>
          <w:sz w:val="16"/>
        </w:rPr>
        <w:t>Registration No. 333-253699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Helvetica;sans-serif" w:hAnsi="Helvetica;sans-serif"/>
          <w:b/>
          <w:color w:val="000000"/>
          <w:sz w:val="24"/>
        </w:rPr>
      </w:pPr>
      <w:r>
        <w:rPr>
          <w:rFonts w:ascii="Helvetica;sans-serif" w:hAnsi="Helvetica;sans-serif"/>
          <w:b/>
          <w:color w:val="000000"/>
          <w:sz w:val="24"/>
        </w:rPr>
        <w:t>UNITED STATES</w:t>
      </w:r>
    </w:p>
    <w:p>
      <w:pPr>
        <w:pStyle w:val="TextBody"/>
        <w:spacing w:lineRule="auto" w:line="288" w:before="0" w:after="0"/>
        <w:jc w:val="center"/>
        <w:rPr>
          <w:rFonts w:ascii="Helvetica;sans-serif" w:hAnsi="Helvetica;sans-serif"/>
          <w:b/>
          <w:color w:val="000000"/>
          <w:sz w:val="24"/>
        </w:rPr>
      </w:pPr>
      <w:r>
        <w:rPr>
          <w:rFonts w:ascii="Helvetica;sans-serif" w:hAnsi="Helvetica;sans-serif"/>
          <w:b/>
          <w:color w:val="000000"/>
          <w:sz w:val="24"/>
        </w:rPr>
        <w:t>SECURITIES AND EXCHANGE COMMISSION</w:t>
      </w:r>
    </w:p>
    <w:p>
      <w:pPr>
        <w:pStyle w:val="TextBody"/>
        <w:spacing w:lineRule="auto" w:line="288" w:before="0" w:after="60"/>
        <w:jc w:val="center"/>
        <w:rPr>
          <w:rFonts w:ascii="Helvetica;sans-serif" w:hAnsi="Helvetica;sans-serif"/>
          <w:b/>
          <w:color w:val="000000"/>
          <w:sz w:val="16"/>
        </w:rPr>
      </w:pPr>
      <w:r>
        <w:rPr>
          <w:rFonts w:ascii="Helvetica;sans-serif" w:hAnsi="Helvetica;sans-serif"/>
          <w:b/>
          <w:color w:val="000000"/>
          <w:sz w:val="16"/>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Helvetica;sans-serif" w:hAnsi="Helvetica;sans-serif"/>
          <w:b/>
          <w:color w:val="000000"/>
          <w:sz w:val="24"/>
        </w:rPr>
      </w:pPr>
      <w:r>
        <w:rPr>
          <w:rFonts w:ascii="Helvetica;sans-serif" w:hAnsi="Helvetica;sans-serif"/>
          <w:b/>
          <w:color w:val="000000"/>
          <w:sz w:val="24"/>
        </w:rPr>
        <w:t>Amendment No. 2 to</w:t>
      </w:r>
    </w:p>
    <w:p>
      <w:pPr>
        <w:pStyle w:val="TextBody"/>
        <w:spacing w:lineRule="auto" w:line="288" w:before="60" w:after="60"/>
        <w:jc w:val="center"/>
        <w:rPr>
          <w:rFonts w:ascii="Helvetica;sans-serif" w:hAnsi="Helvetica;sans-serif"/>
          <w:b/>
          <w:color w:val="000000"/>
          <w:sz w:val="24"/>
        </w:rPr>
      </w:pPr>
      <w:r>
        <w:rPr>
          <w:rFonts w:ascii="Helvetica;sans-serif" w:hAnsi="Helvetica;sans-serif"/>
          <w:b/>
          <w:color w:val="000000"/>
          <w:sz w:val="24"/>
        </w:rPr>
        <w:t>FORM S-1</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REGISTRATION STATEMENT</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UNDER</w:t>
      </w:r>
    </w:p>
    <w:p>
      <w:pPr>
        <w:pStyle w:val="TextBody"/>
        <w:spacing w:lineRule="auto" w:line="288" w:before="0" w:after="60"/>
        <w:jc w:val="center"/>
        <w:rPr>
          <w:rFonts w:ascii="Helvetica;sans-serif" w:hAnsi="Helvetica;sans-serif"/>
          <w:b/>
          <w:color w:val="000000"/>
          <w:sz w:val="16"/>
        </w:rPr>
      </w:pPr>
      <w:r>
        <w:rPr>
          <w:rFonts w:ascii="Helvetica;sans-serif" w:hAnsi="Helvetica;sans-serif"/>
          <w:b/>
          <w:color w:val="000000"/>
          <w:sz w:val="16"/>
        </w:rPr>
        <w:t>THE SECURITIES ACT OF 1933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Helvetica;sans-serif" w:hAnsi="Helvetica;sans-serif"/>
          <w:b/>
          <w:color w:val="000000"/>
          <w:sz w:val="32"/>
        </w:rPr>
      </w:pPr>
      <w:r>
        <w:rPr>
          <w:rFonts w:ascii="Helvetica;sans-serif" w:hAnsi="Helvetica;sans-serif"/>
          <w:b/>
          <w:color w:val="000000"/>
          <w:sz w:val="32"/>
        </w:rPr>
        <w:t>Kaltura, Inc.</w:t>
      </w:r>
    </w:p>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(Exact name of registrant as specified in its charter)</w:t>
      </w:r>
    </w:p>
    <w:tbl>
      <w:tblPr>
        <w:tblW w:w="5847" w:type="dxa"/>
        <w:jc w:val="left"/>
        <w:tblInd w:w="0" w:type="dxa"/>
        <w:tblCellMar>
          <w:top w:w="28" w:type="dxa"/>
          <w:left w:w="28" w:type="dxa"/>
          <w:bottom w:w="28" w:type="dxa"/>
          <w:right w:w="28" w:type="dxa"/>
        </w:tblCellMar>
      </w:tblPr>
      <w:tblGrid>
        <w:gridCol w:w="812"/>
        <w:gridCol w:w="715"/>
        <w:gridCol w:w="722"/>
        <w:gridCol w:w="727"/>
        <w:gridCol w:w="727"/>
        <w:gridCol w:w="735"/>
        <w:gridCol w:w="410"/>
        <w:gridCol w:w="410"/>
        <w:gridCol w:w="589"/>
      </w:tblGrid>
      <w:tr>
        <w:trPr/>
        <w:tc>
          <w:tcPr>
            <w:tcW w:w="812"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7372</w:t>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20-8128326</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(State or other jurisdiction of</w:t>
              <w:br/>
              <w:t>incorporation or organization)</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(Primary Standard Industrial</w:t>
              <w:br/>
              <w:t>Classification Code Number)</w:t>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(I.R.S. Employer</w:t>
              <w:br/>
              <w:t>Identification No.)</w:t>
            </w:r>
          </w:p>
        </w:tc>
      </w:tr>
    </w:tbl>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250 Park Avenue South</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10th Floor</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New York, New York 10003</w:t>
      </w:r>
    </w:p>
    <w:p>
      <w:pPr>
        <w:pStyle w:val="TextBody"/>
        <w:spacing w:lineRule="auto" w:line="288" w:before="0" w:after="60"/>
        <w:jc w:val="center"/>
        <w:rPr>
          <w:rFonts w:ascii="Helvetica;sans-serif" w:hAnsi="Helvetica;sans-serif"/>
          <w:b w:val="false"/>
          <w:color w:val="000000"/>
          <w:sz w:val="16"/>
        </w:rPr>
      </w:pPr>
      <w:r>
        <w:rPr>
          <w:rFonts w:ascii="Helvetica;sans-serif" w:hAnsi="Helvetica;sans-serif"/>
          <w:b w:val="false"/>
          <w:color w:val="000000"/>
          <w:sz w:val="16"/>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Ron Yekutiel</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Chairman and Chief Executive Officer</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Kaltura, Inc.</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250 Park Avenue South</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10th Floor</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New York, New York 10003</w:t>
      </w:r>
    </w:p>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(646) 290-5445</w:t>
      </w:r>
    </w:p>
    <w:p>
      <w:pPr>
        <w:pStyle w:val="TextBody"/>
        <w:spacing w:lineRule="auto" w:line="288" w:before="0" w:after="60"/>
        <w:jc w:val="center"/>
        <w:rPr>
          <w:rFonts w:ascii="Helvetica;sans-serif" w:hAnsi="Helvetica;sans-serif"/>
          <w:b w:val="false"/>
          <w:color w:val="000000"/>
          <w:sz w:val="16"/>
        </w:rPr>
      </w:pPr>
      <w:r>
        <w:rPr>
          <w:rFonts w:ascii="Helvetica;sans-serif" w:hAnsi="Helvetica;sans-serif"/>
          <w:b w:val="false"/>
          <w:color w:val="000000"/>
          <w:sz w:val="16"/>
        </w:rPr>
        <w:t>(Name, address, including zip code, and telephone number, including area code, of agent for service)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79"/>
        <w:gridCol w:w="685"/>
        <w:gridCol w:w="686"/>
        <w:gridCol w:w="711"/>
        <w:gridCol w:w="711"/>
        <w:gridCol w:w="713"/>
        <w:gridCol w:w="655"/>
        <w:gridCol w:w="655"/>
        <w:gridCol w:w="656"/>
        <w:gridCol w:w="663"/>
        <w:gridCol w:w="663"/>
        <w:gridCol w:w="665"/>
        <w:gridCol w:w="573"/>
        <w:gridCol w:w="573"/>
        <w:gridCol w:w="817"/>
      </w:tblGrid>
      <w:tr>
        <w:trPr/>
        <w:tc>
          <w:tcPr>
            <w:tcW w:w="77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Copies to:</w:t>
            </w:r>
          </w:p>
        </w:tc>
      </w:tr>
      <w:tr>
        <w:trPr/>
        <w:tc>
          <w:tcPr>
            <w:tcW w:w="215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Marc D. Jaffe, Esq.</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Joshua G. Kiernan, Esq.</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Benjamin J. Cohen, Esq.</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Latham &amp; Watkins LLP</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885 Third Avenue</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New York, New York 10022</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Telephone: (212) 906-1200</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Fax: (212) 751-4864</w:t>
            </w:r>
          </w:p>
        </w:tc>
        <w:tc>
          <w:tcPr>
            <w:tcW w:w="2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Nitzan Hirsch-Falk</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Yuval Oren</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Yoav Meer</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H-F &amp; Co.</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 xml:space="preserve">Rubinstein House, </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20 Lincoln St. </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10th Floor</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Tel Aviv, Israel</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Telephone: +972 (3) 794-4888</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Fax: +972 (3) 794-4878</w:t>
            </w:r>
          </w:p>
        </w:tc>
        <w:tc>
          <w:tcPr>
            <w:tcW w:w="196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Byron Kahr, Esq.</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General Counsel</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Kaltura, Inc.</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250 Park Avenue South</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10th Floor</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New York, New York 10003</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Telephone: (646) 290-5445</w:t>
            </w:r>
          </w:p>
          <w:p>
            <w:pPr>
              <w:pStyle w:val="TableContents"/>
              <w:spacing w:before="0" w:after="0"/>
              <w:jc w:val="center"/>
              <w:rPr/>
            </w:pPr>
            <w:r>
              <w:rPr/>
            </w:r>
          </w:p>
        </w:tc>
        <w:tc>
          <w:tcPr>
            <w:tcW w:w="19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Michael Kaplan, Esq.</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Emily Roberts, Esq.</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Davis Polk &amp; Wardwell LLP</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450 Lexington Avenue</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New York, New York 10017</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Telephone: (212) 450-4000</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Fax: (212) 701-5800</w:t>
            </w:r>
          </w:p>
        </w:tc>
        <w:tc>
          <w:tcPr>
            <w:tcW w:w="196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Shachar Hadar</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Elad Ziv</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Meitar | Law Offices</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16 Abba Hillel Road</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Ramat Gan 5250608, Israel</w:t>
            </w:r>
          </w:p>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+972 (3)-610-3100</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Helvetica;sans-serif" w:hAnsi="Helvetica;sans-serif"/>
          <w:b/>
          <w:color w:val="000000"/>
          <w:sz w:val="16"/>
        </w:rPr>
      </w:pPr>
      <w:r>
        <w:rPr>
          <w:rFonts w:ascii="Helvetica;sans-serif" w:hAnsi="Helvetica;sans-serif"/>
          <w:b/>
          <w:color w:val="000000"/>
          <w:sz w:val="16"/>
        </w:rPr>
        <w:t>Approximate date of commencement of proposed sale to the public:</w:t>
      </w:r>
    </w:p>
    <w:p>
      <w:pPr>
        <w:pStyle w:val="TextBody"/>
        <w:spacing w:lineRule="auto" w:line="288" w:before="0" w:after="60"/>
        <w:jc w:val="center"/>
        <w:rPr>
          <w:rFonts w:ascii="Helvetica;sans-serif" w:hAnsi="Helvetica;sans-serif"/>
          <w:b/>
          <w:color w:val="000000"/>
          <w:sz w:val="16"/>
        </w:rPr>
      </w:pPr>
      <w:r>
        <w:rPr>
          <w:rFonts w:ascii="Helvetica;sans-serif" w:hAnsi="Helvetica;sans-serif"/>
          <w:b/>
          <w:color w:val="000000"/>
          <w:sz w:val="16"/>
        </w:rPr>
        <w:t>As soon as practicable after the effective date of this Registration Statement.</w:t>
      </w:r>
    </w:p>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If any of the securities being registered on this Form are to be offered on a delayed or continuous basis pursuant to Rule 415 under the Securities Act of 1933, check the following box. ☐</w:t>
      </w:r>
    </w:p>
    <w:p>
      <w:pPr>
        <w:pStyle w:val="TextBody"/>
        <w:spacing w:lineRule="auto" w:line="288" w:before="0" w:after="40"/>
        <w:jc w:val="both"/>
        <w:rPr>
          <w:rFonts w:ascii="Helvetica;sans-serif" w:hAnsi="Helvetica;sans-serif"/>
          <w:b w:val="false"/>
          <w:color w:val="000000"/>
          <w:sz w:val="16"/>
        </w:rPr>
      </w:pPr>
      <w:r>
        <w:rPr>
          <w:rFonts w:ascii="Helvetica;sans-serif" w:hAnsi="Helvetica;sans-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lineRule="auto" w:line="288" w:before="0" w:after="40"/>
        <w:jc w:val="both"/>
        <w:rPr>
          <w:rFonts w:ascii="Helvetica;sans-serif" w:hAnsi="Helvetica;sans-serif"/>
          <w:b w:val="false"/>
          <w:color w:val="000000"/>
          <w:sz w:val="16"/>
        </w:rPr>
      </w:pPr>
      <w:r>
        <w:rPr>
          <w:rFonts w:ascii="Helvetica;sans-serif" w:hAnsi="Helvetica;sans-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pacing w:lineRule="auto" w:line="288" w:before="0" w:after="40"/>
        <w:jc w:val="both"/>
        <w:rPr>
          <w:rFonts w:ascii="Helvetica;sans-serif" w:hAnsi="Helvetica;sans-serif"/>
          <w:b w:val="false"/>
          <w:color w:val="000000"/>
          <w:sz w:val="16"/>
        </w:rPr>
      </w:pPr>
      <w:r>
        <w:rPr>
          <w:rFonts w:ascii="Helvetica;sans-serif" w:hAnsi="Helvetica;sans-serif"/>
          <w:b w:val="false"/>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32" w:type="dxa"/>
        <w:jc w:val="left"/>
        <w:tblInd w:w="0" w:type="dxa"/>
        <w:tblCellMar>
          <w:top w:w="28" w:type="dxa"/>
          <w:left w:w="28" w:type="dxa"/>
          <w:bottom w:w="28" w:type="dxa"/>
          <w:right w:w="28" w:type="dxa"/>
        </w:tblCellMar>
      </w:tblPr>
      <w:tblGrid>
        <w:gridCol w:w="701"/>
        <w:gridCol w:w="617"/>
        <w:gridCol w:w="618"/>
        <w:gridCol w:w="672"/>
        <w:gridCol w:w="672"/>
        <w:gridCol w:w="952"/>
      </w:tblGrid>
      <w:tr>
        <w:trPr/>
        <w:tc>
          <w:tcPr>
            <w:tcW w:w="70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r>
      <w:tr>
        <w:trPr/>
        <w:tc>
          <w:tcPr>
            <w:tcW w:w="19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Large accelerated filer ☐</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Accelerated filer ☐</w:t>
            </w:r>
          </w:p>
        </w:tc>
      </w:tr>
      <w:tr>
        <w:trPr/>
        <w:tc>
          <w:tcPr>
            <w:tcW w:w="19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 ☒</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 ☐</w:t>
            </w:r>
          </w:p>
        </w:tc>
      </w:tr>
      <w:tr>
        <w:trPr/>
        <w:tc>
          <w:tcPr>
            <w:tcW w:w="1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 ☒</w:t>
            </w:r>
          </w:p>
        </w:tc>
      </w:tr>
    </w:tbl>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180"/>
        <w:ind w:left="0" w:right="0" w:firstLine="360"/>
        <w:jc w:val="both"/>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Helvetica;sans-serif" w:hAnsi="Helvetica;sans-serif"/>
          <w:b/>
          <w:color w:val="000000"/>
          <w:sz w:val="16"/>
        </w:rPr>
      </w:pPr>
      <w:r>
        <w:rPr>
          <w:rFonts w:ascii="Helvetica;sans-serif" w:hAnsi="Helvetica;sans-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0" w:after="120"/>
        <w:rPr>
          <w:rFonts w:ascii="Helvetica;sans-serif" w:hAnsi="Helvetica;sans-serif"/>
          <w:b w:val="false"/>
          <w:i/>
          <w:color w:val="DE1A1E"/>
          <w:sz w:val="16"/>
        </w:rPr>
      </w:pPr>
      <w:r>
        <w:rPr>
          <w:rFonts w:ascii="Helvetica;sans-serif" w:hAnsi="Helvetica;sans-serif"/>
          <w:b w:val="false"/>
          <w:i/>
          <w:color w:val="DE1A1E"/>
          <w:sz w:val="16"/>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spacing w:lineRule="auto" w:line="288" w:before="0" w:after="0"/>
        <w:jc w:val="center"/>
        <w:rPr>
          <w:rFonts w:ascii="Helvetica;sans-serif" w:hAnsi="Helvetica;sans-serif"/>
          <w:b/>
          <w:color w:val="DE1A1E"/>
          <w:sz w:val="20"/>
        </w:rPr>
      </w:pPr>
      <w:r>
        <w:rPr>
          <w:rFonts w:ascii="Helvetica;sans-serif" w:hAnsi="Helvetica;sans-serif"/>
          <w:b/>
          <w:color w:val="DE1A1E"/>
          <w:sz w:val="20"/>
        </w:rPr>
        <w:t>Subject to Completion</w:t>
      </w:r>
    </w:p>
    <w:p>
      <w:pPr>
        <w:pStyle w:val="TextBody"/>
        <w:spacing w:lineRule="auto" w:line="288" w:before="0" w:after="60"/>
        <w:jc w:val="center"/>
        <w:rPr>
          <w:rFonts w:ascii="Helvetica;sans-serif" w:hAnsi="Helvetica;sans-serif"/>
          <w:b/>
          <w:color w:val="DE1A1E"/>
          <w:sz w:val="20"/>
        </w:rPr>
      </w:pPr>
      <w:r>
        <w:rPr>
          <w:rFonts w:ascii="Helvetica;sans-serif" w:hAnsi="Helvetica;sans-serif"/>
          <w:b/>
          <w:color w:val="DE1A1E"/>
          <w:sz w:val="20"/>
        </w:rPr>
        <w:t>Preliminary Prospectus dated March 26, 2021</w:t>
      </w:r>
    </w:p>
    <w:p>
      <w:pPr>
        <w:pStyle w:val="TextBody"/>
        <w:spacing w:lineRule="auto" w:line="288" w:before="0" w:after="60"/>
        <w:jc w:val="both"/>
        <w:rPr>
          <w:rFonts w:ascii="Helvetica;sans-serif" w:hAnsi="Helvetica;sans-serif"/>
          <w:b w:val="false"/>
          <w:color w:val="000000"/>
          <w:sz w:val="20"/>
          <w:u w:val="single"/>
        </w:rPr>
      </w:pPr>
      <w:r>
        <w:rPr>
          <w:rFonts w:ascii="Helvetica;sans-serif" w:hAnsi="Helvetica;sans-serif"/>
          <w:b w:val="false"/>
          <w:color w:val="000000"/>
          <w:sz w:val="20"/>
          <w:u w:val="single"/>
        </w:rPr>
        <w:t>PRELIMINARY PROSPECTUS</w:t>
      </w:r>
    </w:p>
    <w:p>
      <w:pPr>
        <w:pStyle w:val="TextBody"/>
        <w:spacing w:lineRule="auto" w:line="288" w:before="120" w:after="283"/>
        <w:jc w:val="center"/>
        <w:rPr>
          <w:rFonts w:ascii="Helvetica;sans-serif" w:hAnsi="Helvetica;sans-serif"/>
          <w:b w:val="false"/>
          <w:color w:val="000000"/>
          <w:sz w:val="36"/>
        </w:rPr>
      </w:pPr>
      <w:r>
        <w:rPr>
          <w:rFonts w:ascii="Helvetica;sans-serif" w:hAnsi="Helvetica;sans-serif"/>
          <w:b w:val="false"/>
          <w:color w:val="000000"/>
          <w:sz w:val="36"/>
        </w:rPr>
        <w:t>23,500,000 Shares</w:t>
      </w:r>
    </w:p>
    <w:p>
      <w:pPr>
        <w:pStyle w:val="TextBody"/>
        <w:spacing w:before="60" w:after="283"/>
        <w:jc w:val="center"/>
        <w:rPr/>
      </w:pPr>
      <w:r>
        <w:rPr/>
        <w:drawing>
          <wp:inline distT="0" distB="63500" distL="0" distR="0">
            <wp:extent cx="3838575" cy="9810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838575" cy="981075"/>
                    </a:xfrm>
                    <a:prstGeom prst="rect">
                      <a:avLst/>
                    </a:prstGeom>
                  </pic:spPr>
                </pic:pic>
              </a:graphicData>
            </a:graphic>
          </wp:inline>
        </w:drawing>
      </w:r>
    </w:p>
    <w:p>
      <w:pPr>
        <w:pStyle w:val="TextBody"/>
        <w:spacing w:lineRule="auto" w:line="288" w:before="60" w:after="283"/>
        <w:jc w:val="center"/>
        <w:rPr>
          <w:rFonts w:ascii="Helvetica;sans-serif" w:hAnsi="Helvetica;sans-serif"/>
          <w:b w:val="false"/>
          <w:color w:val="000000"/>
          <w:sz w:val="48"/>
        </w:rPr>
      </w:pPr>
      <w:r>
        <w:rPr>
          <w:rFonts w:ascii="Helvetica;sans-serif" w:hAnsi="Helvetica;sans-serif"/>
          <w:b w:val="false"/>
          <w:color w:val="000000"/>
          <w:sz w:val="48"/>
        </w:rPr>
        <w:t>Kaltura, Inc.</w:t>
      </w:r>
    </w:p>
    <w:p>
      <w:pPr>
        <w:pStyle w:val="TextBody"/>
        <w:spacing w:lineRule="auto" w:line="288" w:before="120" w:after="60"/>
        <w:jc w:val="center"/>
        <w:rPr>
          <w:rFonts w:ascii="Helvetica;sans-serif" w:hAnsi="Helvetica;sans-serif"/>
          <w:b w:val="false"/>
          <w:color w:val="000000"/>
          <w:sz w:val="28"/>
        </w:rPr>
      </w:pPr>
      <w:r>
        <w:rPr>
          <w:rFonts w:ascii="Helvetica;sans-serif" w:hAnsi="Helvetica;sans-serif"/>
          <w:b w:val="false"/>
          <w:color w:val="000000"/>
          <w:sz w:val="28"/>
        </w:rPr>
        <w:t>Common Stock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is Kaltura, Inc.’s initial public offering. We are selling 17,400,000 shares of our common stock and the selling stockholders named in this prospectus are selling 6,100,000 shares of our common stock. We will not receive any proceeds from the sale of shares of common stock to be offered by the selling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the initial public offering price to be between $14.00 and $16.00 per share. Currently, no public market exists for the shares. After pricing of the offering, we expect that the shares will trade on the Nasdaq Global Select Market under the symbol “KLTR.”</w:t>
      </w:r>
    </w:p>
    <w:p>
      <w:pPr>
        <w:pStyle w:val="TextBody"/>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We are an “emerging growth company” under the federal securities laws and are subject to reduced public company disclosure standards. See “Prospectus Summary—Implications of Being an Emerging Growth Company.”</w:t>
      </w:r>
    </w:p>
    <w:p>
      <w:pPr>
        <w:pStyle w:val="TextBody"/>
        <w:spacing w:lineRule="auto" w:line="288" w:before="0" w:after="180"/>
        <w:ind w:left="0" w:right="0" w:firstLine="360"/>
        <w:jc w:val="both"/>
        <w:rPr/>
      </w:pPr>
      <w:r>
        <w:rPr>
          <w:rFonts w:ascii="Helvetica;sans-serif" w:hAnsi="Helvetica;sans-serif"/>
          <w:b/>
          <w:color w:val="000000"/>
          <w:sz w:val="20"/>
        </w:rPr>
        <w:t>Investing in the common stock involves risks that are described in the “</w:t>
      </w:r>
      <w:hyperlink w:anchor="if08c922b784c46ee8db98fe661f57792_37">
        <w:r>
          <w:rPr>
            <w:rStyle w:val="InternetLink"/>
            <w:rFonts w:ascii="Helvetica;sans-serif" w:hAnsi="Helvetica;sans-serif"/>
            <w:b/>
            <w:color w:val="0000FF"/>
            <w:sz w:val="20"/>
            <w:u w:val="single"/>
          </w:rPr>
          <w:t>Risk Factors</w:t>
        </w:r>
      </w:hyperlink>
      <w:r>
        <w:rPr>
          <w:color w:val="000000"/>
        </w:rPr>
        <w:t xml:space="preserve">” </w:t>
      </w:r>
      <w:r>
        <w:rPr>
          <w:rFonts w:ascii="Helvetica;sans-serif" w:hAnsi="Helvetica;sans-serif"/>
          <w:b/>
          <w:color w:val="000000"/>
          <w:sz w:val="20"/>
        </w:rPr>
        <w:t>section beginning on page 20 of this prospectus.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6254" w:type="dxa"/>
        <w:jc w:val="left"/>
        <w:tblInd w:w="0" w:type="dxa"/>
        <w:tblCellMar>
          <w:top w:w="28" w:type="dxa"/>
          <w:left w:w="28" w:type="dxa"/>
          <w:bottom w:w="28" w:type="dxa"/>
          <w:right w:w="28" w:type="dxa"/>
        </w:tblCellMar>
      </w:tblPr>
      <w:tblGrid>
        <w:gridCol w:w="1752"/>
        <w:gridCol w:w="1543"/>
        <w:gridCol w:w="1549"/>
        <w:gridCol w:w="284"/>
        <w:gridCol w:w="284"/>
        <w:gridCol w:w="286"/>
        <w:gridCol w:w="162"/>
        <w:gridCol w:w="162"/>
        <w:gridCol w:w="232"/>
      </w:tblGrid>
      <w:tr>
        <w:trPr/>
        <w:tc>
          <w:tcPr>
            <w:tcW w:w="1752"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 Share</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Initial public offering price</w:t>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Underwriting discounts and commissions</w:t>
            </w:r>
            <w:r>
              <w:rPr>
                <w:rFonts w:ascii="Helvetica;sans-serif" w:hAnsi="Helvetica;sans-serif"/>
                <w:b w:val="false"/>
                <w:color w:val="000000"/>
                <w:sz w:val="13"/>
              </w:rPr>
              <w:t>(1)</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to us, before expenses</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to the selling stockholders, before expenses</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(1)We have agreed to reimburse the underwriters for certain expenses. We refer you to “Underwriting (Conflict of Interest)” beginning on page 174 for additional information regarding underwriting compensation.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underwriters may also exercise their option to purchase up to an additional 3,525,000 shares from us, at the initial public offering price, less underwriting discounts and commissions, for 30 days after the date of this prospectus.</w:t>
      </w:r>
    </w:p>
    <w:p>
      <w:pPr>
        <w:pStyle w:val="TextBody"/>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shares will be ready for delivery on or about           , 2021 through the book-entry facilities of the Depository Trust Company.</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7454" w:type="dxa"/>
        <w:jc w:val="left"/>
        <w:tblInd w:w="0" w:type="dxa"/>
        <w:tblCellMar>
          <w:top w:w="28" w:type="dxa"/>
          <w:left w:w="28" w:type="dxa"/>
          <w:bottom w:w="28" w:type="dxa"/>
          <w:right w:w="28" w:type="dxa"/>
        </w:tblCellMar>
      </w:tblPr>
      <w:tblGrid>
        <w:gridCol w:w="1434"/>
        <w:gridCol w:w="1260"/>
        <w:gridCol w:w="1266"/>
        <w:gridCol w:w="1022"/>
        <w:gridCol w:w="1022"/>
        <w:gridCol w:w="1450"/>
      </w:tblGrid>
      <w:tr>
        <w:trPr/>
        <w:tc>
          <w:tcPr>
            <w:tcW w:w="1434"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32"/>
              </w:rPr>
            </w:pPr>
            <w:r>
              <w:rPr>
                <w:rFonts w:ascii="Helvetica;sans-serif" w:hAnsi="Helvetica;sans-serif"/>
                <w:b w:val="false"/>
                <w:color w:val="000000"/>
                <w:sz w:val="32"/>
              </w:rPr>
              <w:t>Goldman Sachs &amp; Co. LLC</w:t>
            </w:r>
          </w:p>
        </w:tc>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32"/>
              </w:rPr>
            </w:pPr>
            <w:r>
              <w:rPr>
                <w:rFonts w:ascii="Helvetica;sans-serif" w:hAnsi="Helvetica;sans-serif"/>
                <w:b w:val="false"/>
                <w:color w:val="000000"/>
                <w:sz w:val="32"/>
              </w:rPr>
              <w:t>BofA Securities</w:t>
            </w:r>
          </w:p>
        </w:tc>
      </w:tr>
      <w:tr>
        <w:trPr/>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8"/>
              </w:rPr>
            </w:pPr>
            <w:r>
              <w:rPr>
                <w:rFonts w:ascii="Helvetica;sans-serif" w:hAnsi="Helvetica;sans-serif"/>
                <w:b w:val="false"/>
                <w:color w:val="000000"/>
                <w:sz w:val="28"/>
              </w:rPr>
              <w:t>Wells Fargo Securities</w:t>
            </w:r>
          </w:p>
        </w:tc>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8"/>
              </w:rPr>
            </w:pPr>
            <w:r>
              <w:rPr>
                <w:rFonts w:ascii="Helvetica;sans-serif" w:hAnsi="Helvetica;sans-serif"/>
                <w:b w:val="false"/>
                <w:color w:val="000000"/>
                <w:sz w:val="28"/>
              </w:rPr>
              <w:t>Deutsche Bank Securities</w:t>
            </w:r>
          </w:p>
        </w:tc>
      </w:tr>
    </w:tbl>
    <w:tbl>
      <w:tblPr>
        <w:tblW w:w="10205" w:type="dxa"/>
        <w:jc w:val="left"/>
        <w:tblInd w:w="0" w:type="dxa"/>
        <w:tblCellMar>
          <w:top w:w="28" w:type="dxa"/>
          <w:left w:w="28" w:type="dxa"/>
          <w:bottom w:w="28" w:type="dxa"/>
          <w:right w:w="28" w:type="dxa"/>
        </w:tblCellMar>
      </w:tblPr>
      <w:tblGrid>
        <w:gridCol w:w="695"/>
        <w:gridCol w:w="610"/>
        <w:gridCol w:w="612"/>
        <w:gridCol w:w="517"/>
        <w:gridCol w:w="517"/>
        <w:gridCol w:w="518"/>
        <w:gridCol w:w="834"/>
        <w:gridCol w:w="834"/>
        <w:gridCol w:w="836"/>
        <w:gridCol w:w="717"/>
        <w:gridCol w:w="717"/>
        <w:gridCol w:w="718"/>
        <w:gridCol w:w="607"/>
        <w:gridCol w:w="607"/>
        <w:gridCol w:w="866"/>
      </w:tblGrid>
      <w:tr>
        <w:trPr/>
        <w:tc>
          <w:tcPr>
            <w:tcW w:w="69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1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4"/>
              </w:rPr>
            </w:pPr>
            <w:r>
              <w:rPr>
                <w:rFonts w:ascii="Helvetica;sans-serif" w:hAnsi="Helvetica;sans-serif"/>
                <w:b w:val="false"/>
                <w:color w:val="000000"/>
                <w:sz w:val="24"/>
              </w:rPr>
              <w:t>Canaccord Genuity</w:t>
            </w:r>
          </w:p>
        </w:tc>
        <w:tc>
          <w:tcPr>
            <w:tcW w:w="15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4"/>
              </w:rPr>
            </w:pPr>
            <w:r>
              <w:rPr>
                <w:rFonts w:ascii="Helvetica;sans-serif" w:hAnsi="Helvetica;sans-serif"/>
                <w:b w:val="false"/>
                <w:color w:val="000000"/>
                <w:sz w:val="24"/>
              </w:rPr>
              <w:t>JMP Securities</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4"/>
              </w:rPr>
            </w:pPr>
            <w:r>
              <w:rPr>
                <w:rFonts w:ascii="Helvetica;sans-serif" w:hAnsi="Helvetica;sans-serif"/>
                <w:b w:val="false"/>
                <w:color w:val="000000"/>
                <w:sz w:val="24"/>
              </w:rPr>
              <w:t>KeyBanc Capital Markets</w:t>
            </w:r>
          </w:p>
        </w:tc>
        <w:tc>
          <w:tcPr>
            <w:tcW w:w="21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4"/>
              </w:rPr>
            </w:pPr>
            <w:r>
              <w:rPr>
                <w:rFonts w:ascii="Helvetica;sans-serif" w:hAnsi="Helvetica;sans-serif"/>
                <w:b w:val="false"/>
                <w:color w:val="000000"/>
                <w:sz w:val="24"/>
              </w:rPr>
              <w:t>Needham &amp; Company</w:t>
            </w:r>
          </w:p>
        </w:tc>
        <w:tc>
          <w:tcPr>
            <w:tcW w:w="20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4"/>
              </w:rPr>
            </w:pPr>
            <w:r>
              <w:rPr>
                <w:rFonts w:ascii="Helvetica;sans-serif" w:hAnsi="Helvetica;sans-serif"/>
                <w:b w:val="false"/>
                <w:color w:val="000000"/>
                <w:sz w:val="24"/>
              </w:rPr>
              <w:t>Oppenheimer &amp; Co.</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The date of this prospectus is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before="120" w:after="180"/>
        <w:jc w:val="center"/>
        <w:rPr/>
      </w:pPr>
      <w:r>
        <w:rPr/>
        <w:drawing>
          <wp:inline distT="0" distB="63500" distL="0" distR="0">
            <wp:extent cx="7734300" cy="10001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734300" cy="100012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before="120" w:after="180"/>
        <w:jc w:val="center"/>
        <w:rPr/>
      </w:pPr>
      <w:r>
        <w:rPr/>
        <w:drawing>
          <wp:inline distT="0" distB="63500" distL="0" distR="0">
            <wp:extent cx="7734300" cy="100012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734300" cy="100012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before="600" w:after="180"/>
        <w:jc w:val="center"/>
        <w:rPr/>
      </w:pPr>
      <w:r>
        <w:rPr/>
        <w:drawing>
          <wp:inline distT="0" distB="63500" distL="0" distR="0">
            <wp:extent cx="7772400" cy="10058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10205" w:type="dxa"/>
        <w:jc w:val="left"/>
        <w:tblInd w:w="0" w:type="dxa"/>
        <w:tblCellMar>
          <w:top w:w="28" w:type="dxa"/>
          <w:left w:w="28" w:type="dxa"/>
          <w:bottom w:w="28" w:type="dxa"/>
          <w:right w:w="28" w:type="dxa"/>
        </w:tblCellMar>
      </w:tblPr>
      <w:tblGrid>
        <w:gridCol w:w="3515"/>
        <w:gridCol w:w="3068"/>
        <w:gridCol w:w="3079"/>
        <w:gridCol w:w="158"/>
        <w:gridCol w:w="158"/>
        <w:gridCol w:w="227"/>
      </w:tblGrid>
      <w:tr>
        <w:trPr/>
        <w:tc>
          <w:tcPr>
            <w:tcW w:w="3515" w:type="dxa"/>
            <w:tcBorders/>
            <w:shd w:fill="auto" w:val="clear"/>
            <w:vAlign w:val="center"/>
          </w:tcPr>
          <w:p>
            <w:pPr>
              <w:pStyle w:val="TableContents"/>
              <w:spacing w:before="0" w:after="283"/>
              <w:rPr>
                <w:sz w:val="4"/>
                <w:szCs w:val="4"/>
              </w:rPr>
            </w:pPr>
            <w:r>
              <w:rPr>
                <w:sz w:val="4"/>
                <w:szCs w:val="4"/>
              </w:rPr>
            </w:r>
          </w:p>
        </w:tc>
        <w:tc>
          <w:tcPr>
            <w:tcW w:w="3068" w:type="dxa"/>
            <w:tcBorders/>
            <w:shd w:fill="auto" w:val="clear"/>
            <w:vAlign w:val="center"/>
          </w:tcPr>
          <w:p>
            <w:pPr>
              <w:pStyle w:val="TableContents"/>
              <w:spacing w:before="0" w:after="283"/>
              <w:rPr>
                <w:sz w:val="4"/>
                <w:szCs w:val="4"/>
              </w:rPr>
            </w:pPr>
            <w:r>
              <w:rPr>
                <w:sz w:val="4"/>
                <w:szCs w:val="4"/>
              </w:rPr>
            </w:r>
          </w:p>
        </w:tc>
        <w:tc>
          <w:tcPr>
            <w:tcW w:w="30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9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9">
              <w:r>
                <w:rPr>
                  <w:rStyle w:val="InternetLink"/>
                  <w:rFonts w:ascii="Helvetica;sans-serif" w:hAnsi="Helvetica;sans-serif"/>
                  <w:b w:val="false"/>
                  <w:color w:val="0000FF"/>
                  <w:sz w:val="20"/>
                  <w:u w:val="single"/>
                </w:rPr>
                <w:t>BASIS OF PRESENTATION</w:t>
              </w:r>
            </w:hyperlink>
          </w:p>
        </w:tc>
        <w:tc>
          <w:tcPr>
            <w:tcW w:w="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f08c922b784c46ee8db98fe661f57792_19">
              <w:r>
                <w:rPr>
                  <w:rStyle w:val="InternetLink"/>
                  <w:rFonts w:ascii="Helvetica;sans-serif" w:hAnsi="Helvetica;sans-serif"/>
                  <w:b w:val="false"/>
                  <w:color w:val="0000FF"/>
                  <w:sz w:val="20"/>
                  <w:u w:val="single"/>
                </w:rPr>
                <w:t>ii</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22">
              <w:r>
                <w:rPr>
                  <w:rStyle w:val="InternetLink"/>
                  <w:rFonts w:ascii="Helvetica;sans-serif" w:hAnsi="Helvetica;sans-serif"/>
                  <w:b w:val="false"/>
                  <w:color w:val="0000FF"/>
                  <w:sz w:val="20"/>
                  <w:u w:val="single"/>
                </w:rPr>
                <w:t>TRADEMARKS, TRADE NAMES AND SERVICE MARKS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22">
              <w:r>
                <w:rPr>
                  <w:rStyle w:val="InternetLink"/>
                  <w:rFonts w:ascii="Helvetica;sans-serif" w:hAnsi="Helvetica;sans-serif"/>
                  <w:b w:val="false"/>
                  <w:color w:val="0000FF"/>
                  <w:sz w:val="20"/>
                  <w:u w:val="single"/>
                </w:rPr>
                <w:t>iii</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25">
              <w:r>
                <w:rPr>
                  <w:rStyle w:val="InternetLink"/>
                  <w:rFonts w:ascii="Helvetica;sans-serif" w:hAnsi="Helvetica;sans-serif"/>
                  <w:b w:val="false"/>
                  <w:color w:val="0000FF"/>
                  <w:sz w:val="20"/>
                  <w:u w:val="single"/>
                </w:rPr>
                <w:t>INDUSTRY AND MARKET DATA</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25">
              <w:r>
                <w:rPr>
                  <w:rStyle w:val="InternetLink"/>
                  <w:rFonts w:ascii="Helvetica;sans-serif" w:hAnsi="Helvetica;sans-serif"/>
                  <w:b w:val="false"/>
                  <w:color w:val="0000FF"/>
                  <w:sz w:val="20"/>
                  <w:u w:val="single"/>
                </w:rPr>
                <w:t>iii</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28">
              <w:r>
                <w:rPr>
                  <w:rStyle w:val="InternetLink"/>
                  <w:rFonts w:ascii="Helvetica;sans-serif" w:hAnsi="Helvetica;sans-serif"/>
                  <w:b w:val="false"/>
                  <w:color w:val="0000FF"/>
                  <w:sz w:val="20"/>
                  <w:u w:val="single"/>
                </w:rPr>
                <w:t>PROSPECTUS SUMMARY</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28">
              <w:r>
                <w:rPr>
                  <w:rStyle w:val="InternetLink"/>
                  <w:rFonts w:ascii="Helvetica;sans-serif" w:hAnsi="Helvetica;sans-serif"/>
                  <w:b w:val="false"/>
                  <w:color w:val="0000FF"/>
                  <w:sz w:val="20"/>
                  <w:u w:val="single"/>
                </w:rPr>
                <w:t>1</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37">
              <w:r>
                <w:rPr>
                  <w:rStyle w:val="InternetLink"/>
                  <w:rFonts w:ascii="Helvetica;sans-serif" w:hAnsi="Helvetica;sans-serif"/>
                  <w:b w:val="false"/>
                  <w:color w:val="0000FF"/>
                  <w:sz w:val="20"/>
                  <w:u w:val="single"/>
                </w:rPr>
                <w:t>RISK FACTORS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37">
              <w:r>
                <w:rPr>
                  <w:rStyle w:val="InternetLink"/>
                  <w:rFonts w:ascii="Helvetica;sans-serif" w:hAnsi="Helvetica;sans-serif"/>
                  <w:b w:val="false"/>
                  <w:color w:val="0000FF"/>
                  <w:sz w:val="20"/>
                  <w:u w:val="single"/>
                </w:rPr>
                <w:t>20</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61">
              <w:r>
                <w:rPr>
                  <w:rStyle w:val="InternetLink"/>
                  <w:rFonts w:ascii="Helvetica;sans-serif" w:hAnsi="Helvetica;sans-serif"/>
                  <w:b w:val="false"/>
                  <w:color w:val="0000FF"/>
                  <w:sz w:val="20"/>
                  <w:u w:val="single"/>
                </w:rPr>
                <w:t>CAUTIONARY NOTE REGARDING FORWARD-LOOKING STATEMENTS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61">
              <w:r>
                <w:rPr>
                  <w:rStyle w:val="InternetLink"/>
                  <w:rFonts w:ascii="Helvetica;sans-serif" w:hAnsi="Helvetica;sans-serif"/>
                  <w:b w:val="false"/>
                  <w:color w:val="0000FF"/>
                  <w:sz w:val="20"/>
                  <w:u w:val="single"/>
                </w:rPr>
                <w:t>72</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64">
              <w:r>
                <w:rPr>
                  <w:rStyle w:val="InternetLink"/>
                  <w:rFonts w:ascii="Helvetica;sans-serif" w:hAnsi="Helvetica;sans-serif"/>
                  <w:b w:val="false"/>
                  <w:color w:val="0000FF"/>
                  <w:sz w:val="20"/>
                  <w:u w:val="single"/>
                </w:rPr>
                <w:t>USE OF PROCEEDS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64">
              <w:r>
                <w:rPr>
                  <w:rStyle w:val="InternetLink"/>
                  <w:rFonts w:ascii="Helvetica;sans-serif" w:hAnsi="Helvetica;sans-serif"/>
                  <w:b w:val="false"/>
                  <w:color w:val="0000FF"/>
                  <w:sz w:val="20"/>
                  <w:u w:val="single"/>
                </w:rPr>
                <w:t>75</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67">
              <w:r>
                <w:rPr>
                  <w:rStyle w:val="InternetLink"/>
                  <w:rFonts w:ascii="Helvetica;sans-serif" w:hAnsi="Helvetica;sans-serif"/>
                  <w:b w:val="false"/>
                  <w:color w:val="0000FF"/>
                  <w:sz w:val="20"/>
                  <w:u w:val="single"/>
                </w:rPr>
                <w:t>DIVIDEND POLICY</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67">
              <w:r>
                <w:rPr>
                  <w:rStyle w:val="InternetLink"/>
                  <w:rFonts w:ascii="Helvetica;sans-serif" w:hAnsi="Helvetica;sans-serif"/>
                  <w:b w:val="false"/>
                  <w:color w:val="0000FF"/>
                  <w:sz w:val="20"/>
                  <w:u w:val="single"/>
                </w:rPr>
                <w:t>76</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70">
              <w:r>
                <w:rPr>
                  <w:rStyle w:val="InternetLink"/>
                  <w:rFonts w:ascii="Helvetica;sans-serif" w:hAnsi="Helvetica;sans-serif"/>
                  <w:b w:val="false"/>
                  <w:color w:val="0000FF"/>
                  <w:sz w:val="20"/>
                  <w:u w:val="single"/>
                </w:rPr>
                <w:t>CAPITALIZATION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70">
              <w:r>
                <w:rPr>
                  <w:rStyle w:val="InternetLink"/>
                  <w:rFonts w:ascii="Helvetica;sans-serif" w:hAnsi="Helvetica;sans-serif"/>
                  <w:b w:val="false"/>
                  <w:color w:val="0000FF"/>
                  <w:sz w:val="20"/>
                  <w:u w:val="single"/>
                </w:rPr>
                <w:t>77</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73">
              <w:r>
                <w:rPr>
                  <w:rStyle w:val="InternetLink"/>
                  <w:rFonts w:ascii="Helvetica;sans-serif" w:hAnsi="Helvetica;sans-serif"/>
                  <w:b w:val="false"/>
                  <w:color w:val="0000FF"/>
                  <w:sz w:val="20"/>
                  <w:u w:val="single"/>
                </w:rPr>
                <w:t>DILUTION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73">
              <w:r>
                <w:rPr>
                  <w:rStyle w:val="InternetLink"/>
                  <w:rFonts w:ascii="Helvetica;sans-serif" w:hAnsi="Helvetica;sans-serif"/>
                  <w:b w:val="false"/>
                  <w:color w:val="0000FF"/>
                  <w:sz w:val="20"/>
                  <w:u w:val="single"/>
                </w:rPr>
                <w:t>80</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76">
              <w:r>
                <w:rPr>
                  <w:rStyle w:val="InternetLink"/>
                  <w:rFonts w:ascii="Helvetica;sans-serif" w:hAnsi="Helvetica;sans-serif"/>
                  <w:b w:val="false"/>
                  <w:color w:val="0000FF"/>
                  <w:sz w:val="20"/>
                  <w:u w:val="single"/>
                </w:rPr>
                <w:t>SELECTED HISTORICAL CONSOLIDATED FINANCIAL DATA</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76">
              <w:r>
                <w:rPr>
                  <w:rStyle w:val="InternetLink"/>
                  <w:rFonts w:ascii="Helvetica;sans-serif" w:hAnsi="Helvetica;sans-serif"/>
                  <w:b w:val="false"/>
                  <w:color w:val="0000FF"/>
                  <w:sz w:val="20"/>
                  <w:u w:val="single"/>
                </w:rPr>
                <w:t>83</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79">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79">
              <w:r>
                <w:rPr>
                  <w:rStyle w:val="InternetLink"/>
                  <w:rFonts w:ascii="Helvetica;sans-serif" w:hAnsi="Helvetica;sans-serif"/>
                  <w:b w:val="false"/>
                  <w:color w:val="0000FF"/>
                  <w:sz w:val="20"/>
                  <w:u w:val="single"/>
                </w:rPr>
                <w:t>85</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08c922b784c46ee8db98fe661f57792_82">
              <w:r>
                <w:rPr>
                  <w:rStyle w:val="InternetLink"/>
                  <w:rFonts w:ascii="Helvetica;sans-serif" w:hAnsi="Helvetica;sans-serif"/>
                  <w:b w:val="false"/>
                  <w:color w:val="0000FF"/>
                  <w:sz w:val="20"/>
                  <w:u w:val="single"/>
                </w:rPr>
                <w:t>A LETTER FROM RON YEKUTIEL</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82">
              <w:r>
                <w:rPr>
                  <w:rStyle w:val="InternetLink"/>
                  <w:rFonts w:ascii="Helvetica;sans-serif" w:hAnsi="Helvetica;sans-serif"/>
                  <w:b w:val="false"/>
                  <w:color w:val="0000FF"/>
                  <w:sz w:val="20"/>
                  <w:u w:val="single"/>
                </w:rPr>
                <w:t>113</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85">
              <w:r>
                <w:rPr>
                  <w:rStyle w:val="InternetLink"/>
                  <w:rFonts w:ascii="Helvetica;sans-serif" w:hAnsi="Helvetica;sans-serif"/>
                  <w:b w:val="false"/>
                  <w:color w:val="0000FF"/>
                  <w:sz w:val="20"/>
                  <w:u w:val="single"/>
                </w:rPr>
                <w:t>BUSINESS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85">
              <w:r>
                <w:rPr>
                  <w:rStyle w:val="InternetLink"/>
                  <w:rFonts w:ascii="Helvetica;sans-serif" w:hAnsi="Helvetica;sans-serif"/>
                  <w:b w:val="false"/>
                  <w:color w:val="0000FF"/>
                  <w:sz w:val="20"/>
                  <w:u w:val="single"/>
                </w:rPr>
                <w:t>116</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88">
              <w:r>
                <w:rPr>
                  <w:rStyle w:val="InternetLink"/>
                  <w:rFonts w:ascii="Helvetica;sans-serif" w:hAnsi="Helvetica;sans-serif"/>
                  <w:b w:val="false"/>
                  <w:color w:val="0000FF"/>
                  <w:sz w:val="20"/>
                  <w:u w:val="single"/>
                </w:rPr>
                <w:t>MANAGEMENT</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88">
              <w:r>
                <w:rPr>
                  <w:rStyle w:val="InternetLink"/>
                  <w:rFonts w:ascii="Helvetica;sans-serif" w:hAnsi="Helvetica;sans-serif"/>
                  <w:b w:val="false"/>
                  <w:color w:val="0000FF"/>
                  <w:sz w:val="20"/>
                  <w:u w:val="single"/>
                </w:rPr>
                <w:t>133</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91">
              <w:r>
                <w:rPr>
                  <w:rStyle w:val="InternetLink"/>
                  <w:rFonts w:ascii="Helvetica;sans-serif" w:hAnsi="Helvetica;sans-serif"/>
                  <w:b w:val="false"/>
                  <w:color w:val="0000FF"/>
                  <w:sz w:val="20"/>
                  <w:u w:val="single"/>
                </w:rPr>
                <w:t>EXECUTIVE COMPENSATION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91">
              <w:r>
                <w:rPr>
                  <w:rStyle w:val="InternetLink"/>
                  <w:rFonts w:ascii="Helvetica;sans-serif" w:hAnsi="Helvetica;sans-serif"/>
                  <w:b w:val="false"/>
                  <w:color w:val="0000FF"/>
                  <w:sz w:val="20"/>
                  <w:u w:val="single"/>
                </w:rPr>
                <w:t>140</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94">
              <w:r>
                <w:rPr>
                  <w:rStyle w:val="InternetLink"/>
                  <w:rFonts w:ascii="Helvetica;sans-serif" w:hAnsi="Helvetica;sans-serif"/>
                  <w:b w:val="false"/>
                  <w:color w:val="0000FF"/>
                  <w:sz w:val="20"/>
                  <w:u w:val="single"/>
                </w:rPr>
                <w:t>CERTAIN RELATIONSHIPS AND RELATED PARTY TRANSACTIONS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94">
              <w:r>
                <w:rPr>
                  <w:rStyle w:val="InternetLink"/>
                  <w:rFonts w:ascii="Helvetica;sans-serif" w:hAnsi="Helvetica;sans-serif"/>
                  <w:b w:val="false"/>
                  <w:color w:val="0000FF"/>
                  <w:sz w:val="20"/>
                  <w:u w:val="single"/>
                </w:rPr>
                <w:t>153</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08c922b784c46ee8db98fe661f57792_97">
              <w:r>
                <w:rPr>
                  <w:rStyle w:val="InternetLink"/>
                  <w:rFonts w:ascii="Helvetica;sans-serif" w:hAnsi="Helvetica;sans-serif"/>
                  <w:b w:val="false"/>
                  <w:color w:val="0000FF"/>
                  <w:sz w:val="20"/>
                  <w:u w:val="single"/>
                </w:rPr>
                <w:t>PRINCIPAL AND SELLING STOCKHOLDERS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97">
              <w:r>
                <w:rPr>
                  <w:rStyle w:val="InternetLink"/>
                  <w:rFonts w:ascii="Helvetica;sans-serif" w:hAnsi="Helvetica;sans-serif"/>
                  <w:b w:val="false"/>
                  <w:color w:val="0000FF"/>
                  <w:sz w:val="20"/>
                  <w:u w:val="single"/>
                </w:rPr>
                <w:t>157</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00">
              <w:r>
                <w:rPr>
                  <w:rStyle w:val="InternetLink"/>
                  <w:rFonts w:ascii="Helvetica;sans-serif" w:hAnsi="Helvetica;sans-serif"/>
                  <w:b w:val="false"/>
                  <w:color w:val="0000FF"/>
                  <w:sz w:val="20"/>
                  <w:u w:val="single"/>
                </w:rPr>
                <w:t>DESCRIPTION OF CAPITAL STOCK</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00">
              <w:r>
                <w:rPr>
                  <w:rStyle w:val="InternetLink"/>
                  <w:rFonts w:ascii="Helvetica;sans-serif" w:hAnsi="Helvetica;sans-serif"/>
                  <w:b w:val="false"/>
                  <w:color w:val="0000FF"/>
                  <w:sz w:val="20"/>
                  <w:u w:val="single"/>
                </w:rPr>
                <w:t>160</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03">
              <w:r>
                <w:rPr>
                  <w:rStyle w:val="InternetLink"/>
                  <w:rFonts w:ascii="Helvetica;sans-serif" w:hAnsi="Helvetica;sans-serif"/>
                  <w:b w:val="false"/>
                  <w:color w:val="0000FF"/>
                  <w:sz w:val="20"/>
                  <w:u w:val="single"/>
                </w:rPr>
                <w:t>SHARES ELIGIBLE FOR FUTURE SALE</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03">
              <w:r>
                <w:rPr>
                  <w:rStyle w:val="InternetLink"/>
                  <w:rFonts w:ascii="Helvetica;sans-serif" w:hAnsi="Helvetica;sans-serif"/>
                  <w:b w:val="false"/>
                  <w:color w:val="0000FF"/>
                  <w:sz w:val="20"/>
                  <w:u w:val="single"/>
                </w:rPr>
                <w:t>167</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06">
              <w:r>
                <w:rPr>
                  <w:rStyle w:val="InternetLink"/>
                  <w:rFonts w:ascii="Helvetica;sans-serif" w:hAnsi="Helvetica;sans-serif"/>
                  <w:b w:val="false"/>
                  <w:color w:val="0000FF"/>
                  <w:sz w:val="20"/>
                  <w:u w:val="single"/>
                </w:rPr>
                <w:t>CERTAIN U.S. FEDERAL INCOME TAX CONSEQUENCES TO NON-U.S. HOLDERS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06">
              <w:r>
                <w:rPr>
                  <w:rStyle w:val="InternetLink"/>
                  <w:rFonts w:ascii="Helvetica;sans-serif" w:hAnsi="Helvetica;sans-serif"/>
                  <w:b w:val="false"/>
                  <w:color w:val="0000FF"/>
                  <w:sz w:val="20"/>
                  <w:u w:val="single"/>
                </w:rPr>
                <w:t>170</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09">
              <w:r>
                <w:rPr>
                  <w:rStyle w:val="InternetLink"/>
                  <w:rFonts w:ascii="Helvetica;sans-serif" w:hAnsi="Helvetica;sans-serif"/>
                  <w:b w:val="false"/>
                  <w:color w:val="0000FF"/>
                  <w:sz w:val="20"/>
                  <w:u w:val="single"/>
                </w:rPr>
                <w:t>UNDERWRITING (CONFLICT OF INTEREST)</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09">
              <w:r>
                <w:rPr>
                  <w:rStyle w:val="InternetLink"/>
                  <w:rFonts w:ascii="Helvetica;sans-serif" w:hAnsi="Helvetica;sans-serif"/>
                  <w:b w:val="false"/>
                  <w:color w:val="0000FF"/>
                  <w:sz w:val="20"/>
                  <w:u w:val="single"/>
                </w:rPr>
                <w:t>174</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12">
              <w:r>
                <w:rPr>
                  <w:rStyle w:val="InternetLink"/>
                  <w:rFonts w:ascii="Helvetica;sans-serif" w:hAnsi="Helvetica;sans-serif"/>
                  <w:b w:val="false"/>
                  <w:color w:val="0000FF"/>
                  <w:sz w:val="20"/>
                  <w:u w:val="single"/>
                </w:rPr>
                <w:t>LEGAL MATTERS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12">
              <w:r>
                <w:rPr>
                  <w:rStyle w:val="InternetLink"/>
                  <w:rFonts w:ascii="Helvetica;sans-serif" w:hAnsi="Helvetica;sans-serif"/>
                  <w:b w:val="false"/>
                  <w:color w:val="0000FF"/>
                  <w:sz w:val="20"/>
                  <w:u w:val="single"/>
                </w:rPr>
                <w:t>182</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15">
              <w:r>
                <w:rPr>
                  <w:rStyle w:val="InternetLink"/>
                  <w:rFonts w:ascii="Helvetica;sans-serif" w:hAnsi="Helvetica;sans-serif"/>
                  <w:b w:val="false"/>
                  <w:color w:val="0000FF"/>
                  <w:sz w:val="20"/>
                  <w:u w:val="single"/>
                </w:rPr>
                <w:t>EXPERTS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15">
              <w:r>
                <w:rPr>
                  <w:rStyle w:val="InternetLink"/>
                  <w:rFonts w:ascii="Helvetica;sans-serif" w:hAnsi="Helvetica;sans-serif"/>
                  <w:b w:val="false"/>
                  <w:color w:val="0000FF"/>
                  <w:sz w:val="20"/>
                  <w:u w:val="single"/>
                </w:rPr>
                <w:t>182</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18">
              <w:r>
                <w:rPr>
                  <w:rStyle w:val="InternetLink"/>
                  <w:rFonts w:ascii="Helvetica;sans-serif" w:hAnsi="Helvetica;sans-serif"/>
                  <w:b w:val="false"/>
                  <w:color w:val="0000FF"/>
                  <w:sz w:val="20"/>
                  <w:u w:val="single"/>
                </w:rPr>
                <w:t>WHERE YOU CAN FIND MORE INFORMATION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18">
              <w:r>
                <w:rPr>
                  <w:rStyle w:val="InternetLink"/>
                  <w:rFonts w:ascii="Helvetica;sans-serif" w:hAnsi="Helvetica;sans-serif"/>
                  <w:b w:val="false"/>
                  <w:color w:val="0000FF"/>
                  <w:sz w:val="20"/>
                  <w:u w:val="single"/>
                </w:rPr>
                <w:t>182</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21">
              <w:r>
                <w:rPr>
                  <w:rStyle w:val="InternetLink"/>
                  <w:rFonts w:ascii="Helvetica;sans-serif" w:hAnsi="Helvetica;sans-serif"/>
                  <w:b w:val="false"/>
                  <w:color w:val="0000FF"/>
                  <w:sz w:val="20"/>
                  <w:u w:val="single"/>
                </w:rPr>
                <w:t>INDEX TO CONSOLIDATED FINANCIAL STATEMENTS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21">
              <w:r>
                <w:rPr>
                  <w:rStyle w:val="InternetLink"/>
                </w:rPr>
                <w:t>F-</w:t>
              </w:r>
            </w:hyperlink>
            <w:hyperlink w:anchor="if08c922b784c46ee8db98fe661f57792_121">
              <w:r>
                <w:rPr>
                  <w:rStyle w:val="InternetLink"/>
                </w:rPr>
                <w:t>1</w:t>
              </w:r>
            </w:hyperlink>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We, the selling stockholders and the underwriters have not authorized any other person to provide you with information different from that contained in this prospectus or in any free writing prospectus prepared by or on behalf of us or to which we have referred or to make any representations other than those contained in this prospectus or in any free writing prospectus prepared by or on behalf of us or to which we have referred you. We, the selling stockholders and the underwriters take no responsibility for, and can provide no assurance as to the reliability of, any other information that others may give you. This prospectus is an offer to sell only the shares of common stock offered hereby, and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pStyle w:val="TextBody"/>
        <w:spacing w:lineRule="auto" w:line="288" w:before="0" w:after="180"/>
        <w:ind w:left="0" w:right="0" w:firstLine="360"/>
        <w:jc w:val="both"/>
        <w:rPr/>
      </w:pPr>
      <w:r>
        <w:rPr>
          <w:rFonts w:ascii="Helvetica;sans-serif" w:hAnsi="Helvetica;sans-serif"/>
          <w:b/>
          <w:color w:val="000000"/>
          <w:sz w:val="20"/>
        </w:rPr>
        <w:t xml:space="preserve">For investors outside the United States: </w:t>
      </w:r>
      <w:r>
        <w:rPr>
          <w:rFonts w:ascii="Helvetica;sans-serif" w:hAnsi="Helvetica;sans-serif"/>
          <w:b w:val="false"/>
          <w:color w:val="000000"/>
          <w:sz w:val="20"/>
        </w:rPr>
        <w:t>We, the selling stockholders and the underwriters have not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0" name="Frame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BASIS OF PRESENTATION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amounts in this prospectus may not total due to rounding. All percentages have been calculated using unrounded amounts.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used in this prospectus, unless otherwise noted or the context otherwise requires, references to “we,” “us,” “our,” the “Company” and “Kaltura” refer to Kaltura, Inc., together with its consolidated subsidiaries as a combined entity.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the number of “authenticated users” disclosed in this prospectus for any specified time period refers to the total number of unique users that logged in and performed some action recorded by our platform during the applicable period of time.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financial measures presented in this prospectus are not recognized terms under accounting principles generally accepted in the United States (“GAAP”). We define these financial measures as follows: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EBITDA” is defined as net profit (loss) before interest expense, net, provision for income taxes and depreciation and amortization expense.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Adjusted EBITDA” is defined as EBITDA, adjusted for the impact of certain non-cash and other items that we believe are not indicative of our core operating performance, such as non-cash stock-based compensation expense.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Adjusted EBITDA margin” is defined as Adjusted EBITDA divided by total revenues.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“Prospectus Summary—Summary Historical Consolidated Financial and Other Data” for a discussion regarding our use of EBITDA, Adjusted EBITDA and Adjusted EBITDA margin, including their limitations, and a reconciliation to the most directly comparable GAAP financial measures.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Throughout this prospectus, we also provide a number of key business metrics used by management and typically used by companies in our industry. These and other key financial and operating metrics are discussed in more detail in the section of this prospectus titled “Management’s Discussion and Analysis of Financial Condition and Results of Operations—Key Financial and Operating Metrics.”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1" name="Frame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TRADEMARKS, TRADE NAMES AND SERVICE MARKS</w:t>
      </w:r>
    </w:p>
    <w:p>
      <w:pPr>
        <w:pStyle w:val="TextBody"/>
        <w:spacing w:lineRule="auto" w:line="288" w:before="0" w:after="180"/>
        <w:ind w:left="0" w:right="0" w:firstLine="360"/>
        <w:jc w:val="both"/>
        <w:rPr/>
      </w:pPr>
      <w:r>
        <w:rPr>
          <w:rFonts w:ascii="Helvetica;sans-serif" w:hAnsi="Helvetica;sans-serif"/>
          <w:b w:val="false"/>
          <w:color w:val="000000"/>
          <w:sz w:val="20"/>
        </w:rPr>
        <w:t>This prospectus includes our trademarks, trade names and service marks, including, without limitation, “Kaltura</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 xml:space="preserve">and our logo,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Helvetica;sans-serif" w:hAnsi="Helvetica;sans-serif"/>
          <w:b w:val="false"/>
          <w:color w:val="000000"/>
          <w:sz w:val="13"/>
        </w:rPr>
        <w:t>®</w:t>
      </w:r>
      <w:r>
        <w:rPr>
          <w:rFonts w:ascii="Helvetica;sans-serif" w:hAnsi="Helvetica;sans-serif"/>
          <w:b w:val="false"/>
          <w:color w:val="000000"/>
          <w:sz w:val="20"/>
        </w:rPr>
        <w:t xml:space="preserve">, ™ or </w:t>
      </w:r>
      <w:r>
        <w:rPr>
          <w:rFonts w:ascii="Helvetica;sans-serif" w:hAnsi="Helvetica;sans-serif"/>
          <w:b w:val="false"/>
          <w:color w:val="000000"/>
          <w:sz w:val="13"/>
        </w:rPr>
        <w:t>SM</w:t>
      </w:r>
      <w:r>
        <w:rPr>
          <w:color w:val="000000"/>
        </w:rPr>
        <w:t xml:space="preserve"> </w:t>
      </w:r>
      <w:r>
        <w:rPr>
          <w:rFonts w:ascii="Helvetica;sans-serif" w:hAnsi="Helvetica;sans-serif"/>
          <w:b w:val="false"/>
          <w:color w:val="000000"/>
          <w:sz w:val="20"/>
        </w:rPr>
        <w:t>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INDUSTRY AND MARKET DATA</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information contained in this prospectus concerning our industry and the markets in which we operate is based on information from independent industry and research organizations, other third-party sources and management estimates. Certain of these publications, studies and reports were published before the COVID-19 pandemic and therefore do not reflect any impact of COVID-19 on any specific market or globally.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particular, certain information identified in this prospectus is contained in the following independent industry publications or reports by Forrester Research, Inc. (“Forrester”) and Gartner, Inc. (“Gartner”):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Forrester,</w:t>
      </w:r>
      <w:r>
        <w:rPr>
          <w:color w:val="000000"/>
        </w:rPr>
        <w:t xml:space="preserve"> </w:t>
      </w:r>
      <w:r>
        <w:rPr>
          <w:rFonts w:ascii="Helvetica;sans-serif" w:hAnsi="Helvetica;sans-serif"/>
          <w:b w:val="false"/>
          <w:i/>
          <w:color w:val="000000"/>
          <w:sz w:val="20"/>
        </w:rPr>
        <w:t>The Forrester Wave</w:t>
      </w:r>
      <w:r>
        <w:rPr>
          <w:rFonts w:ascii="Helvetica;sans-serif" w:hAnsi="Helvetica;sans-serif"/>
          <w:b w:val="false"/>
          <w:i/>
          <w:color w:val="000000"/>
          <w:sz w:val="13"/>
        </w:rPr>
        <w:t>TM</w:t>
      </w:r>
      <w:r>
        <w:rPr>
          <w:rFonts w:ascii="Helvetica;sans-serif" w:hAnsi="Helvetica;sans-serif"/>
          <w:b w:val="false"/>
          <w:i/>
          <w:color w:val="000000"/>
          <w:sz w:val="20"/>
        </w:rPr>
        <w:t>: Enterprise Video Platforms and Webcasting</w:t>
      </w:r>
      <w:r>
        <w:rPr>
          <w:rFonts w:ascii="Helvetica;sans-serif" w:hAnsi="Helvetica;sans-serif"/>
          <w:b w:val="false"/>
          <w:color w:val="000000"/>
          <w:sz w:val="20"/>
        </w:rPr>
        <w:t>, Q1 2015.</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Forrester, </w:t>
      </w:r>
      <w:r>
        <w:rPr>
          <w:rFonts w:ascii="Helvetica;sans-serif" w:hAnsi="Helvetica;sans-serif"/>
          <w:b w:val="false"/>
          <w:i/>
          <w:color w:val="000000"/>
          <w:sz w:val="20"/>
        </w:rPr>
        <w:t>The Forrester Wave</w:t>
      </w:r>
      <w:r>
        <w:rPr>
          <w:rFonts w:ascii="Helvetica;sans-serif" w:hAnsi="Helvetica;sans-serif"/>
          <w:b w:val="false"/>
          <w:i/>
          <w:color w:val="000000"/>
          <w:sz w:val="13"/>
        </w:rPr>
        <w:t>TM</w:t>
      </w:r>
      <w:r>
        <w:rPr>
          <w:rFonts w:ascii="Helvetica;sans-serif" w:hAnsi="Helvetica;sans-serif"/>
          <w:b w:val="false"/>
          <w:i/>
          <w:color w:val="000000"/>
          <w:sz w:val="20"/>
        </w:rPr>
        <w:t>: Online Video Platforms for Sales and Marketing</w:t>
      </w:r>
      <w:r>
        <w:rPr>
          <w:rFonts w:ascii="Helvetica;sans-serif" w:hAnsi="Helvetica;sans-serif"/>
          <w:b w:val="false"/>
          <w:color w:val="000000"/>
          <w:sz w:val="20"/>
        </w:rPr>
        <w:t>, Q4 2016.</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Gartner, </w:t>
      </w:r>
      <w:r>
        <w:rPr>
          <w:rFonts w:ascii="Helvetica;sans-serif" w:hAnsi="Helvetica;sans-serif"/>
          <w:b w:val="false"/>
          <w:i/>
          <w:color w:val="000000"/>
          <w:sz w:val="20"/>
        </w:rPr>
        <w:t>Market Guide for Enterprise Video Content Management</w:t>
      </w:r>
      <w:r>
        <w:rPr>
          <w:rFonts w:ascii="Helvetica;sans-serif" w:hAnsi="Helvetica;sans-serif"/>
          <w:b w:val="false"/>
          <w:color w:val="000000"/>
          <w:sz w:val="20"/>
        </w:rPr>
        <w:t>, September 2020.</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Gartner, </w:t>
      </w:r>
      <w:r>
        <w:rPr>
          <w:rFonts w:ascii="Helvetica;sans-serif" w:hAnsi="Helvetica;sans-serif"/>
          <w:b w:val="false"/>
          <w:i/>
          <w:color w:val="000000"/>
          <w:sz w:val="20"/>
        </w:rPr>
        <w:t>Magic Quadrant for Enterprise Video Content Management</w:t>
      </w:r>
      <w:r>
        <w:rPr>
          <w:rFonts w:ascii="Helvetica;sans-serif" w:hAnsi="Helvetica;sans-serif"/>
          <w:b w:val="false"/>
          <w:color w:val="000000"/>
          <w:sz w:val="20"/>
        </w:rPr>
        <w:t>, September 2013, October 2014, November 2015, November 2016 and November 2018.</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Gartner, </w:t>
      </w:r>
      <w:r>
        <w:rPr>
          <w:rFonts w:ascii="Helvetica;sans-serif" w:hAnsi="Helvetica;sans-serif"/>
          <w:b w:val="false"/>
          <w:i/>
          <w:color w:val="000000"/>
          <w:sz w:val="20"/>
        </w:rPr>
        <w:t>Critical Capabilities for Enterprise Video Content Management</w:t>
      </w:r>
      <w:r>
        <w:rPr>
          <w:rFonts w:ascii="Helvetica;sans-serif" w:hAnsi="Helvetica;sans-serif"/>
          <w:b w:val="false"/>
          <w:color w:val="000000"/>
          <w:sz w:val="20"/>
        </w:rPr>
        <w:t>, March 2019.</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Gartner, </w:t>
      </w:r>
      <w:r>
        <w:rPr>
          <w:rFonts w:ascii="Helvetica;sans-serif" w:hAnsi="Helvetica;sans-serif"/>
          <w:b w:val="false"/>
          <w:i/>
          <w:color w:val="000000"/>
          <w:sz w:val="20"/>
        </w:rPr>
        <w:t>Magic Quadrant for Meeting Solutions</w:t>
      </w:r>
      <w:r>
        <w:rPr>
          <w:rFonts w:ascii="Helvetica;sans-serif" w:hAnsi="Helvetica;sans-serif"/>
          <w:b w:val="false"/>
          <w:color w:val="000000"/>
          <w:sz w:val="20"/>
        </w:rPr>
        <w:t>, October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Magic Quadrant and Critical Capabilities references are provided for historical purposes only and do not reflect current market recognition.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Gartner Peer Insights reviews constitute the subjective opinions of individual end users based on their own experiences and do not represent the views of Gartner or its affiliates.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2" name="Frame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prospectus), and the opinions expressed in the Gartner Content are subject to change without notice.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13" name="Frame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v:textbox>
              </v:rect>
            </w:pict>
          </mc:Fallback>
        </mc:AlternateContent>
      </w:r>
    </w:p>
    <w:p>
      <w:pPr>
        <w:pStyle w:val="TextBody"/>
        <w:spacing w:lineRule="auto" w:line="288" w:before="120" w:after="180"/>
        <w:jc w:val="center"/>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PROSPECTUS SUMMARY</w:t>
      </w:r>
    </w:p>
    <w:p>
      <w:pPr>
        <w:pStyle w:val="TextBody"/>
        <w:spacing w:lineRule="auto" w:line="288" w:before="0" w:after="180"/>
        <w:ind w:left="0" w:right="0" w:firstLine="360"/>
        <w:jc w:val="both"/>
        <w:rPr>
          <w:rFonts w:ascii="Helvetica;sans-serif" w:hAnsi="Helvetica;sans-serif"/>
          <w:b w:val="false"/>
          <w:i/>
          <w:color w:val="000000"/>
          <w:sz w:val="20"/>
          <w:bdr w:val="single" w:sz="8" w:space="36" w:color="000000"/>
        </w:rPr>
      </w:pPr>
      <w:r>
        <w:rPr>
          <w:rFonts w:ascii="Helvetica;sans-serif" w:hAnsi="Helvetica;sans-serif"/>
          <w:b w:val="false"/>
          <w:i/>
          <w:color w:val="000000"/>
          <w:sz w:val="20"/>
          <w:bdr w:val="single" w:sz="8" w:space="36" w:color="000000"/>
        </w:rPr>
        <w:t xml:space="preserve">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20. In addition, certain statements in this prospectus include forward-looking information that is subject to risks and uncertainties. See “Cautionary Note Regarding Forward-Looking Statements.” </w:t>
      </w:r>
    </w:p>
    <w:p>
      <w:pPr>
        <w:pStyle w:val="TextBody"/>
        <w:spacing w:lineRule="auto" w:line="288" w:before="0" w:after="180"/>
        <w:ind w:left="0" w:right="0" w:firstLine="360"/>
        <w:jc w:val="both"/>
        <w:rPr>
          <w:rFonts w:ascii="Helvetica;sans-serif" w:hAnsi="Helvetica;sans-serif"/>
          <w:b w:val="false"/>
          <w:i/>
          <w:color w:val="000000"/>
          <w:sz w:val="20"/>
          <w:bdr w:val="single" w:sz="8" w:space="36" w:color="000000"/>
        </w:rPr>
      </w:pPr>
      <w:r>
        <w:rPr>
          <w:rFonts w:ascii="Helvetica;sans-serif" w:hAnsi="Helvetica;sans-serif"/>
          <w:b w:val="false"/>
          <w:i/>
          <w:color w:val="000000"/>
          <w:sz w:val="20"/>
          <w:bdr w:val="single" w:sz="8" w:space="36" w:color="000000"/>
        </w:rPr>
        <w:t>In this prospectus, unless the context otherwise requires or where otherwise indicated, the terms “we,” “us,” “our,” the “Company” and “Kaltura” refer to Kaltura, Inc., together with its consolidated subsidiaries as a combined entity.</w:t>
      </w:r>
    </w:p>
    <w:p>
      <w:pPr>
        <w:pStyle w:val="TextBody"/>
        <w:spacing w:lineRule="auto" w:line="288" w:before="120" w:after="180"/>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Overview</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Our mission is to power any video experience, for any organization. Our Video Experience Cloud offers live, real-time,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 </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During the year ended December 31, 2020, more than 15 million authenticated users interacted with our products and solutions at home, at work and at school. As of December 31, 2020, we had grown our repository of media assets to over 100 million.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14" name="Frame1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Our Video Experience Cloud powers a wide array of video applications across industries and use cases. Our core offerings consist of various Software-as-a-Service (“SaaS”) products and solutions and a Platform-as-a-Service (“PaaS”) offering, including:</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Products</w:t>
      </w:r>
      <w:r>
        <w:rPr>
          <w:color w:val="000000"/>
        </w:rPr>
        <w:t xml:space="preserve"> – </w:t>
      </w:r>
      <w:r>
        <w:rPr>
          <w:rFonts w:ascii="Helvetica;sans-serif" w:hAnsi="Helvetica;sans-serif"/>
          <w:b w:val="false"/>
          <w:color w:val="000000"/>
          <w:sz w:val="20"/>
        </w:rPr>
        <w:t>Video Portal, Town Halls, Video Messaging, Webinars, Virtual Events and Meetings. Customers leverage these products for video-based communication, collaboration, training, and customer experience (marketing, sales, and customer care).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Industry Solutions</w:t>
      </w:r>
      <w:r>
        <w:rPr>
          <w:color w:val="000000"/>
        </w:rPr>
        <w:t xml:space="preserve"> – </w:t>
      </w:r>
      <w:r>
        <w:rPr>
          <w:rFonts w:ascii="Helvetica;sans-serif" w:hAnsi="Helvetica;sans-serif"/>
          <w:b w:val="false"/>
          <w:color w:val="000000"/>
          <w:sz w:val="20"/>
        </w:rPr>
        <w:t xml:space="preserve">LMS Video (Learning Management System), Lecture Capture and Virtual Classroom for educational institutions to support and enhance in-class and remote teaching and learning. We also offer a TV Solution for media companies and telecom operators, allowing them to provide OTT advertising and subscription-based live and on-demand TV services for entertainment experiences.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Media Services</w:t>
      </w:r>
      <w:r>
        <w:rPr>
          <w:color w:val="000000"/>
        </w:rPr>
        <w:t xml:space="preserve"> – </w:t>
      </w:r>
      <w:r>
        <w:rPr>
          <w:rFonts w:ascii="Helvetica;sans-serif" w:hAnsi="Helvetica;sans-serif"/>
          <w:b w:val="false"/>
          <w:color w:val="000000"/>
          <w:sz w:val="20"/>
        </w:rPr>
        <w:t xml:space="preserve">Live, real-time, and on-demand video APIs, SDKs, and Experience Components as well as Video and TV Content Management Systems that govern the entire lifecycle of video, enabling customers to build any video experience and workflow. Our Media Services also serve as a foundation for our products and industry solutions. Our APIs, SDKs and Experience Components include live, real-time and on-demand video ingestion, transcoding, management, search, security, distribution, publishing, engagement, monetization and analytics. </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As of December 31, 2020, we had approximately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Most of our top customers leverage several Kaltura products for a range of use cases across their organization. </w:t>
      </w:r>
    </w:p>
    <w:p>
      <w:pPr>
        <w:pStyle w:val="TextBody"/>
        <w:spacing w:lineRule="auto" w:line="288" w:before="0" w:after="180"/>
        <w:ind w:left="0" w:right="0" w:firstLine="360"/>
        <w:jc w:val="both"/>
        <w:rPr>
          <w:bdr w:val="single" w:sz="8" w:space="36" w:color="000000"/>
        </w:rPr>
      </w:pPr>
      <w:r>
        <w:rPr>
          <w:rFonts w:ascii="Helvetica;sans-serif" w:hAnsi="Helvetica;sans-serif"/>
          <w:b w:val="false"/>
          <w:color w:val="000000"/>
          <w:sz w:val="20"/>
          <w:bdr w:val="single" w:sz="8" w:space="36" w:color="000000"/>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Helvetica;sans-serif" w:hAnsi="Helvetica;sans-serif"/>
          <w:b w:val="false"/>
          <w:color w:val="000000"/>
          <w:sz w:val="13"/>
          <w:bdr w:val="single" w:sz="8" w:space="36" w:color="000000"/>
        </w:rPr>
        <w:t>TM</w:t>
      </w:r>
      <w:r>
        <w:rPr>
          <w:rFonts w:ascii="Helvetica;sans-serif" w:hAnsi="Helvetica;sans-serif"/>
          <w:b w:val="false"/>
          <w:color w:val="000000"/>
          <w:sz w:val="20"/>
          <w:bdr w:val="single" w:sz="8" w:space="36" w:color="000000"/>
        </w:rPr>
        <w:t>: Online Video Platforms for Sales and Marketing, Q4, 2016.</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To date, we have invested primarily in increasing the scope and depth of our offerings. At the same time, we have accelerated our year-over-year revenue growth from 12% in 2018 to 18% in 2019 and 24% in 2020, and from 23% in the fourth quarter of 2019 (unaudited) to 30% in the fourth quarter of 2020 (unaudited). We have accomplished this growth without materially increasing our sales and marketing spend over the same period. Additionally, for the years ended December 31, 2019 and 2020, we generated net losses of $15.6 million and $58.8 million, respectively, and had Adjusted EBITDA of $4.0 million and $4.3 million, respectively, following negative Adjusted EBITDA in both 2017 and 2018. See “Prospectus Summary—Summary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 December 31, 2018, 2019 and 2020, the lifetime value of our customers exceeded five, seven and eleven times the cost of acquiring them, respectively. See “Management’s Discussion and Analysis of Financial Condition and Results of Operations—Overview” for additional information on how we calculate the lifetime value of our customers and the cost of acquiring them.</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15" name="Frame1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 </w:t>
      </w:r>
    </w:p>
    <w:p>
      <w:pPr>
        <w:pStyle w:val="TextBody"/>
        <w:spacing w:lineRule="auto" w:line="288" w:before="120" w:after="180"/>
        <w:ind w:left="0" w:right="0" w:firstLine="360"/>
        <w:rPr>
          <w:rFonts w:ascii="Helvetica;sans-serif" w:hAnsi="Helvetica;sans-serif"/>
          <w:b/>
          <w:color w:val="000000"/>
          <w:sz w:val="20"/>
          <w:u w:val="single"/>
          <w:bdr w:val="single" w:sz="8" w:space="36" w:color="000000"/>
        </w:rPr>
      </w:pPr>
      <w:r>
        <w:rPr>
          <w:rFonts w:ascii="Helvetica;sans-serif" w:hAnsi="Helvetica;sans-serif"/>
          <w:b/>
          <w:color w:val="000000"/>
          <w:sz w:val="20"/>
          <w:u w:val="single"/>
          <w:bdr w:val="single" w:sz="8" w:space="36" w:color="000000"/>
        </w:rPr>
        <w:t>Key Trends Impacting the Video Market</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The nature of video consumption has transformed in recent years. Several major trends have played a role in this evolution:</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Availability of Broadband:</w:t>
      </w:r>
      <w:r>
        <w:rPr>
          <w:color w:val="000000"/>
        </w:rPr>
        <w:t xml:space="preserve"> </w:t>
      </w:r>
      <w:r>
        <w:rPr>
          <w:rFonts w:ascii="Helvetica;sans-serif" w:hAnsi="Helvetica;sans-serif"/>
          <w:b w:val="false"/>
          <w:color w:val="000000"/>
          <w:sz w:val="20"/>
        </w:rPr>
        <w:t xml:space="preserve">The availability of internet-based services has increased in recent years, with global telecom operators increasing investment in next-generation mobile networks to reach previously underpenetrated regions and enhance performance in existing ones.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Broad Penetration of Smartphones:</w:t>
      </w:r>
      <w:r>
        <w:rPr>
          <w:color w:val="000000"/>
        </w:rPr>
        <w:t xml:space="preserve"> </w:t>
      </w:r>
      <w:r>
        <w:rPr>
          <w:rFonts w:ascii="Helvetica;sans-serif" w:hAnsi="Helvetica;sans-serif"/>
          <w:b w:val="false"/>
          <w:color w:val="000000"/>
          <w:sz w:val="20"/>
        </w:rPr>
        <w:t>Billions of people around the world use smartphones today, equipped with sophisticated technology which allow them to create, watch, and transmit video anytime and anywhere.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Rise of OTT and Cloud Technologies:</w:t>
      </w:r>
      <w:r>
        <w:rPr>
          <w:color w:val="000000"/>
        </w:rPr>
        <w:t xml:space="preserve"> </w:t>
      </w:r>
      <w:r>
        <w:rPr>
          <w:rFonts w:ascii="Helvetica;sans-serif" w:hAnsi="Helvetica;sans-serif"/>
          <w:b w:val="false"/>
          <w:color w:val="000000"/>
          <w:sz w:val="20"/>
        </w:rPr>
        <w:t>Television has left its original home within cable and satellite networks and TV set-top boxes and is now being delivered from the cloud as an internet-based service to any device.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Consumerization of Enterprise Technology:</w:t>
      </w:r>
      <w:r>
        <w:rPr>
          <w:color w:val="000000"/>
        </w:rPr>
        <w:t xml:space="preserve"> </w:t>
      </w:r>
      <w:r>
        <w:rPr>
          <w:rFonts w:ascii="Helvetica;sans-serif" w:hAnsi="Helvetica;sans-serif"/>
          <w:b w:val="false"/>
          <w:color w:val="000000"/>
          <w:sz w:val="20"/>
        </w:rPr>
        <w:t>Employees in today’s businesses expect consumer-like experiences with enterprise technology, expanding their use case of technology at work from simply exchanging information and data, to interacting, socializing, and learning.</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Elevation of Video to Strategic and Mission-Critical Use Cases: </w:t>
      </w:r>
      <w:r>
        <w:rPr>
          <w:rFonts w:ascii="Helvetica;sans-serif" w:hAnsi="Helvetica;sans-serif"/>
          <w:b w:val="false"/>
          <w:color w:val="000000"/>
          <w:sz w:val="20"/>
        </w:rPr>
        <w:t xml:space="preserve">Video has transcended its initial use for entertainment to become a mission-critical tool leveraged by organizations across all industries. This includes companies adding video experiences to their own products and services.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Heightened Focus on Customer and Employee Engagement: </w:t>
      </w:r>
      <w:r>
        <w:rPr>
          <w:rFonts w:ascii="Helvetica;sans-serif" w:hAnsi="Helvetica;sans-serif"/>
          <w:b w:val="false"/>
          <w:color w:val="000000"/>
          <w:sz w:val="20"/>
        </w:rPr>
        <w:t>Businesses today are focused on finding new and creative ways to connect with their customers and employees. Management teams are pushing to develop new applications and services which maximize the use of data and analytics to create interactive, personalized solutions and drive engagement.</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COVID-19 Pandemic Accelerating Preexisting Trends:</w:t>
      </w:r>
      <w:r>
        <w:rPr>
          <w:color w:val="000000"/>
        </w:rPr>
        <w:t xml:space="preserve"> </w:t>
      </w:r>
      <w:r>
        <w:rPr>
          <w:rFonts w:ascii="Helvetica;sans-serif" w:hAnsi="Helvetica;sans-serif"/>
          <w:b w:val="false"/>
          <w:color w:val="000000"/>
          <w:sz w:val="20"/>
        </w:rPr>
        <w:t xml:space="preserve">We believe the COVID-19 pandemic has accelerated the use of video for numerous use cases, including remote learning, remote work, virtual events, remote healthcare, consumer communication, e-commerce and online entertainment. </w:t>
      </w:r>
    </w:p>
    <w:p>
      <w:pPr>
        <w:pStyle w:val="TextBody"/>
        <w:spacing w:lineRule="auto" w:line="288" w:before="120" w:after="180"/>
        <w:ind w:left="0" w:right="0" w:firstLine="360"/>
        <w:rPr>
          <w:rFonts w:ascii="Helvetica;sans-serif" w:hAnsi="Helvetica;sans-serif"/>
          <w:b/>
          <w:color w:val="000000"/>
          <w:sz w:val="20"/>
          <w:u w:val="single"/>
          <w:bdr w:val="single" w:sz="8" w:space="36" w:color="000000"/>
        </w:rPr>
      </w:pPr>
      <w:r>
        <w:rPr>
          <w:rFonts w:ascii="Helvetica;sans-serif" w:hAnsi="Helvetica;sans-serif"/>
          <w:b/>
          <w:color w:val="000000"/>
          <w:sz w:val="20"/>
          <w:u w:val="single"/>
          <w:bdr w:val="single" w:sz="8" w:space="36" w:color="000000"/>
        </w:rPr>
        <w:t>Limitations of Existing Video Solutions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Discrete Point Solutions:</w:t>
      </w:r>
      <w:r>
        <w:rPr>
          <w:color w:val="000000"/>
        </w:rPr>
        <w:t xml:space="preserve"> </w:t>
      </w:r>
      <w:r>
        <w:rPr>
          <w:rFonts w:ascii="Helvetica;sans-serif" w:hAnsi="Helvetica;sans-serif"/>
          <w:b w:val="false"/>
          <w:color w:val="000000"/>
          <w:sz w:val="20"/>
        </w:rPr>
        <w:t xml:space="preserve">Most existing video solution providers lack a complete and unified platform for all video solutions across technologies (live, real-time and on-demand), devices, and use cases. As a result, businesses are faced with the complexity of working with multiple vendors to meet their video needs, often leading to a lack of cohesiveness across offerings, silos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16" name="Frame1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v:rect>
            </w:pict>
          </mc:Fallback>
        </mc:AlternateConten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content and disjointed workflows, and security and monitoring concerns. This further limits their applicability for use cases which would benefit from combined workflows.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Inflexible Offerings:</w:t>
      </w:r>
      <w:r>
        <w:rPr>
          <w:color w:val="000000"/>
        </w:rPr>
        <w:t xml:space="preserve"> </w:t>
      </w:r>
      <w:r>
        <w:rPr>
          <w:rFonts w:ascii="Helvetica;sans-serif" w:hAnsi="Helvetica;sans-serif"/>
          <w:b w:val="false"/>
          <w:color w:val="000000"/>
          <w:sz w:val="20"/>
        </w:rPr>
        <w:t>Many existing video solutions are turnkey applications that provide little by way of integration and 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Limited Integration with Ecosystem: </w:t>
      </w:r>
      <w:r>
        <w:rPr>
          <w:rFonts w:ascii="Helvetica;sans-serif" w:hAnsi="Helvetica;sans-serif"/>
          <w:b w:val="false"/>
          <w:color w:val="000000"/>
          <w:sz w:val="20"/>
        </w:rPr>
        <w:t xml:space="preserve">Most existing video solution providers have few integrations with third-party platforms, and therefore offer limited interoperability and a non-streamlined and disjointed end-user experience.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Limited Analytics Capabilities: </w:t>
      </w:r>
      <w:r>
        <w:rPr>
          <w:rFonts w:ascii="Helvetica;sans-serif" w:hAnsi="Helvetica;sans-serif"/>
          <w:b w:val="false"/>
          <w:color w:val="000000"/>
          <w:sz w:val="20"/>
        </w:rPr>
        <w:t>Existing solutions often lack the robust analytics tools that enable interactivity and personalization. This limits the ability of businesses to make data-driven business decisions, further translating to limited end user engagement and a lower return on investment.</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Not Optimized for End Users:</w:t>
      </w:r>
      <w:r>
        <w:rPr>
          <w:color w:val="000000"/>
        </w:rPr>
        <w:t xml:space="preserve"> </w:t>
      </w:r>
      <w:r>
        <w:rPr>
          <w:rFonts w:ascii="Helvetica;sans-serif" w:hAnsi="Helvetica;sans-serif"/>
          <w:b w:val="false"/>
          <w:color w:val="000000"/>
          <w:sz w:val="20"/>
        </w:rPr>
        <w:t xml:space="preserve">The interfaces of existing solutions are often not intuitive, and do not generate an immersive and engaging end-user experience across devices.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Not Built for the Cloud:</w:t>
      </w:r>
      <w:r>
        <w:rPr>
          <w:color w:val="000000"/>
        </w:rPr>
        <w:t xml:space="preserve"> </w:t>
      </w:r>
      <w:r>
        <w:rPr>
          <w:rFonts w:ascii="Helvetica;sans-serif" w:hAnsi="Helvetica;sans-serif"/>
          <w:b w:val="false"/>
          <w:color w:val="000000"/>
          <w:sz w:val="20"/>
        </w:rPr>
        <w:t xml:space="preserve">Many existing offerings are not cloud-native and instead rely on legacy on-premise deployments to deliver their solutions, limiting their ability to innovate quickly and provide video seamlessly across devices. This also creates operational complexities for customers managing multiple video solutions and limits their ability to leverage economies of scale.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Insufficient Support of Enterprise Standards:</w:t>
      </w:r>
      <w:r>
        <w:rPr>
          <w:color w:val="000000"/>
        </w:rPr>
        <w:t xml:space="preserve"> </w:t>
      </w:r>
      <w:r>
        <w:rPr>
          <w:rFonts w:ascii="Helvetica;sans-serif" w:hAnsi="Helvetica;sans-serif"/>
          <w:b w:val="false"/>
          <w:color w:val="000000"/>
          <w:sz w:val="20"/>
        </w:rPr>
        <w:t>Many existing offerings lack the scale, security, and compliance needed by today’s enterprises, and also lack the development, contribution, and support for industry standards that promote openness, interoperability, and accessibility. This creates a growing risk for businesses that are using video for mission-critical use cases at scale.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Unnecessary Costs:</w:t>
      </w:r>
      <w:r>
        <w:rPr>
          <w:color w:val="000000"/>
        </w:rPr>
        <w:t xml:space="preserve"> </w:t>
      </w:r>
      <w:r>
        <w:rPr>
          <w:rFonts w:ascii="Helvetica;sans-serif" w:hAnsi="Helvetica;sans-serif"/>
          <w:b w:val="false"/>
          <w:color w:val="000000"/>
          <w:sz w:val="20"/>
        </w:rPr>
        <w:t xml:space="preserve">Existing solutions frequently require extensive implementation, hardware maintenance and custom integrations with other video solutions and adjacent tools, often resulting in excess costs for the customer. </w:t>
      </w:r>
    </w:p>
    <w:p>
      <w:pPr>
        <w:pStyle w:val="TextBody"/>
        <w:spacing w:lineRule="auto" w:line="288" w:before="120" w:after="180"/>
        <w:ind w:left="0" w:right="0" w:firstLine="360"/>
        <w:rPr>
          <w:rFonts w:ascii="Helvetica;sans-serif" w:hAnsi="Helvetica;sans-serif"/>
          <w:b/>
          <w:color w:val="000000"/>
          <w:sz w:val="20"/>
          <w:u w:val="single"/>
          <w:bdr w:val="single" w:sz="8" w:space="36" w:color="000000"/>
        </w:rPr>
      </w:pPr>
      <w:r>
        <w:rPr>
          <w:rFonts w:ascii="Helvetica;sans-serif" w:hAnsi="Helvetica;sans-serif"/>
          <w:b/>
          <w:color w:val="000000"/>
          <w:sz w:val="20"/>
          <w:u w:val="single"/>
          <w:bdr w:val="single" w:sz="8" w:space="36" w:color="000000"/>
        </w:rPr>
        <w:t xml:space="preserve">Kaltura’s Video Experience Cloud </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Single Platform for All Video Experiences: </w:t>
      </w:r>
      <w:r>
        <w:rPr>
          <w:rFonts w:ascii="Helvetica;sans-serif" w:hAnsi="Helvetica;sans-serif"/>
          <w:b w:val="false"/>
          <w:color w:val="000000"/>
          <w:sz w:val="20"/>
        </w:rPr>
        <w:t xml:space="preserve">Our horizontal Video Experience Cloud acts as a “one stop shop” for video experiences 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Open, Flexible Architecture:</w:t>
      </w:r>
      <w:r>
        <w:rPr>
          <w:color w:val="000000"/>
        </w:rPr>
        <w:t xml:space="preserve"> </w:t>
      </w:r>
      <w:r>
        <w:rPr>
          <w:rFonts w:ascii="Helvetica;sans-serif" w:hAnsi="Helvetica;sans-serif"/>
          <w:b w:val="false"/>
          <w:color w:val="000000"/>
          <w:sz w:val="20"/>
        </w:rPr>
        <w:t xml:space="preserve">Our products and solutions are interoperable and can be easily customized, extended and connected to other platforms and third-party offerings, allowing our customers to leverage external innovation as well. This also allows us to innovate efficiently and quickly and be a pioneer in the industry with many features, products and solutions.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Ecosystem:</w:t>
      </w:r>
      <w:r>
        <w:rPr>
          <w:color w:val="000000"/>
        </w:rPr>
        <w:t xml:space="preserve"> </w:t>
      </w:r>
      <w:r>
        <w:rPr>
          <w:rFonts w:ascii="Helvetica;sans-serif" w:hAnsi="Helvetica;sans-serif"/>
          <w:b w:val="false"/>
          <w:color w:val="000000"/>
          <w:sz w:val="20"/>
        </w:rPr>
        <w:t xml:space="preserve">We have built a rich ecosystem of over 125 technology partners, extending our experiences with AI, video creation, and network optimization, among others. We make our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17" name="Frame1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v:rect>
            </w:pict>
          </mc:Fallback>
        </mc:AlternateConten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partners’ solutions available to our customers through our marketplace, complete with a variety of plugins and out-of-the-box integrations with our platform.</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Analytics:</w:t>
      </w:r>
      <w:r>
        <w:rPr>
          <w:color w:val="000000"/>
        </w:rPr>
        <w:t xml:space="preserve"> </w:t>
      </w:r>
      <w:r>
        <w:rPr>
          <w:rFonts w:ascii="Helvetica;sans-serif" w:hAnsi="Helvetica;sans-serif"/>
          <w:b w:val="false"/>
          <w:color w:val="000000"/>
          <w:sz w:val="20"/>
        </w:rPr>
        <w:t>Our platform offers powerful analytics across multiple dimensions, including insights related to engagement, time and seasonality comparisons, bottleneck identification, and congestion detection. These features help companies maximize the use of the data they are gathering across video channels, and better guide workflows associated with subscription.</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Significant Benefits to End Users:</w:t>
      </w:r>
      <w:r>
        <w:rPr>
          <w:color w:val="000000"/>
        </w:rPr>
        <w:t xml:space="preserve"> </w:t>
      </w:r>
      <w:r>
        <w:rPr>
          <w:rFonts w:ascii="Helvetica;sans-serif" w:hAnsi="Helvetica;sans-serif"/>
          <w:b w:val="false"/>
          <w:color w:val="000000"/>
          <w:sz w:val="20"/>
        </w:rPr>
        <w:t>Our customers’ use of our offerings provides several benefits to their end users at home, at work, and at school, including: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immersive, interactive and engaging experiences;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intuitive and consistent user interface across devices;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personalization driven by insightful and rich analytics;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customization and integration with other workflows enabling consolidated and seamless user experiences;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quality of service, security, and compliance;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flexibility for developers to build customized solutions incorporating video technology.</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Cloud-Agnostic:</w:t>
      </w:r>
      <w:r>
        <w:rPr>
          <w:color w:val="000000"/>
        </w:rPr>
        <w:t xml:space="preserve"> </w:t>
      </w:r>
      <w:r>
        <w:rPr>
          <w:rFonts w:ascii="Helvetica;sans-serif" w:hAnsi="Helvetica;sans-serif"/>
          <w:b w:val="false"/>
          <w:color w:val="000000"/>
          <w:sz w:val="20"/>
        </w:rPr>
        <w:t xml:space="preserve">While most of our customers use our public cloud products and solutions, our solutions can be deployed across any private, public, or hybrid cloud environment, as well as on-premise, providing our customers with complete flexibility around their deployment.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Enterprise-Grade:</w:t>
      </w:r>
      <w:r>
        <w:rPr>
          <w:color w:val="000000"/>
        </w:rPr>
        <w:t xml:space="preserve"> </w:t>
      </w:r>
      <w:r>
        <w:rPr>
          <w:rFonts w:ascii="Helvetica;sans-serif" w:hAnsi="Helvetica;sans-serif"/>
          <w:b w:val="false"/>
          <w:color w:val="000000"/>
          <w:sz w:val="20"/>
        </w:rPr>
        <w:t>Our platform offers enterprise-grade reliability, security, and scalability, allowing us to support mission-critical workflows for experiences of any scale. We also offer proactive monitoring and various tiers of customer support. For customers that rely on Kaltura to power TV experiences, we offer service availability commitments of up to 99.995%, the highest industry benchmark required by major media and telecom customers.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Cost Efficiency: </w:t>
      </w:r>
      <w:r>
        <w:rPr>
          <w:rFonts w:ascii="Helvetica;sans-serif" w:hAnsi="Helvetica;sans-serif"/>
          <w:b w:val="false"/>
          <w:color w:val="000000"/>
          <w:sz w:val="20"/>
        </w:rPr>
        <w:t xml:space="preserve">Our horizontal flexible, scalable, and extendable platform is cost-efficient to deploy, operate, maintain, and to keep abreast of emerging trends and needs. </w:t>
      </w:r>
    </w:p>
    <w:p>
      <w:pPr>
        <w:pStyle w:val="TextBody"/>
        <w:spacing w:lineRule="auto" w:line="288" w:before="120" w:after="180"/>
        <w:ind w:left="0" w:right="0" w:firstLine="360"/>
        <w:rPr>
          <w:rFonts w:ascii="Helvetica;sans-serif" w:hAnsi="Helvetica;sans-serif"/>
          <w:b/>
          <w:color w:val="000000"/>
          <w:sz w:val="20"/>
          <w:u w:val="single"/>
          <w:bdr w:val="single" w:sz="8" w:space="36" w:color="000000"/>
        </w:rPr>
      </w:pPr>
      <w:r>
        <w:rPr>
          <w:rFonts w:ascii="Helvetica;sans-serif" w:hAnsi="Helvetica;sans-serif"/>
          <w:b/>
          <w:color w:val="000000"/>
          <w:sz w:val="20"/>
          <w:u w:val="single"/>
          <w:bdr w:val="single" w:sz="8" w:space="36" w:color="000000"/>
        </w:rPr>
        <w:t>Our Opportunity</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We address a global market which includes on-demand, live, and real-time video experiences. We estimate that our total addressable market in 2020 is approximately $55 billion, including approximately $39 billion from the real-time-conferencing market, which we entered in 2020 with the addition of real-time-conferencing capabilities into our Media Services and the launch of our Webinars, Virtual Events and Meetings products and our Virtual Classroom industry solution. </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 </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Over time, we expect our market opportunity to grow, driven by increased global spend on video software solutions and our expansion into additional technologies and industries, such as telehealth, retail, smart cities, and government.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18" name="Frame1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v:rect>
            </w:pict>
          </mc:Fallback>
        </mc:AlternateContent>
      </w:r>
    </w:p>
    <w:p>
      <w:pPr>
        <w:pStyle w:val="TextBody"/>
        <w:spacing w:lineRule="auto" w:line="288" w:before="120" w:after="180"/>
        <w:ind w:left="0" w:right="0" w:firstLine="360"/>
        <w:rPr>
          <w:rFonts w:ascii="Helvetica;sans-serif" w:hAnsi="Helvetica;sans-serif"/>
          <w:b/>
          <w:color w:val="000000"/>
          <w:sz w:val="20"/>
          <w:u w:val="single"/>
          <w:bdr w:val="single" w:sz="8" w:space="36" w:color="000000"/>
        </w:rPr>
      </w:pPr>
      <w:r>
        <w:rPr>
          <w:rFonts w:ascii="Helvetica;sans-serif" w:hAnsi="Helvetica;sans-serif"/>
          <w:b/>
          <w:color w:val="000000"/>
          <w:sz w:val="20"/>
          <w:u w:val="single"/>
          <w:bdr w:val="single" w:sz="8" w:space="36" w:color="000000"/>
        </w:rPr>
        <w:t>Growth Strategies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We intend to drive significant growth by executing on the following key strategies: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Acquire New Customers:</w:t>
      </w:r>
      <w:r>
        <w:rPr>
          <w:color w:val="000000"/>
        </w:rPr>
        <w:t xml:space="preserve"> </w:t>
      </w:r>
      <w:r>
        <w:rPr>
          <w:rFonts w:ascii="Helvetica;sans-serif" w:hAnsi="Helvetica;sans-serif"/>
          <w:b w:val="false"/>
          <w:color w:val="000000"/>
          <w:sz w:val="20"/>
        </w:rPr>
        <w:t xml:space="preserve">We believe we have a significant opportunity to expand our presence with Fortune Global 2000 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Extend Product Leadership:</w:t>
      </w:r>
      <w:r>
        <w:rPr>
          <w:color w:val="000000"/>
        </w:rPr>
        <w:t xml:space="preserve"> </w:t>
      </w:r>
      <w:r>
        <w:rPr>
          <w:rFonts w:ascii="Helvetica;sans-serif" w:hAnsi="Helvetica;sans-serif"/>
          <w:b w:val="false"/>
          <w:color w:val="000000"/>
          <w:sz w:val="20"/>
        </w:rPr>
        <w:t>We believe our platform is ideally suited for expansion across products, solutions, industries, and use cases. We will continue to invest in new technologies and harness existing ones. We intend to continue to invest in our solutions across multiple dimensions: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Recent Product and Solution Introductions:</w:t>
      </w:r>
      <w:r>
        <w:rPr>
          <w:color w:val="000000"/>
        </w:rPr>
        <w:t xml:space="preserve"> </w:t>
      </w:r>
      <w:r>
        <w:rPr>
          <w:rFonts w:ascii="Helvetica;sans-serif" w:hAnsi="Helvetica;sans-serif"/>
          <w:b w:val="false"/>
          <w:color w:val="000000"/>
          <w:sz w:val="20"/>
        </w:rPr>
        <w:t xml:space="preserve">In 2020, we entered the real-time-conferencing market with the 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New Offerings, including:</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Products:</w:t>
      </w:r>
      <w:r>
        <w:rPr>
          <w:color w:val="000000"/>
        </w:rPr>
        <w:t xml:space="preserve"> </w:t>
      </w:r>
      <w:r>
        <w:rPr>
          <w:rFonts w:ascii="Helvetica;sans-serif" w:hAnsi="Helvetica;sans-serif"/>
          <w:b w:val="false"/>
          <w:color w:val="000000"/>
          <w:sz w:val="20"/>
        </w:rPr>
        <w:t>We will continue to invest in new video products for training, communication and collaboration, marketing, sales and customer care.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Industry Solutions:</w:t>
      </w:r>
      <w:r>
        <w:rPr>
          <w:color w:val="000000"/>
        </w:rPr>
        <w:t xml:space="preserve"> </w:t>
      </w:r>
      <w:r>
        <w:rPr>
          <w:rFonts w:ascii="Helvetica;sans-serif" w:hAnsi="Helvetica;sans-serif"/>
          <w:b w:val="false"/>
          <w:color w:val="000000"/>
          <w:sz w:val="20"/>
        </w:rPr>
        <w:t xml:space="preserve">We believe there is a significant opportunity to extend our platform into more industries. Following the success of our media and telecom and education applications, we intend to launch applications for industries such as telehealth, retail, government, and smart cities, among others.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 xml:space="preserve">Media Services: </w:t>
      </w:r>
      <w:r>
        <w:rPr>
          <w:rFonts w:ascii="Helvetica;sans-serif" w:hAnsi="Helvetica;sans-serif"/>
          <w:b w:val="false"/>
          <w:color w:val="000000"/>
          <w:sz w:val="20"/>
        </w:rPr>
        <w:t>We intend to enhance our Media Services offerings with additional core capabilities and invest in areas such as content creation, personalization and interactivity, content aggregation and syndication, AI and smart monetization. We also intend to add these capabilities into our existing and new products and industry solutions.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Increase Revenue from Existing Customers:</w:t>
      </w:r>
      <w:r>
        <w:rPr>
          <w:color w:val="000000"/>
        </w:rPr>
        <w:t xml:space="preserve"> </w:t>
      </w:r>
      <w:r>
        <w:rPr>
          <w:rFonts w:ascii="Helvetica;sans-serif" w:hAnsi="Helvetica;sans-serif"/>
          <w:b w:val="false"/>
          <w:color w:val="000000"/>
          <w:sz w:val="20"/>
        </w:rPr>
        <w:t xml:space="preserve">We plan to continue to increase sales within our existing customer base through increased usage of our platform and the cross-selling of additional products and solutions.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Augment our Platform Offering through Partnerships and Opportunistic M&amp;A:</w:t>
      </w:r>
      <w:r>
        <w:rPr>
          <w:color w:val="000000"/>
        </w:rPr>
        <w:t xml:space="preserve"> </w:t>
      </w:r>
      <w:r>
        <w:rPr>
          <w:rFonts w:ascii="Helvetica;sans-serif" w:hAnsi="Helvetica;sans-serif"/>
          <w:b w:val="false"/>
          <w:color w:val="000000"/>
          <w:sz w:val="20"/>
        </w:rPr>
        <w:t>We plan to increase the breadth of partnerships 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pStyle w:val="TextBody"/>
        <w:spacing w:lineRule="auto" w:line="288" w:before="120" w:after="180"/>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Summary Risk Factors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Our business is subject to a number of risks that you should be aware of before making an investment decision. You should carefully consider all of the information set forth in this prospectus and,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19" name="Frame1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v:rect>
            </w:pict>
          </mc:Fallback>
        </mc:AlternateContent>
      </w:r>
    </w:p>
    <w:p>
      <w:pPr>
        <w:pStyle w:val="TextBody"/>
        <w:spacing w:lineRule="auto" w:line="288" w:before="0" w:after="18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in particular, should evaluate the specific factors set forth under “Risk Factors” in deciding whether to invest in our common stock. Among these important risks are the following: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have a history of losses and may not be able to achieve or maintain profitability.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ongoing COVID-19 outbreak could adversely affect our business, financial condition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results of operations are likely to fluctuate from quarter to quarter and year to year, which could adversely affect the trading price of our common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loss of one or more of our significant customers, or any other reduction in the amount of revenue we derive from any such customer, would adversely affect our business, financial condition, results of operations and growth prospects.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 version of our Media Services is licensed to the public under an open source license, which could negatively affect our ability to monetize our offerings and protect our intellectual property rights.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our existing customers do not renew their subscriptions, or if they renew on terms that are less economically beneficial to us, it could have an adverse effect on our business, financial condition and results of operations.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20" name="Frame1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recognize a significant portion of revenue from subscriptions over the term of the relevant subscription period, and as a result, downturns or upturns in sales are not immediately reflected in full in our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rely on third parties, including third parties outside the United States, for some of our software development, quality assurance, operations, and customer support.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depend on our management team and other key employees, and the loss of one or more of these employees or an inability to attract and retain highly skilled employees could adversely affect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are not able to maintain and enhance awareness of our brand, especially among developers and IT operators, our business, financial condition and results of operations may be adversely affected.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corporate culture has contributed to our success, and if we cannot maintain this culture as we grow, we could lose the innovation, creativity, and entrepreneurial spirit we have worked to foster, which could adversely affect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failure to offer high quality customer support would have an adverse effect on our business, reputation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failure to effectively develop and expand our marketing and sales capabilities could harm our ability to increase our customer base and achieve broader market acceptance of our offerings.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sales prices of our offerings may change, which may reduce our revenue and gross profit and adversely affect our financial results.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expect our revenue mix to vary over time, which could negatively impact our gross margin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length of our sales cycle can be unpredictable, particularly with respect to sales to large customers, and our sales efforts may require considerable time and expense.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international operations and expansion expose us to risk.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are not successful in sustaining and expanding our international business, we may incur additional losses and our revenue growth could be adversely affected.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Currency exchange rate fluctuations affect our results of operations, as reported in our financial statements.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 portion of our revenue is generated by sales to government entities, which are subject to a number of challenges and risks.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21" name="Frame1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 real or perceived bug, defect, security vulnerability, error, or other performance failure involving our platform, products or solutions could cause us to lose revenue, damage our reputation, and expose us to liability.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Failure to protect our proprietary technology, or to obtain, maintain, protect and enforce sufficiently broad intellectual property rights therein, could substantially harm our business, financial condition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failure to raise additional capital or generate the significant capital necessary to expand our operations and invest in new offerings could reduce our ability to compete and could adversely affect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Changes in laws and regulations related to the internet, changes in the internet infrastructure itself, or increases in the cost of internet connectivity and network access may diminish the demand for our offerings and could harm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Political, economic and military conditions in Israel could materially and adversely affect our business.</w:t>
      </w:r>
    </w:p>
    <w:p>
      <w:pPr>
        <w:pStyle w:val="TextBody"/>
        <w:spacing w:lineRule="auto" w:line="288" w:before="120" w:after="180"/>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Corporate History and Information</w:t>
      </w:r>
    </w:p>
    <w:p>
      <w:pPr>
        <w:pStyle w:val="TextBody"/>
        <w:spacing w:lineRule="auto" w:line="288" w:before="0" w:after="180"/>
        <w:ind w:left="0" w:right="0" w:firstLine="360"/>
        <w:jc w:val="both"/>
        <w:rPr>
          <w:bdr w:val="single" w:sz="8" w:space="36" w:color="000000"/>
        </w:rPr>
      </w:pPr>
      <w:r>
        <w:rPr>
          <w:rFonts w:ascii="Helvetica;sans-serif" w:hAnsi="Helvetica;sans-serif"/>
          <w:b w:val="false"/>
          <w:color w:val="000000"/>
          <w:sz w:val="20"/>
          <w:bdr w:val="single" w:sz="8" w:space="36" w:color="000000"/>
        </w:rPr>
        <w:t xml:space="preserve">Kaltura, Inc. was incorporated as a Delaware corporation in October 2006. Our corporate headquarters is located at 250 Park Avenue South, 10th Floor, New York, New York, and our telephone number is (646) 290-5445. Our website is </w:t>
      </w:r>
      <w:r>
        <w:rPr>
          <w:rFonts w:ascii="Helvetica;sans-serif" w:hAnsi="Helvetica;sans-serif"/>
          <w:b w:val="false"/>
          <w:i/>
          <w:color w:val="000000"/>
          <w:sz w:val="20"/>
          <w:bdr w:val="single" w:sz="8" w:space="36" w:color="000000"/>
        </w:rPr>
        <w:t>www.kaltura.com</w:t>
      </w:r>
      <w:r>
        <w:rPr>
          <w:rFonts w:ascii="Helvetica;sans-serif" w:hAnsi="Helvetica;sans-serif"/>
          <w:b w:val="false"/>
          <w:color w:val="000000"/>
          <w:sz w:val="20"/>
          <w:bdr w:val="single" w:sz="8" w:space="36" w:color="000000"/>
        </w:rPr>
        <w:t>. Information contained on or that can be accessed through our website is not incorporated by reference into this prospectus and does not constitute a part of this prospectus.</w:t>
      </w:r>
    </w:p>
    <w:p>
      <w:pPr>
        <w:pStyle w:val="TextBody"/>
        <w:spacing w:lineRule="auto" w:line="288" w:before="120" w:after="180"/>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Implications of Being an Emerging Growth Company</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As a company with less than $1.07 billion in revenue during our most recently ended fiscal year, we qualify as an “emerging growth company” as defined in the Jumpstart Our Business Startups Act of 2012 (“JOBS Act”). An emerging growth company may take advantage of specified reduced reporting and other requirements that are otherwise applicable generally to public companies. These provisions include, among other exemptions, that: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required to have only two years of audited financial statements and only two years of related Management’s Discussion and Analysis of Financial Condition and Results of Operations disclosure;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engage an auditor to report on our internal controls over financial reporting pursuant to Section 404(b) of the Sarbanes-Oxley Act of 2002 (the “Sarbanes-Oxley Act”);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submit certain executive compensation matters to stockholder advisory votes, such as “say-on-pay,” “say-on-frequency” and “say-on-golden parachutes;” and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22" name="Frame1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disclose certain executive compensation related items such as the correlation between executive compensation and performance and comparisons of the chief executive officer’s compensation to median employee compensation.</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We may take advantage of these provisions until the last day of our fiscal year following the fifth anniversary of the closing of this offering or such earlier time that we are no longer an emerging growth company. We will cease to be an emerging growth company if (i) we have more than $1.07 billion in annual revenue in any fiscal year, (ii) the market value of our common stock held by non-affiliates exceeds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As a result of this election, the information that we provide stockholders may be different than the information you might get from other public companies in which you hold equity. We cannot predict whether investors may find our common stock less attractive as a result.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The JOBS Act also permits an emerging growth company like us to take advantage of an extended transition period for complying with new or revised accounting standards applicable to public companies. In other words, an emerging growth company can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23" name="Frame1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v:rect>
            </w:pict>
          </mc:Fallback>
        </mc:AlternateContent>
      </w:r>
    </w:p>
    <w:p>
      <w:pPr>
        <w:pStyle w:val="TextBody"/>
        <w:spacing w:lineRule="auto" w:line="288" w:before="120" w:after="180"/>
        <w:jc w:val="center"/>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THE OFFERING</w:t>
      </w:r>
    </w:p>
    <w:tbl>
      <w:tblPr>
        <w:tblW w:w="10205" w:type="dxa"/>
        <w:jc w:val="left"/>
        <w:tblInd w:w="0" w:type="dxa"/>
        <w:tblCellMar>
          <w:top w:w="28" w:type="dxa"/>
          <w:left w:w="28" w:type="dxa"/>
          <w:bottom w:w="28" w:type="dxa"/>
          <w:right w:w="28" w:type="dxa"/>
        </w:tblCellMar>
      </w:tblPr>
      <w:tblGrid>
        <w:gridCol w:w="731"/>
        <w:gridCol w:w="376"/>
        <w:gridCol w:w="377"/>
        <w:gridCol w:w="2551"/>
        <w:gridCol w:w="2551"/>
        <w:gridCol w:w="3619"/>
      </w:tblGrid>
      <w:tr>
        <w:trPr/>
        <w:tc>
          <w:tcPr>
            <w:tcW w:w="73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3619"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offered by us</w:t>
            </w:r>
          </w:p>
        </w:tc>
        <w:tc>
          <w:tcPr>
            <w:tcW w:w="872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17,400,000 shares</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offered by the selling stockholders</w:t>
            </w:r>
          </w:p>
        </w:tc>
        <w:tc>
          <w:tcPr>
            <w:tcW w:w="872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6,100,000 shares</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to be outstanding after this offering</w:t>
            </w:r>
          </w:p>
        </w:tc>
        <w:tc>
          <w:tcPr>
            <w:tcW w:w="872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Helvetica;sans-serif" w:hAnsi="Helvetica;sans-serif"/>
                <w:b w:val="false"/>
                <w:color w:val="000000"/>
                <w:sz w:val="20"/>
              </w:rPr>
            </w:pPr>
            <w:r>
              <w:rPr>
                <w:rFonts w:ascii="Helvetica;sans-serif" w:hAnsi="Helvetica;sans-serif"/>
                <w:b w:val="false"/>
                <w:color w:val="000000"/>
                <w:sz w:val="20"/>
              </w:rPr>
              <w:t>123,075,914 shares</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 to purchase additional shares</w:t>
            </w:r>
          </w:p>
        </w:tc>
        <w:tc>
          <w:tcPr>
            <w:tcW w:w="872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We have granted the underwriters a 30-day option to purchase up to 3,525,000 additional shares of our common stock from us at the initial public offering price less underwriting discounts and commissions.</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 of proceeds</w:t>
            </w:r>
          </w:p>
        </w:tc>
        <w:tc>
          <w:tcPr>
            <w:tcW w:w="87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Helvetica;sans-serif" w:hAnsi="Helvetica;sans-serif"/>
                <w:b w:val="false"/>
                <w:color w:val="000000"/>
                <w:sz w:val="20"/>
              </w:rPr>
            </w:pPr>
            <w:r>
              <w:rPr>
                <w:rFonts w:ascii="Helvetica;sans-serif" w:hAnsi="Helvetica;sans-serif"/>
                <w:b w:val="false"/>
                <w:color w:val="000000"/>
                <w:sz w:val="20"/>
              </w:rPr>
              <w:t>We expect to receive net proceeds from this offering of approximately $237.9 million (or approximately $287.1 million if the underwriters’ option to purchase additional shares of our common stock is exercised in full), assuming an initial public offering price of $15.00 per share, which is the midpoint of the price range set forth on the cover page of this prospectus, after deducting underwriting discounts and commissions and estimated offering expenses payable by us. 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research and development, sales and marketing activities, general administrative matters, operating expenses and capital expenditures. We will not receive any proceeds from the sale of shares of common stock by the selling stockholders. See “Use of Proceeds.”</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 factors</w:t>
            </w:r>
          </w:p>
        </w:tc>
        <w:tc>
          <w:tcPr>
            <w:tcW w:w="87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Helvetica;sans-serif" w:hAnsi="Helvetica;sans-serif"/>
                <w:b w:val="false"/>
                <w:color w:val="000000"/>
                <w:sz w:val="20"/>
              </w:rPr>
            </w:pPr>
            <w:r>
              <w:rPr>
                <w:rFonts w:ascii="Helvetica;sans-serif" w:hAnsi="Helvetica;sans-serif"/>
                <w:b w:val="false"/>
                <w:color w:val="000000"/>
                <w:sz w:val="20"/>
              </w:rPr>
              <w:t>Investing in our common stock involves a high degree of risk. See “Risk Factors” beginning on page 20 and the other information in this prospectus for a discussion of the factors you should consider before you decide to invest in our common stock.</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Conflict of interest</w:t>
            </w:r>
          </w:p>
        </w:tc>
        <w:tc>
          <w:tcPr>
            <w:tcW w:w="872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Special Situations Investing Group II, LLC is an affiliate of Goldman Sachs &amp; Co. LLC, an underwriter of this offering, and beneficially owns 10.6% of our outstanding capital stock prior to the consummation of this offering. Therefore, Goldman Sachs &amp; Co. LLC is deemed to have a “conflict of interest” within the meaning of Rule 5121 of the Financial Industry Regulatory Authority ("FINRA"). Accordingly, this offering is being conducted in accordance with FINRA Rule 5121. FINRA Rule 5121 prohibits Goldman Sachs &amp; Co. LLC from making sales to discretionary accounts without the prior written approval of the account holder and requires that a “qualified independent underwriter,” as defined in FINRA Rule 5121, participate in the preparation of the registration statement and exercise its usual standards of due diligence with respect thereto. BofA Securities, Inc. is acting as the "qualified independent underwriter" for this offering. See “Underwriting (Conflict of Interest)” for more information.</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both"/>
        <w:rPr/>
      </w:pPr>
      <w:r>
        <w:br w:type="page"/>
      </w: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24" name="Frame2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66"/>
        <w:gridCol w:w="348"/>
        <w:gridCol w:w="351"/>
        <w:gridCol w:w="2647"/>
        <w:gridCol w:w="2647"/>
        <w:gridCol w:w="3746"/>
      </w:tblGrid>
      <w:tr>
        <w:trPr/>
        <w:tc>
          <w:tcPr>
            <w:tcW w:w="46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3746" w:type="dxa"/>
            <w:tcBorders/>
            <w:shd w:fill="auto" w:val="clear"/>
            <w:vAlign w:val="center"/>
          </w:tcPr>
          <w:p>
            <w:pPr>
              <w:pStyle w:val="TableContents"/>
              <w:spacing w:before="0" w:after="283"/>
              <w:rPr>
                <w:sz w:val="4"/>
                <w:szCs w:val="4"/>
              </w:rPr>
            </w:pPr>
            <w:r>
              <w:rPr>
                <w:sz w:val="4"/>
                <w:szCs w:val="4"/>
              </w:rPr>
            </w:r>
          </w:p>
        </w:tc>
      </w:tr>
      <w:tr>
        <w:trPr/>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 policy</w:t>
            </w:r>
          </w:p>
        </w:tc>
        <w:tc>
          <w:tcPr>
            <w:tcW w:w="90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We currently intend to retain all available funds and any future earnings for use in the operation of our business and to make payments on our outstanding debt, and therefore we do not currently expect to pay any cash dividends on our common stock in the foreseeable future. Any future determination to pay cash dividends to holders of common stock will be at the discretion of our board of directors and will depend upon many factors, including,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cash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(as defined herein). Our ability to pay cash dividends on our common stock in the future may also be limited by the terms of any preferred securities we may issue or financial and other covenants in any instruments or agreements governing any additional indebtedness we may incur in the future. See “Dividend Policy.”</w:t>
            </w:r>
          </w:p>
        </w:tc>
      </w:tr>
      <w:tr>
        <w:trPr/>
        <w:tc>
          <w:tcPr>
            <w:tcW w:w="1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Proposed Nasdaq Global Select Market symbol</w:t>
            </w:r>
          </w:p>
        </w:tc>
        <w:tc>
          <w:tcPr>
            <w:tcW w:w="90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r>
              <w:rPr>
                <w:rFonts w:ascii="Helvetica;sans-serif" w:hAnsi="Helvetica;sans-serif"/>
                <w:b w:val="false"/>
                <w:color w:val="000000"/>
                <w:sz w:val="20"/>
              </w:rPr>
              <w:t>KLTR.”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The number of shares of our common stock to be outstanding after this offering is based on 105,675,914 shares of our common stock outstanding as of December 31, 2020, after giving effect to the Preferred Stock Conversion and the Warrant Exercises (each as defined below), as well as our issuance of 132,030 shares of our common stock upon the exercise of options by certain of the selling stockholders in connection with the sale of such shares in this offering (the “Selling Stockholder Option Exercises”), and excludes: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31,849,374 shares of our common stock issuable upon the exercise of options outstanding as of December 31, 2020, at a weighted-average exercise price of $3.87 per share, of which 13,554,754 options were vested (excluding, in each case, the 132,030 shares of common stock to be issued in connection with the Selling Stockholder Option Exercises);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up to 613,255 shares of our common stock issuable upon the exercise of a warrant issued to the former stockholders of Newrow, Inc. as partial consideration for our acquisition of all outstanding shares of capital stock of such entity, at an exercise price equal to the par value of such shares (the “Newrow Warrant”);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24,610 additional shares of our common stock reserved for issuances under our existing equity plans, as further described elsewhere in this prospectus (together, the “Prior Plans”), as of December 31, 2020;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8,500,000 shares of our common stock reserved for future issuance under our 2021 Incentive Award Plan (the “2021 Plan”), which will become effective upon the effectiveness of the registration statement of which this prospectus forms a part, as well as any automatic increases in the number of shares of our common stock reserved for future issuance under our 2021 Plan.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25" name="Frame2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Unless otherwise noted, the information in this prospectus reflects and assumes the following: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amendment and restatement of our certificate of incorporation to effect a 1-to-4.5 forward stock split effected on March 19, 2021, with all share, option, warrant and per share information for all periods presented in this prospectus adjusted to reflect such forward split on a retroactive basis;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issuance of 27,011 shares of our Series C convertible preferred stock pursuant to the automatic cashless exercise, in February 2021, of a warrant to purchase shares of our Series C convertible preferred stock (the “Series C Warrant” and, such exercise, the “Series C Warrant Exercise”);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automatic conversion of all outstanding shares of our convertible preferred stock (including the shares of convertible preferred stock issued in the Series C Warrant Exercise) into an aggregate of 73,490,034 shares of our common stock immediately prior to the closing of this offering (the “Preferred Stock Conversion”), which number includes 5,164,537 shares we expect to issue to Special Situations Investing Group II, LLC, an affiliate of Goldman Sachs &amp; Co. LLC (sometimes referred to in this prospectus as “SSIG”), upon the conversion of our Series F convertible preferred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issuance of 5,974,515 shares of common stock pursuant to the automatic cashless exercise, immediately prior to the closing of this offering, of a warrant held by SSIG (the “GS Warrant”), at an exercise price equal to the par value of such shares;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automatic cashless exercise, immediately prior to the closing of this offering, of a warrant to purchase shares of our Series D convertible preferred stock (the “Series D Warrant”) and warrants to purchase shares of our Series E convertible preferred stock (the “Series E Warrants”) which, after giving effect to the Preferred Stock Conversion, will result in the issuance of 233,282 and 378,131 shares of common stock, respectively, based on an assumed initial public offering price of  $15.00 per share, the midpoint of the price range set forth on the cover page of this prospectus (together with the Series C Warrant Exercise and the GS Warrant Exercise, the “Warrant Exercises”) (a $1.00 increase in the assumed initial public offering price of  $15.00 per share would increase the number of shares of our common stock issuable upon the automatic cashless exercise of the Series D Warrant and the Series E Warrants by an aggregate of 1,250 shares and 4,999 shares, respectively; a $1.00 decrease in the assumed initial public offering price of  $15.00 per share would decrease the number of shares of our common stock issuable upon the automatic cashless exercise of the Series D Warrant and the Series E Warrants by an aggregate of 1,429 shares and 5,715 shares, respectively);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filing of our amended and restated certificate of incorporation (the “Post-IPO Certificate of Incorporation”) and the adoption of our amended and restated bylaws (the “Post-IPO Bylaws”), each of which will be in effect upon the closing of this offering;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no exercise of outstanding options or warrants, except as described above;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no exercise of the underwriters’ option to purchase additional shares of our common stock.</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As discussed elsewhere in this prospectus under the heading “Certain Relationships and Related Party Transactions—Transactions with Goldman, Sachs &amp; Co. LLC and Affiliates,” pursuant to the terms of the GS Warrant and, in the case of our Series F convertible preferred stock, our certificate of incorporation, as currently in effect, we will be required to make certain cash payments to SSIG if the initial public offering price per share at which shares of our common stock are sold in this offering (the “Actual IPO Price”) is less than the price per share used to calculate the number of shares issuable upon the automatic cashless exercise of the GS Warrant or the conversion of our Series F convertible preferred stock, as the case may be (the “Estimated Price”). Conversely, if the Actual IPO Price is greater than the Estimated Price, SSIG will be required to make certain cash payments to us.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26" name="Frame2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The following table sets forth the approximate amount of the aggregate cash payments we expect to be required to make to SSIG assuming an Actual IPO Price equal to the midpoint of the price range set forth on the cover page of this prospectus and at certain potential prices below such midpoint:</w:t>
      </w:r>
    </w:p>
    <w:tbl>
      <w:tblPr>
        <w:tblW w:w="5381" w:type="dxa"/>
        <w:jc w:val="left"/>
        <w:tblInd w:w="0" w:type="dxa"/>
        <w:tblCellMar>
          <w:top w:w="28" w:type="dxa"/>
          <w:left w:w="28" w:type="dxa"/>
          <w:bottom w:w="28" w:type="dxa"/>
          <w:right w:w="28" w:type="dxa"/>
        </w:tblCellMar>
      </w:tblPr>
      <w:tblGrid>
        <w:gridCol w:w="596"/>
        <w:gridCol w:w="526"/>
        <w:gridCol w:w="528"/>
        <w:gridCol w:w="109"/>
        <w:gridCol w:w="109"/>
        <w:gridCol w:w="109"/>
        <w:gridCol w:w="994"/>
        <w:gridCol w:w="994"/>
        <w:gridCol w:w="1416"/>
      </w:tblGrid>
      <w:tr>
        <w:trPr/>
        <w:tc>
          <w:tcPr>
            <w:tcW w:w="59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20"/>
              </w:rPr>
            </w:pPr>
            <w:r>
              <w:rPr>
                <w:rFonts w:ascii="Helvetica;sans-serif" w:hAnsi="Helvetica;sans-serif"/>
                <w:b/>
                <w:color w:val="000000"/>
                <w:sz w:val="20"/>
              </w:rPr>
              <w:t>Actual IPO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20"/>
              </w:rPr>
            </w:pPr>
            <w:r>
              <w:rPr>
                <w:rFonts w:ascii="Helvetica;sans-serif" w:hAnsi="Helvetica;sans-serif"/>
                <w:b/>
                <w:color w:val="000000"/>
                <w:sz w:val="20"/>
              </w:rPr>
              <w:t>Potential Payment from us to SSIG</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 million</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$7.1 million</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$13.6 million</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$21.1 million</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$30.0 million</w:t>
            </w:r>
          </w:p>
        </w:tc>
      </w:tr>
    </w:tbl>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For additional information regarding the transactions described above, as well as the aggregate cash payments we expect SSIG to be required to make to us if the Actual IPO Price is equal to certain potential prices above the midpoint of the price range set forth on the cover page of this prospectus, see “Certain Relationships and Related Party Transactions—Transactions with Goldman, Sachs &amp; Co. LLC and Affiliates.”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27" name="Frame2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v:rect>
            </w:pict>
          </mc:Fallback>
        </mc:AlternateContent>
      </w:r>
    </w:p>
    <w:p>
      <w:pPr>
        <w:pStyle w:val="TextBody"/>
        <w:spacing w:lineRule="auto" w:line="288" w:before="120" w:after="180"/>
        <w:jc w:val="center"/>
        <w:rPr>
          <w:rFonts w:ascii="Helvetica;sans-serif" w:hAnsi="Helvetica;sans-serif"/>
          <w:b/>
          <w:color w:val="000000"/>
          <w:sz w:val="20"/>
          <w:bdr w:val="single" w:sz="8" w:space="36" w:color="000000"/>
        </w:rPr>
      </w:pPr>
      <w:r>
        <w:rPr>
          <w:rFonts w:ascii="Helvetica;sans-serif" w:hAnsi="Helvetica;sans-serif"/>
          <w:b/>
          <w:color w:val="000000"/>
          <w:sz w:val="20"/>
          <w:bdr w:val="single" w:sz="8" w:space="36" w:color="000000"/>
        </w:rPr>
        <w:t>SUMMARY HISTORICAL CONSOLIDATED FINANCIAL AND OTHER DATA</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Set forth below are our summary historical consolidated financial and other data for the periods ending on and as of the dates indicated.</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The consolidated statements of operations data for the years ended December 31, 2019 and 2020, and the consolidated balance sheet data as of December 31, 2020, were derived from our audited consolidated financial statements included elsewhere in this prospectus.</w:t>
      </w:r>
    </w:p>
    <w:p>
      <w:pPr>
        <w:pStyle w:val="TextBody"/>
        <w:spacing w:lineRule="auto" w:line="288" w:before="0" w:after="180"/>
        <w:ind w:left="0" w:right="0" w:firstLine="36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 xml:space="preserve">Our historical results are not necessarily indicative of our future results of operations. The summary historical consolidated financial and other data set forth below should be read in conjunction with “Selected Historical Consolidated Financial Data,” “Management’s Discussion and Analysis of Financial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28" name="Frame2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v:rect>
            </w:pict>
          </mc:Fallback>
        </mc:AlternateContent>
      </w:r>
    </w:p>
    <w:p>
      <w:pPr>
        <w:pStyle w:val="TextBody"/>
        <w:spacing w:lineRule="auto" w:line="288" w:before="0" w:after="180"/>
        <w:jc w:val="both"/>
        <w:rPr>
          <w:rFonts w:ascii="Helvetica;sans-serif" w:hAnsi="Helvetica;sans-serif"/>
          <w:b w:val="false"/>
          <w:color w:val="000000"/>
          <w:sz w:val="20"/>
          <w:bdr w:val="single" w:sz="8" w:space="36" w:color="000000"/>
        </w:rPr>
      </w:pPr>
      <w:r>
        <w:rPr>
          <w:rFonts w:ascii="Helvetica;sans-serif" w:hAnsi="Helvetica;sans-serif"/>
          <w:b w:val="false"/>
          <w:color w:val="000000"/>
          <w:sz w:val="20"/>
          <w:bdr w:val="single" w:sz="8" w:space="36" w:color="000000"/>
        </w:rPr>
        <w:t>Condition and Results of Operations” and our historical consolidated financial statements and the notes thereto, included elsewhere in this prospectus.</w:t>
      </w:r>
    </w:p>
    <w:tbl>
      <w:tblPr>
        <w:tblW w:w="10205" w:type="dxa"/>
        <w:jc w:val="left"/>
        <w:tblInd w:w="0" w:type="dxa"/>
        <w:tblCellMar>
          <w:top w:w="28" w:type="dxa"/>
          <w:left w:w="28" w:type="dxa"/>
          <w:bottom w:w="28" w:type="dxa"/>
          <w:right w:w="28" w:type="dxa"/>
        </w:tblCellMar>
      </w:tblPr>
      <w:tblGrid>
        <w:gridCol w:w="2240"/>
        <w:gridCol w:w="1969"/>
        <w:gridCol w:w="1980"/>
        <w:gridCol w:w="287"/>
        <w:gridCol w:w="1098"/>
        <w:gridCol w:w="367"/>
        <w:gridCol w:w="139"/>
        <w:gridCol w:w="139"/>
        <w:gridCol w:w="139"/>
        <w:gridCol w:w="295"/>
        <w:gridCol w:w="1121"/>
        <w:gridCol w:w="431"/>
      </w:tblGrid>
      <w:tr>
        <w:trPr/>
        <w:tc>
          <w:tcPr>
            <w:tcW w:w="2240"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6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(Restated)</w:t>
            </w:r>
          </w:p>
        </w:tc>
      </w:tr>
      <w:tr>
        <w:trPr/>
        <w:tc>
          <w:tcPr>
            <w:tcW w:w="6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 amounts in thousands except per share data)</w:t>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Statements of Operations Data:</w:t>
            </w:r>
          </w:p>
        </w:tc>
        <w:tc>
          <w:tcPr>
            <w:tcW w:w="1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1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84,725 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104,064 </w:t>
            </w:r>
          </w:p>
        </w:tc>
        <w:tc>
          <w:tcPr>
            <w:tcW w:w="43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12,624 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16,376 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revenues:</w:t>
            </w:r>
          </w:p>
        </w:tc>
        <w:tc>
          <w:tcPr>
            <w:tcW w:w="17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18,669 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28,486 </w:t>
            </w:r>
          </w:p>
        </w:tc>
        <w:tc>
          <w:tcPr>
            <w:tcW w:w="43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16,949 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19,179 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revenues</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35,618 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47,665 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61,731 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72,775 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7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and marketing</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25,515 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14,779 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22,222 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81,264 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2,779 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8,489 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(income), net</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taxes on income</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13,968 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55,210 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58,763 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7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Weighted average shares of common stock used to compute net loss per share</w:t>
            </w:r>
            <w:r>
              <w:rPr>
                <w:rFonts w:ascii="Helvetica;sans-serif" w:hAnsi="Helvetica;sans-serif"/>
                <w:b w:val="false"/>
                <w:color w:val="000000"/>
                <w:sz w:val="13"/>
              </w:rPr>
              <w:t>(1)</w:t>
            </w:r>
            <w:r>
              <w:rPr>
                <w:rFonts w:ascii="Helvetica;sans-serif" w:hAnsi="Helvetica;sans-serif"/>
                <w:b w:val="false"/>
                <w:color w:val="000000"/>
                <w:sz w:val="20"/>
              </w:rPr>
              <w:t>:</w:t>
            </w:r>
          </w:p>
        </w:tc>
        <w:tc>
          <w:tcPr>
            <w:tcW w:w="1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22,754,499 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24,939,901 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Pro forma 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1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Weighted average shares of common stock used to compute pro forma 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105,015,863 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1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Other Data:</w:t>
            </w:r>
          </w:p>
        </w:tc>
        <w:tc>
          <w:tcPr>
            <w:tcW w:w="1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Annualized Recurring Revenue</w:t>
            </w:r>
            <w:r>
              <w:rPr>
                <w:rFonts w:ascii="Helvetica;sans-serif" w:hAnsi="Helvetica;sans-serif"/>
                <w:b w:val="false"/>
                <w:color w:val="000000"/>
                <w:sz w:val="13"/>
              </w:rPr>
              <w:t>(3)</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91,135 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116,643 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Net Dollar Retention Rate</w:t>
            </w:r>
            <w:r>
              <w:rPr>
                <w:rFonts w:ascii="Helvetica;sans-serif" w:hAnsi="Helvetica;sans-serif"/>
                <w:b w:val="false"/>
                <w:color w:val="000000"/>
                <w:sz w:val="13"/>
              </w:rPr>
              <w:t>(4)</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431"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Remaining Performance Obligations</w:t>
            </w:r>
            <w:r>
              <w:rPr>
                <w:rFonts w:ascii="Helvetica;sans-serif" w:hAnsi="Helvetica;sans-serif"/>
                <w:b w:val="false"/>
                <w:color w:val="000000"/>
                <w:sz w:val="13"/>
              </w:rPr>
              <w:t>(5)</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114,882 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140,955 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Gross margin</w:t>
            </w:r>
            <w:r>
              <w:rPr>
                <w:rFonts w:ascii="Helvetica;sans-serif" w:hAnsi="Helvetica;sans-serif"/>
                <w:b w:val="false"/>
                <w:color w:val="000000"/>
                <w:sz w:val="13"/>
              </w:rPr>
              <w:t>(6)</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431"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1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Adjusted EBITDA</w:t>
            </w:r>
            <w:r>
              <w:rPr>
                <w:rFonts w:ascii="Helvetica;sans-serif" w:hAnsi="Helvetica;sans-serif"/>
                <w:b w:val="false"/>
                <w:color w:val="000000"/>
                <w:sz w:val="13"/>
              </w:rPr>
              <w:t>(7)</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4,033 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4,302 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Adjusted EBITDA margin</w:t>
            </w:r>
            <w:r>
              <w:rPr>
                <w:rFonts w:ascii="Helvetica;sans-serif" w:hAnsi="Helvetica;sans-serif"/>
                <w:b w:val="false"/>
                <w:color w:val="000000"/>
                <w:sz w:val="13"/>
              </w:rPr>
              <w:t>(7)</w:t>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431"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before="0" w:after="180"/>
        <w:ind w:left="0" w:right="0" w:firstLine="360"/>
        <w:jc w:val="both"/>
        <w:rPr/>
      </w:pPr>
      <w:r>
        <w:br w:type="page"/>
      </w: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29" name="Frame2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v:rect>
            </w:pict>
          </mc:Fallback>
        </mc:AlternateContent>
      </w:r>
    </w:p>
    <w:tbl>
      <w:tblPr>
        <w:tblW w:w="9035" w:type="dxa"/>
        <w:jc w:val="left"/>
        <w:tblInd w:w="0" w:type="dxa"/>
        <w:tblCellMar>
          <w:top w:w="28" w:type="dxa"/>
          <w:left w:w="28" w:type="dxa"/>
          <w:bottom w:w="28" w:type="dxa"/>
          <w:right w:w="28" w:type="dxa"/>
        </w:tblCellMar>
      </w:tblPr>
      <w:tblGrid>
        <w:gridCol w:w="1813"/>
        <w:gridCol w:w="1594"/>
        <w:gridCol w:w="1602"/>
        <w:gridCol w:w="211"/>
        <w:gridCol w:w="751"/>
        <w:gridCol w:w="109"/>
        <w:gridCol w:w="109"/>
        <w:gridCol w:w="109"/>
        <w:gridCol w:w="109"/>
        <w:gridCol w:w="211"/>
        <w:gridCol w:w="751"/>
        <w:gridCol w:w="109"/>
        <w:gridCol w:w="109"/>
        <w:gridCol w:w="109"/>
        <w:gridCol w:w="109"/>
        <w:gridCol w:w="212"/>
        <w:gridCol w:w="863"/>
        <w:gridCol w:w="155"/>
      </w:tblGrid>
      <w:tr>
        <w:trPr/>
        <w:tc>
          <w:tcPr>
            <w:tcW w:w="1813"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 2020</w:t>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Actual</w:t>
            </w:r>
            <w:r>
              <w:rPr>
                <w:rFonts w:ascii="Helvetica;sans-serif" w:hAnsi="Helvetica;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Pro Forma</w:t>
            </w:r>
            <w:r>
              <w:rPr>
                <w:rFonts w:ascii="Helvetica;sans-serif" w:hAnsi="Helvetica;sans-serif"/>
                <w:b/>
                <w:color w:val="000000"/>
                <w:sz w:val="10"/>
              </w:rPr>
              <w:t>(8)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Pro Forma As</w:t>
            </w:r>
          </w:p>
          <w:p>
            <w:pPr>
              <w:pStyle w:val="TableContents"/>
              <w:spacing w:lineRule="auto" w:line="240" w:before="0" w:after="0"/>
              <w:jc w:val="center"/>
              <w:rPr/>
            </w:pPr>
            <w:r>
              <w:rPr>
                <w:rFonts w:ascii="Helvetica;sans-serif" w:hAnsi="Helvetica;sans-serif"/>
                <w:b/>
                <w:color w:val="000000"/>
                <w:sz w:val="16"/>
              </w:rPr>
              <w:t>Adjusted</w:t>
            </w:r>
            <w:r>
              <w:rPr>
                <w:rFonts w:ascii="Helvetica;sans-serif" w:hAnsi="Helvetica;sans-serif"/>
                <w:b/>
                <w:color w:val="000000"/>
                <w:sz w:val="10"/>
              </w:rPr>
              <w:t>(9)(10)</w:t>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Balance Sheet Data:</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Cash and cash equivalents</w:t>
            </w:r>
            <w:r>
              <w:rPr>
                <w:rFonts w:ascii="Helvetica;sans-serif" w:hAnsi="Helvetica;sans-serif"/>
                <w:b w:val="false"/>
                <w:color w:val="000000"/>
                <w:sz w:val="13"/>
              </w:rPr>
              <w:t>(11)</w:t>
            </w:r>
          </w:p>
        </w:tc>
        <w:tc>
          <w:tcPr>
            <w:tcW w:w="211"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265,868 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329,111 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Total debt (including current portion of long-term debt)</w:t>
            </w:r>
            <w:r>
              <w:rPr>
                <w:rFonts w:ascii="Helvetica;sans-serif" w:hAnsi="Helvetica;sans-serif"/>
                <w:b w:val="false"/>
                <w:color w:val="000000"/>
                <w:sz w:val="13"/>
              </w:rPr>
              <w:t>(12)</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to purchase preferred and common stock</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preferred stock</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Redeemable convertible preferred stock</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(deficit) equity</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(260,656)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194,393 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(1)Our consolidated financial statements have been restated. See Note 20 to our consolidated financial statements included elsewhere in this prospectus.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(2)See Note 17 to our consolidated financial statements included elsewhere in this prospectus for an explanation of the method used to calculate our historical and pro forma basic and diluted net loss per share.</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(3)We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See “Management’s Discussion and Analysis of Financial Condition and Results of Operations—Key Financial and Operating Metrics—Annualized Recurring Revenue” for additional information on how we calculate ARR, which may differ from methods used by other companies to calculate similarly titled metrics.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(4)We use Net Dollar Retention Rate to measure our success in retaining and growing recurring revenue from our existing customers. We calculate our Net Dollar Retention Rate for a given period as the recognized recurring revenue from the last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See “Management’s Discussion and Analysis of Financial Condition and Results of Operations—Key Financial and Operating Metrics—Net Dollar Retention Rate” for additional information on how we calculate our Net Dollar Retention Rate, which may differ from methods used by other companies to calculate similarly titled metrics. </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(5)Remaining Performance Obligations represent the amount of contracted future revenue that has not yet been delivered, including both subscription and professional services revenues. See “Management’s Discussion and Analysis of Financial Condition and Results of Operations—Key Financial and Operating Metrics— Remaining Performance Obligations” for additional information on how we calculate Remaining Performance Obligations. </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(6)Gross margin is defined as gross profit divided by total revenue.</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(7)Adjusted EBITDA is defined as EBITDA (which is defined as net profit (loss) before interest expense, net, provision for income taxes and depreciation and amortization expense) excluding non-cash stock-based compensation expense. Adjusted EBITDA margin is defined as Adjusted EBITDA divided by total revenues. </w:t>
      </w:r>
    </w:p>
    <w:p>
      <w:pPr>
        <w:pStyle w:val="TextBody"/>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 supplemental measures of our performance because they assist us in comparing the operating performance of our business on a consistent basis between periods, as described above.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30" name="Frame2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v:rect>
            </w:pict>
          </mc:Fallback>
        </mc:AlternateContent>
      </w:r>
    </w:p>
    <w:p>
      <w:pPr>
        <w:pStyle w:val="TextBody"/>
        <w:spacing w:lineRule="auto" w:line="288" w:before="0" w:after="60"/>
        <w:jc w:val="both"/>
        <w:rPr>
          <w:rFonts w:ascii="Helvetica;sans-serif" w:hAnsi="Helvetica;sans-serif"/>
          <w:b w:val="false"/>
          <w:color w:val="000000"/>
          <w:sz w:val="18"/>
        </w:rPr>
      </w:pPr>
      <w:r>
        <w:rPr>
          <w:rFonts w:ascii="Helvetica;sans-serif" w:hAnsi="Helvetica;sans-serif"/>
          <w:b w:val="false"/>
          <w:color w:val="000000"/>
          <w:sz w:val="18"/>
        </w:rPr>
        <w:t>Although we use EBITDA, Adjusted EBITDA and Adjusted EBITDA margin as described above, EBITDA, Adjusted EBITDA and Adjusted EBITDA margin have significant limitations as analytical tools. Some of these limitations include: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18"/>
        </w:rPr>
        <w:t>such measures do not reflect our cash expenditures, or future requirements for capital expenditures or contractual commitments;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18"/>
        </w:rPr>
        <w:t>such measures do not reflect changes in, or cash requirements for, our working capital needs;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18"/>
        </w:rPr>
        <w:t>such measures do not reflect the interest expense, or the cash requirements necessary to service interest or principal payments on our debt;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18"/>
        </w:rPr>
        <w:t xml:space="preserve">such measures do not reflect our tax expense or the cash requirements to pay our taxes;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18"/>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pStyle w:val="TextBody"/>
        <w:spacing w:lineRule="auto" w:line="288" w:before="0" w:after="60"/>
        <w:ind w:left="0" w:right="0" w:hanging="360"/>
        <w:jc w:val="both"/>
        <w:rPr/>
      </w:pPr>
      <w:r>
        <w:rPr>
          <w:color w:val="000000"/>
        </w:rPr>
        <w:t>•</w:t>
      </w:r>
      <w:r>
        <w:rPr>
          <w:rFonts w:ascii="Helvetica;sans-serif" w:hAnsi="Helvetica;sans-serif"/>
          <w:b w:val="false"/>
          <w:color w:val="000000"/>
          <w:sz w:val="18"/>
        </w:rPr>
        <w:t>other companies in our industry may calculate such measures differently than we do, thereby further limiting their usefulness as comparative measures.</w:t>
      </w:r>
    </w:p>
    <w:p>
      <w:pPr>
        <w:pStyle w:val="TextBody"/>
        <w:spacing w:lineRule="auto" w:line="288" w:before="0" w:after="60"/>
        <w:jc w:val="both"/>
        <w:rPr>
          <w:rFonts w:ascii="Helvetica;sans-serif" w:hAnsi="Helvetica;sans-serif"/>
          <w:b w:val="false"/>
          <w:color w:val="000000"/>
          <w:sz w:val="18"/>
        </w:rPr>
      </w:pPr>
      <w:r>
        <w:rPr>
          <w:rFonts w:ascii="Helvetica;sans-serif" w:hAnsi="Helvetica;sans-serif"/>
          <w:b w:val="false"/>
          <w:color w:val="000000"/>
          <w:sz w:val="18"/>
        </w:rPr>
        <w:t>Due to these limitations, EBITDA,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an adjustment for non-cash stock-based compensation expense.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in this paragraph and in the reconciliation table below help to provide management with a measure of our core operating performance over time by removing items that are not related to day-to-day operations. Nevertheless, because of the limitations described above, management does not view EBITDA, Adjusted EBITDA or Adjusted EBITDA margin in isolation and also uses other measures, such as revenue, operating loss and net loss, to measure operating performance.</w:t>
      </w:r>
    </w:p>
    <w:p>
      <w:pPr>
        <w:pStyle w:val="TextBody"/>
        <w:spacing w:lineRule="auto" w:line="288" w:before="0" w:after="60"/>
        <w:jc w:val="both"/>
        <w:rPr>
          <w:rFonts w:ascii="Helvetica;sans-serif" w:hAnsi="Helvetica;sans-serif"/>
          <w:b w:val="false"/>
          <w:color w:val="000000"/>
          <w:sz w:val="18"/>
        </w:rPr>
      </w:pPr>
      <w:r>
        <w:rPr>
          <w:rFonts w:ascii="Helvetica;sans-serif" w:hAnsi="Helvetica;sans-serif"/>
          <w:b w:val="false"/>
          <w:color w:val="000000"/>
          <w:sz w:val="18"/>
        </w:rPr>
        <w:t>The following table reconciles EBITDA and Adjusted EBITDA to the most directly comparable GAAP financial performance measure, which is net loss:</w:t>
      </w:r>
    </w:p>
    <w:tbl>
      <w:tblPr>
        <w:tblW w:w="10205" w:type="dxa"/>
        <w:jc w:val="left"/>
        <w:tblInd w:w="0" w:type="dxa"/>
        <w:tblCellMar>
          <w:top w:w="28" w:type="dxa"/>
          <w:left w:w="28" w:type="dxa"/>
          <w:bottom w:w="28" w:type="dxa"/>
          <w:right w:w="28" w:type="dxa"/>
        </w:tblCellMar>
      </w:tblPr>
      <w:tblGrid>
        <w:gridCol w:w="1777"/>
        <w:gridCol w:w="1478"/>
        <w:gridCol w:w="1497"/>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77"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(Restated)</w:t>
            </w:r>
          </w:p>
        </w:tc>
      </w:tr>
      <w:tr>
        <w:trPr/>
        <w:tc>
          <w:tcPr>
            <w:tcW w:w="4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21"/>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(58,763)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18"/>
              </w:rPr>
              <w:t>Financial expenses (income), net</w:t>
            </w:r>
            <w:r>
              <w:rPr>
                <w:rFonts w:ascii="Helvetica;sans-serif" w:hAnsi="Helvetica;sans-serif"/>
                <w:b w:val="false"/>
                <w:color w:val="000000"/>
                <w:sz w:val="12"/>
              </w:rPr>
              <w:t>(a)</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46,721 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income taxes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3,553 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18"/>
              </w:rPr>
              <w:t>Depreciation, amortization, impairment and abandonment costs</w:t>
            </w:r>
            <w:r>
              <w:rPr>
                <w:rFonts w:ascii="Helvetica;sans-serif" w:hAnsi="Helvetica;sans-serif"/>
                <w:b w:val="false"/>
                <w:color w:val="000000"/>
                <w:sz w:val="12"/>
              </w:rPr>
              <w:t>(b)</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7,677 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EBITDA</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Non-cash stock-based compensation expense</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5,114 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Adjusted EBITDA</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(6,766)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(1,680)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4,302 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(a)2018, 2019 and 2020 include $(4.4) million, $5.3 million, and $41.5 million, respectively, of remeasurement of warrants to fair value.</w:t>
      </w:r>
    </w:p>
    <w:p>
      <w:pPr>
        <w:pStyle w:val="TextBody"/>
        <w:spacing w:lineRule="auto" w:line="276"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(b)2017 includes a $0.5 million one-time expense related to impairment of intangible assets. 2020 includes a $4.0 million one-time expense related to the abandonment of data center equipment in connection with our transition to a public cloud infrastructure.</w:t>
      </w:r>
    </w:p>
    <w:p>
      <w:pPr>
        <w:pStyle w:val="TextBody"/>
        <w:spacing w:before="0" w:after="0"/>
        <w:ind w:left="0" w:right="0" w:hanging="360"/>
        <w:jc w:val="both"/>
        <w:rPr/>
      </w:pPr>
      <w:r>
        <w:rPr/>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(8)Reflects the Preferred Stock Conversion, the Warrant Exercises, and our forgiveness of loans to certain of our directors and executive officers in connection with the public filing of the registration statement of which this prospectus forms a part, as described under “Certain Relationships and Related Party Transactions—Director and Executive Officer Loans.”</w:t>
      </w:r>
    </w:p>
    <w:p>
      <w:pPr>
        <w:pStyle w:val="TextBody"/>
        <w:spacing w:lineRule="auto" w:line="288"/>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(9)Reflects (i) the pro forma adjustments described in footnote (8) above, (ii) the sale by us of 17,400,000 shares of common stock in this offering at the assumed initial public offering price of $15.00 per share, which is the midpoint of the price range set forth on the cover page of this prospectus, after deducting the estimated underwriting discounts and commissions and estimated offering expenses payable by us, and (iii) our issuance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31" name="Frame2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v:rect>
            </w:pict>
          </mc:Fallback>
        </mc:AlternateConten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132,030 shares of our common stock in connection with the Selling Stockholder Option Exercises and our receipt of aggregate proceeds of $0.2 million in connection therewith.</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(10)Each $1.00 increase (decrease) in the assumed initial public offering price of $15.00 per share, which is the midpoint of the price range set forth on the cover page of this prospectus, would increase (decrease) the pro forma as adjusted amount of each of cash and cash equivalents, working capital, total assets and total stockholders’ equity by approximately $16.2 million, 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shares in the number of shares offered by us at the assumed initial public offering price would increase (decrease) each of cash and cash equivalents, working capital, total assets and total stockholders’ equity by approximately $14.0 million, assuming the shares of our common stock offered by this prospectus are sold at the assumed initial public offering price of $15.00 per share, which is the midpoint of the price range set forth on the cover page of this prospectus, and after deducting the estimated underwriting discounts and commissions and estimated offering expenses payable by us. The pro forma information discussed above is illustrative only and will be adjusted based on the actual initial public offering price, the number of shares we sell and other terms of this offering that will be determined at pricing.</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(11)Does not reflect certain cash payments we will be required to make to Special Situations Investing Group II, LLC, an affiliate of Goldman Sachs &amp; Co. LLC, if the actual initial public offering price is less than or equal to the midpoint of the price range set forth on the cover page of this prospectus (or, conversely, cash payments Special Situations Investing Group II, LLC will be required to make to us if the actual initial public offering price is greater than such midpoint). See “Certain Relationships and Related Party Transactions--Transactions with Goldman Sachs &amp; Co. LLC and Affiliates.”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(12)Total debt as of December 31, 2020 consisted of borrowings under our Prior Credit Facilities (as defined herein), net of unamortized issuance costs of $0.2 million. In January 2021, we (i) repaid all amounts outstanding under our Prior Credit Facilities and terminated all outstanding commitments thereunder, and (ii) entered into a new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See “Management’s Discussion and Analysis of Financial Condition and Results of Operations—Liquidity and Capital Resources—Credit Facilities.” Also see our audited consolidated financial statements included elsewhere in this prospectus, which include all recorded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32" name="Frame2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RISK FACTORS</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A description of the risks and uncertainties associated with our business and ownership of our common stock is set forth below. You should carefully consider the risks and uncertainties described below, together with all of the other information in this prospectus, including the section titled “Management’s Discussion and Analysis of Financial Condition and Result of Operations” and our consolidated financial statements and the related notes thereto, before making a decision to invest in our common stock. Our business, financial condition, results of operations and prospects could also be harmed by risks and uncertainties that are not presently known to us or that we currently believe are not material. If any of these risks actually occur, our business, financial condition, results of operations and prospects could be materially and adversely affected. In that event, the market price of our common stock could decline and you could lose all or part of your investment.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Risks Related to Our Business and Industry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experienced rapid growth and increased demand for our offerings in recent periods, including in response to the COVID-19 pandemic, and we plan to make continued investments in the growth and expansion of our business and customer base. The growth and expansion of our business places a continuous and significant strain on our management, operational, financial and other resources. In addition, as customers adopt our offerings for an increasing number of use cases, we have had to support more complex commercial relationships. In order to manage our growth effectively, we must continue to improve and expand our information technology and financial infrastructure, our security and compliance requirements, our operating and administrative systems, our customer service and support capabilities, our relationships with various partners and other third parties, and our ability to manage headcount and processes in an efficient manner.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not be able to sustain the pace of improvements to our platform, products and solutions, or the development and introduction of new offerings, successfully, or implement systems, processes, and controls in an efficient or timely manner or in a manner that does not negatively affect our results of operations. Our failure to improve our systems, processes, and controls, or their failure to operate in the intended manner, may result in our inability to manage the growth of our business and to forecast our revenue, expenses, and earnings accurately, or to prevent losses.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we continue to expand our business and operate as a public company, we may find it difficult to maintain our corporate culture while managing our employee growth. Any failure to manage our anticipated growth and related organizational changes in a manner that preserves our culture could negatively impact future growth and achievement of our business objectives. Additionally, our productivity and the quality of our offerings may be adversely affected if we do not integrate and train our new employees quickly and effectively. These challenges have been, and likely will continue to be, heightened due to the ongoing COVID-19 pandemic and the related stay-at-home, travel and other restrictions instituted by governments around the world. Failure to manage our growth to date and any future growth effectively could result in increased costs, negatively affect customer satisfaction and adversely affect our business, financial condition, results of operations and growth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total revenue for the years ended December 31, 2019 and 2020 were $97.3 million and $120.4 million, respectively, representing an annual growth rate of 24%. You should not rely on the revenue growth of any prior period as an indication of our future performance. As we operate in new and rapidly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33" name="Frame2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changing markets, widespread adoption and use of our platform, products and solutions is critical to our future growth and success. We believe our revenue growth will depend on a number of factors, including, among other things, our ability to: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attract new customers and maintain our relationships with, and increase revenue from, our existing customers;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provide excellent customer and end user experiences;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maintain the security and reliability of our platform, products and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introduce and grow adoption of our offerings in new markets outside the United States;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hire, integrate, train and retain skilled personnel;</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adequately expand our sales force and distribution channels;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continually enhance and improve our platform, products and solutions, including the features, integrations and capabilities we offer, and develop or otherwise introduce new products and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obtain, maintain, protect and enforce intellectual property protection for our platform and technologies;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expand into new technologies, industries and use cases;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expand and maintain our partner ecosystem;</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comply with existing and new applicable laws and regulations, including those related to data privacy and security;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price our offerings effectively and determine appropriate contract terms;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determine the most appropriate investments for our limited resources;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successfully compete against established companies and new market entrants;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increase awareness of our brand on a global basis.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accomplish any of these objectives, our revenue growth will be impaired, and even if our revenue continues to increase, we expect that our revenue growth rate will decline in future periods. Many factors may contribute to declines in our growth rate, including greater market penetration, increased competition, slowing demand for our offerings, a failure by us to continue capitalizing on growth opportunities, the maturation of our business, and global economic downturns, among others. Additionally, it is difficult to estimate the extent to which our recent growth has benefited from the effects of the COVID-19 pandemic, which increased demand from new and existing customers across all of our offerings beginning in the second quarter of 2020 and contributed to an acceleration in our revenue growth when compared to prior periods. While market demand for our offerings was growing at a robust rate prior to the pandemic, we are unable to predict the duration, degree or volatility of our recent or any future growth with any degree of certainty. If our growth rate declines as a result of this or any of the other factors described above, investors’ perceptions of our business and the market price of our common stock could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our rapid growth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that may prevent us from achieving the objectives outlined above. If we fail to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34" name="Frame3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achieve the necessary level of efficiency in our organization as it grows, or if we are not able to accurately forecast future growth, our business would be adversely affected. Moreover, if the assumptions that we use to plan our business are incorrect or change in reaction to changes in our market, or if we are unable to maintain consistent revenue or revenue growth, the market price of our common stock could be volatile, and it may be difficult to achieve and maintain profitability.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have a history of losses and may not be able to achieve or maintain profitability.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incurred losses in each year since our incorporation in 2006, including net losses of $15.6 million and $58.8 million in the years ended December 31, 2019 and 2020, respectively. As a result, we had an accumulated deficit of $(263.3) million as of December 31, 2020. We intend to continue to expend substantial financial and other resources on, among other things: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growing our base of field sales representatives and customer success managers, introducing inside sales and self-serve offerings and distribution channels, and expanding our customer base;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extending our product leadership by investing in our Webinars and Meetings products, as well as our Virtual Classroom industry solution, our Virtual Events product, our TV Solution and other recently introduced offerings, as well as by developing new products, expanding our platform into additional industries and enhancing our Media Services offerings with additional core capabilities and technologies;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increasing sales within our existing customer base through increased usage of our platform and the cross-selling of additional products and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augmenting our current offerings by increasing the breadth of our technology partnerships and exploring potential transactions that may enhance our capabilities or increase the scope of our technology footprint;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continuing to grow our international operations; and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general administration, including legal, accounting, and other expenses related to our transition to being a new public company.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These efforts may prove more expensive than we currently anticipate, and we may not succeed in increasing our revenue sufficiently, or at all, to offset these higher expenses. In addition, to the extent we are successful in increasing our customer base, we may also incur increased losses because the costs associated with acquiring customers are generally incurred up front, while the subscription revenue is generally recognized ratably over the subscription term. This will be particularly true as we acquire new customers for our Virtual Events product and TV Solution, which entail significant non-recurring up-front costs as compared to our other offerings, and because we expect to significantly increase our sales and marketing spend in anticipation of future revenue growth. If our revenue does not increase to offset the expected increases in our operating expenses, we will not achieve profitability in future periods and our net losses may increase. Revenue growth may slow or revenue may decline for a number of possible reasons, many of which are beyond our control, including slowing demand for our platform, products or solutions, increasing competition, or any of the other factors discussed in this Risk Factors section. Any failure to increase our revenue as we grow our business could prevent us from achieving profitability at all or on a consistent basis, which would cause our business, financial condition and results of operations to suffer and the market price of our common stock to decline.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ongoing COVID-19 outbreak could adversely affect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2019, an outbreak of a novel coronavirus disease (“COVID-19”) was first identified and began to spread across the globe and, in March 2020, the World Health Organization declared it a pandemic. This contagious disease has spread across the globe and is impacting economic activity and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35" name="Frame3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financial markets worldwide, including countries in which our end users and customers are located, as well as the United States and Israel where we have business operations. As a result of the COVID-19 pandemic, government authorities around the world have ordered schools and businesses to close, imposed restrictions on non-essential activities and required people to remain at home while imposing significant restrictions on traveling and social gatherings.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light of the uncertain and rapidly evolving situation relating to the spread of COVID-19, as well as government mandates, we took precautionary measures intended to minimize the risk of the virus to our employees, our customers, our partners and the communities in which we operate, which could negatively impact our business. In the first quarter of 2020, we temporarily closed all of our offices and enabled our entire work force to work remotely. We also suspended all travel worldwide for our employees for non-essential business. In the second quarter of 2020, we reopened selected offices, however most of our employees continued to work remotely, a majority of whom continue to do so as of the date of this prospectus. These changes could extend into future quarters.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COVID-19 has not had a material adverse impact on our operations through the date of this prospectus, the impact of COVID-19 on our ability to attract, serve, retain or upsell customers is inherently uncertain and depends on the duration, severity and potential resurgence of the outbreak and its impact on end users, customers and the macroeconomic environment as a whole. Prior to the COVID-19 pandemic, our employees traveled frequently to establish and maintain relationships with one another, as well as our customers, partners, and investors. Although we continue to monitor the situation and may adjust our current policies as more information and public health guidance become available, continued limitations on travel and doing business in person may negatively affect our customer success efforts, sales and marketing efforts, challenge our ability to enter into customer contracts in a timely manner, slow down our recruiting efforts, or create operational or other challenges, any of which could adversely affect our business, financial condition and results of operations.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as a result of the increase in usage we experienced as a result of the pandemic, in the third quarter of 2020, we accelerated our existing plans to move from our own data centers to a public cloud infrastructure in order to provide required stability, reliability, scalability and elasticity. Though we do not believe our transition to a public cloud infrastructure will materially increase our cost of revenue over the long-term, our cost of revenue did increase in the third and fourth quarters of 2020, and we expect to incur additional costs related to this transition in 2021 as we continue the process of scaling our network infrastructure, which will exert downward pressure on our gross margin and results of operations. Our gross margin and results of operations have also been impacted by, and may continue to be impacted by, the increased usage of certain of our offerings, primarily in the education market, for which the terms of our customer agreements do not limit customer usage or increase pricing for usage above a certain amount. In addition, in connection with our transition to a public cloud infrastructure, we recorded a one-time expense during the third quarter of 2020 related to the abandonment of data center equipment. We also experienced an initial period of unstable service during the first few months of this transition, causing us to fall below the service-level commitments in our customer agreements, which could negatively impact customer renewals and, as a result, our Net Dollar Retention Rate, in future periods.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Furthermore, COVID-19 has disrupted and may continue to disrupt the operations of our customers and technology partners for an indefinite period of time, including as a result of travel restrictions and/or business shutdowns, all of which could negatively impact our business, financial condition and results of operations. More generally, the COVID-19 outbreak has adversely affected economies and financial markets globally, leading to an economic downturn, which could decrease technology spending and adversely affect demand for our offerings and harm our business, financial condition and results of operations. Existing and potential customers may choose to reduce or delay technology investments in response to the COVID-19 pandemic, or attempt to renegotiate contracts and obtain concessions, which may materially and negatively impact our operating results, financial condition and prospects. For example, as a result of COVID-19, we have experienced and expect to continue to experience an increase in the average length of sales cycles to onboard new customers, delays in new projects, and requests by some customers for extension of payment obligations, all of which adversely affect and could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36" name="Frame3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materially and adversely impact our business, financial condition and results of operations in future periods. The COVID-19 pandemic has also resulted in, and may continue to result in, significant disruption of global financial markets, reducing our ability to access capital, which could in the future negatively affect our liquidity. It is also possible that continued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It is not possible at this time to estimate the long-term impact that COVID-19 could have on our business, financial condition and results of operations as the impact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markets in which we operate are relatively new and rapidly evolving. Accordingly, it is difficult to predict customer adoption, renewals and demand, the entry of new competitive products, the success of existing competitive products, and the future growth rate, expansion, longevity, and size of the markets for our platform, products and solutions. The expansion of these new and evolving markets depends on a number of factors, including the cost, performance, and perceived value associated with the technologies that we and others in our industry develop. If we or other companies in our industry experience security incidents, loss of customer data, or disruptions in delivery or service, the market for these applications as a whole, including the demand for our offerings, may be negatively affected. If video products and solutions such as ours do not continue to achieve market acceptance, or there is a reduction in demand caused by decreased customer acceptance, technological challenges, weakening economic conditions, privacy, data protection and data security concerns, governmental regulation, competing technologies and products, or decreases in information technology spending or otherwise, the market for our offerings might not continue to develop or might develop more slowly than we expect, which could adversely affect our business, financial condition, results of operations and growth prospects. Similarly, we do not know whether recent trends, such as the increased utilization of cloud-based live and real-time video experiences as an alternative to in-person experiences, which has accelerated during the COVID-19 pandemic, will continue in the future.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results of operations are likely to fluctuate from quarter to quarter and year to year, which could adversely affect the trading price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results of operations, including our revenue, cost of revenue, gross margin, operating expenses, cash flow, and deferred revenue, have fluctuated from quarter to quarter and year to year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not fully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37" name="Frame3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reflect the underlying performance of our business. Factors that may cause fluctuations in our quarterly financial results include: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attract new customers and increase revenue from our existing customers;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loss of existing customers;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subscription renewals, and the timing and terms of such renewals;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fluctuations in customer usage from period to period, including as a result of seasonality in our customers’ underlying businesses, which create variability in our cost of revenue;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customer satisfaction with our products, solutions, platform capabilities and customer support;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mergers and acquisitions or other factors resulting in the consolidation of our customer base;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mix of our revenue;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gain new partners and retain existing partners;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fluctuations in stock-based compensation expense;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decisions by potential customers to purchase competing offerings or develop in-house technologies and solutions as alternatives to our offerings;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the spending patterns of our customers;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amount and timing of operating expenses related to the maintenance and expansion of our business and operations, including investments in research and development, sales and marketing, and general and administrative resources;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increasing reliance on a public cloud infrastructure, which will result in higher variable costs compared to our own data centers;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network outages;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developments or disputes concerning our intellectual property or proprietary rights, our platform, products or solutions, or third-party intellectual property or proprietary rights;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negative publicity about our company, our offerings or our partners, including as a result of actual or perceived breaches of, or failures relating to, privacy, data protection or data security;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timing of expenses related to the development or acquisition of technologies or businesses and potential future charges for impairment of goodwill from acquired companies;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general economic, industry, and market conditions;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impact of the ongoing COVID-19 pandemic, or any other pandemic, epidemic, outbreak of infectious disease or other global health crises on our business, the businesses of our customers and partners and general economic conditions;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impact of political uncertainty or unrest;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changes in our pricing policies or those of our competitors;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fluctuations in the growth rate of the markets that our offerings address;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seasonality in the underlying businesses of our customers, including budgeting cycles, purchasing practices and usage patterns;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38" name="Frame3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business strengths or weakness of our customers;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collect timely on invoices or receivables;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cost and potential outcomes of future litigation or other disputes;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future accounting pronouncements or changes in our accounting policies;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overall effective tax rate, including impacts caused by any reorganization in our corporate tax structure and any new legislation or regulatory developments;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successfully expand our business in the United States and internationally;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fluctuations in the mix of on-premise and SaaS/PaaS deployments;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fluctuations in foreign currency exchange rates;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timing and success of new products and solutions introduced by us or our competitors, or any other change in the competitive dynamics of our industry, including consolidation among competitors, customers or partners.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particular, our cost of revenue is generally higher in periods during which we acquire new customers for our Virtual Events product and TV Solution, which entail significantly higher up-front costs compared to our other offerings. Historically, we have also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Because the agreements for certain of our solutions do not limit usage or increase pricing for usage in excess of a specified amount, these additional costs may not result in a corresponding increase in revenue.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beginning in the second quarter of 2020, we experienced a significant increase in the usage of our offerings due to the COVID-19 pandemic. As a result of this usage and increased demand from our customers, we have incurred and expect to continue to incur significant costs associated with upgrading our infrastructure and expanding our capacity, including the acceleration of our existing plans to move from our own data centers to a public cloud infrastructure. The transition to a public cloud infrastructure will also increase our variable costs, which may lead to higher overall costs, particularly in the near term as our usage scales.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impact of one or more of the foregoing or other factors may cause our results of operations to vary significantly. Such fluctuations make forecasting more difficult and could cause us to fail to meet the expectations of investors and securities analysts, which could cause the trading price of our common stock to fall substantially, resulting in the loss of all or part of your investment, and subject us to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have identified a material weakness in our internal control over financial reporting which, if not remediated, could cause us to fail to timely and accurately report our financial results and result in restatements of our consolidated financial statements. As a consequence, stockholders could lose confidence in our financial reporting and our stock price could suffer.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Following the closing of this offering, we will be a public reporting company subject to the rules and regulations established from time to time by the SEC and Nasdaq. These rules and regulations will require, among other things, that we establish and periodically evaluate procedures with respect to our internal control over financial reporting. Reporting obligations as a public company are likely to place a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39" name="Frame3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considerable strain on our financial and management systems, processes and controls, as well as on our personnel.</w:t>
      </w:r>
    </w:p>
    <w:p>
      <w:pPr>
        <w:pStyle w:val="TextBody"/>
        <w:spacing w:lineRule="auto" w:line="288" w:before="0" w:after="180"/>
        <w:ind w:left="0" w:right="0" w:firstLine="360"/>
        <w:jc w:val="both"/>
        <w:rPr/>
      </w:pPr>
      <w:r>
        <w:rPr>
          <w:rFonts w:ascii="Helvetica;sans-serif" w:hAnsi="Helvetica;sans-serif"/>
          <w:b w:val="false"/>
          <w:color w:val="000000"/>
          <w:sz w:val="20"/>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Though we will be required to disclose changes made to our internal controls and procedures on a quarterly basis, we will not be required to make our first annual assessment of our internal control over financial reporting pursuant to Section 404 until the year following our first annual report required to be filed with the SEC. Furthermore, as an emerging growth company, our independent registered public accounting firm will not be required to formally attest to the effectiveness of our internal control over financial reporting pursuant to Section 404 until the later of our second annual report required to be filed with the SEC and our annual report for any fiscal year following such date that we are no longer an emerging growth company. T</w:t>
      </w:r>
      <w:r>
        <w:rPr>
          <w:rFonts w:ascii="Helvetica;sans-serif" w:hAnsi="Helvetica;sans-serif"/>
          <w:b w:val="false"/>
          <w:color w:val="000000"/>
          <w:sz w:val="20"/>
          <w:highlight w:val="white"/>
        </w:rPr>
        <w: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the preparation of the consolidated financial statements included elsewhere in this prospectus, we concluded that there was a material weakness in our internal control over financial reporting. In particular, we concluded that we did not have effective controls over the estimation of fair value in connection with stock-based compensation expenses and re-measurement of liabilities in connection with warrants to purchase preferred and common stock. As a result, we restated our consolidated financial statements. See Note 20 to our consolidated financial statements included elsewhere in this prospectus.</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Our management and independent registered public accounting firm did not perform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material weaknesses may have been identified. We are in the very early stages of the costly and challenging process of compiling the system and processing documentation necessary to perform the evaluation needed to comply with Section 404(a) of Sarbanes-Oxley Act and we are taking steps to remediate the material weakness. </w:t>
      </w:r>
    </w:p>
    <w:p>
      <w:pPr>
        <w:pStyle w:val="TextBody"/>
        <w:spacing w:lineRule="auto" w:line="288" w:before="0" w:after="180"/>
        <w:ind w:left="0" w:right="0" w:firstLine="360"/>
        <w:jc w:val="both"/>
        <w:rPr/>
      </w:pPr>
      <w:r>
        <w:rPr>
          <w:rFonts w:ascii="Helvetica;sans-serif" w:hAnsi="Helvetica;sans-serif"/>
          <w:b w:val="false"/>
          <w:color w:val="000000"/>
          <w:sz w:val="20"/>
        </w:rPr>
        <w:t xml:space="preserve">Although we are in the process of remediating this material weakness, we have not yet been able to complete our remediation efforts. It will take additional time and expenditures to design, implement and test the controls and procedures required to enable our management to conclude that our internal control over financial reporting is effective. We cannot at this time estimate how long it will take to complete our remediation efforts, and we cannot assure you that measures we plan to take will be effective in mitigating or preventing significant deficiencies or material weaknesses in our internal control over financial reporting in the future. </w:t>
      </w:r>
      <w:r>
        <w:rPr>
          <w:rFonts w:ascii="Helvetica;sans-serif" w:hAnsi="Helvetica;sans-serif"/>
          <w:b w:val="false"/>
          <w:color w:val="000000"/>
          <w:sz w:val="20"/>
          <w:highlight w:val="white"/>
        </w:rPr>
        <w:t>Any failure to maintain effective internal control over financial reporting could severely inhibit our ability to accurately report our financial condition or results of operations.</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If we fail to remediate this material weakness or identify new material weaknesses by the time we have to issue our first Section 404(a) assessment on the effectiveness of our internal control over financial reporting, we will not be able to conclude that our internal control over financial reporting is effective, which may cause investors to lose confidence in our financial statements, and the trading price of our common stock may decline. If we fail to remedy any material weakness, our financial statements may be inaccurate, we could be subject to litigation from investors and stockholders, we could be subject to sanctions or investigations by the SEC, Nasdaq or other regulatory authorities, our access to the capital markets may be restricted and the trading price of our common stock may suffer.</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40" name="Frame3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v:rect>
            </w:pict>
          </mc:Fallback>
        </mc:AlternateConten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loss of one or more of our significant customers, or any other reduction in the amount of revenue we derive from any such customer, would adversely affect our business, financial condition, results of operations and growth prospects.</w:t>
      </w:r>
    </w:p>
    <w:p>
      <w:pPr>
        <w:pStyle w:val="TextBody"/>
        <w:spacing w:lineRule="auto" w:line="288" w:before="120" w:after="180"/>
        <w:ind w:left="0" w:right="0" w:firstLine="720"/>
        <w:jc w:val="both"/>
        <w:rPr>
          <w:rFonts w:ascii="Helvetica;sans-serif" w:hAnsi="Helvetica;sans-serif"/>
          <w:b w:val="false"/>
          <w:color w:val="000000"/>
          <w:sz w:val="20"/>
        </w:rPr>
      </w:pPr>
      <w:r>
        <w:rPr>
          <w:rFonts w:ascii="Helvetica;sans-serif" w:hAnsi="Helvetica;sans-serif"/>
          <w:b w:val="false"/>
          <w:color w:val="000000"/>
          <w:sz w:val="20"/>
        </w:rPr>
        <w:t>Our future success is dependent on our ability to establish and maintain successful relationships with a diverse set of customers. We currently derive a significant portion of our revenue from a limited number of customers. For the years ended December 31, 2019 and 2020, Vodafone accounted for approximately 12% of our revenue in each such year, and our top ten customers in the aggregate accounted for approximately 27% and 29% of our revenue in such years, respectively. Although the identity of the customers may vary from period to period, it is likely that we will continue to derive a significant portion of our revenue from a limited number of customers in the future and, in some cases, the portion of our revenue attributable to individual customers may increase. The loss of one or more significant customers or a reduction in the amount of revenue we derive from any such customer could significantly and adversely affect our business, financial condition and results of operations. Customers may choose not to renew their subscriptions or may otherwise reduce the breadth of the offerings to which they subscribe for any number of reasons. See “—If our existing customers do not renew their subscriptions, or if they renew on terms that are less economically beneficial to us, it could have an adverse effect on our business, financial condition and results of operations.” We are also subject to the risk that any such customer will experience financial difficulties that prevent them from making payments to us on a timely basis or at all.</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markets in which we compete are characterized by rapid technological change, frequent introductions of new products, services, features and capabilities, and evolving industry standards and regulatory requirements. Our ability to grow our customer base and increase our revenue will depend in significant part on our ability to develop or otherwise introduce new products and solutions; develop or otherwise introduce new features, integrations, capabilities and other enhancements to our existing offerings on a timely basis; and interoperate across an increasing range of devices, operating systems and third-party applications. The success of any new products or solutions,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development and other spending in connection with the product development process, and the availability of other newly developed products and technologies by our competitors.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in connection with our product development efforts, we may introduce significant changes to our existing products or solutions, or develop or otherwise introduce new and unproven products or solutions, including technologies with which we have little or no prior development or operating experience. These new products, solutions and updates may not perform as expected, may fail to engage our customer base or other end users of our products, or may otherwise create a lag in adoption of such new products.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offerings until the next upgrade is released or switch to a competitor if we are not able to keep up with technological developments. To keep pace with technological and competitive developments we have in the past invested, and may in the future invest, in the acquisition of complementary businesses, technologies, services, products, and other assets that expand our offerings. We may make these investments without being certain that they will result in products or enhancements that will be accepted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41" name="Frame3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by existing or prospective customers or that will achieve market acceptance. The short- and long-term impact of any major change to our offerings, or the introduction of new products or solutions, is particularly difficult to predict. If new or enhanced offerings fail to engage our customer base or other end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offerings to meet evolving customer requirements, increase adoption and use cases of our offerings, develop or otherwise introduce new products and solutions and quickly resolve security vulnerabilities or other errors or defects, or if our efforts in any of these areas are more expensive than we expect, our business, financial condition and results of operations would be adversely affected.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in part on our ability to integrate our platform, products and solutions with a variety of network, hardware and software platforms, and we need to continuously modify and enhance our offerings to adapt to changes in hardware, software, networking, browser and database technologies. Several of our competitors own, develop, operate or distribute operating systems, application stores, cloud hosting services and other software applications, and/or have material business relationships with companies that own, develop, operate or distribute operating systems, application stores, cloud hosting services and other software that our offerings rely on to operate. Moreover, some of these competitors have inherent advantages developing products and services that more tightly integrate with their software and hardware platforms or those of their business partners.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Third-party products and services are constantly evolving, and we may not be able to modify our offerings to ensure their compatibility with those of other third parties following development changes. In addition, some of our competitors may be able to disrupt the operations or compatibility of our offerings with their products or services, or exert strong business influence on our ability to, and terms on which we, operate and distribute our offerings. For example, certain of our offerings directly compete with several large technology companies that we rely on to ensure the interoperability of our offerings with their products or services. As our respective products evolve, we expect this level of competition to increase. Should any of our competitors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a significant percentage of our customers choose to integrate our platform, products and solutions with certain capabilities of third-party publishers and software providers using application programming interfaces, or APIs. The functionality and popularity of our platform, products and solutions depends, in part, on their ability to integrate with a wide variety of third-party applications and software. Third-party providers of applications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offerings,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42" name="Frame3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which could negatively impact customer demand, our competitive position and adversely affect our business.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may prevent us from timely updating our offerings, building new features, integrations, capabilities or other enhancements, or charging for access. Certain of these companies are now, or may in the future become, competitors of ours, and could stop allowing or supporting access to our offerings, could allow access for us only at an unsustainable cost, or could make changes to the terms of access in order to make our offerings less desirable or harder to access, for competitive reasons, which would also have a negative impact on our business.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 version of our Media Services is licensed to the public under an open source license, which could negatively affect our ability to monetize our offerings and protect our intellectual property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make a version of our Media Services, Kaltura Community Edition (“Kaltura CE”), available to the public at no charge under an open source license, the Affero General Public License version 3.0 (“AGPL”). Although Kaltura CE does not include many widely used Kaltura applications, it can be used on a self-hosted basis as a standalone video platform. The AGPL grants licensees broad freedom to view, use, copy, modify, and redistribute the source code of Kaltura CE. Anyone can download a free copy of this version of our platform from the internet, and we neither know who all of our AGPL licensees are, nor have visibility into how Kaltura CE is being used by licensees, so our ability to detect violations of the open source license is extremely limited. Additionally, even if we become aware of any violations, open source licenses—including AGPL—have not been widely interpreted by courts, leading to uncertainty surrounding any ability to enforce such licenses.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AGPL is a “copyleft” license, requiring that any redistribution by licensees of Kaltura CE, or any modifications or adaptations to Kaltura CE, be made pursuant to the AGPL as well. This leads some commercial enterprises to consider AGPL-licensed software to be unsuitable for commercial use. However, the AGPL would not prevent a commercial licensee from taking this open source version of our platform under AGPL and using it for internal purposes for free. AGPL also would not prevent a commercial licensee from taking this open source version of our platform under AGPL and using it to compete in our markets by providing it to others for free.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competition can develop without the degree of overhead and lead time required by traditional proprietary software companies, due to the permissions allowed under AGPL. It is also possible for competitors to develop their own software based on Kaltura CE. Although this software would also need to be made available for free under the AGPL, it could reduce the demand for and put pricing pressure on our offerings. We cannot guarantee that we will be able to compete successfully against current and future competitors, some of which may have greater resources than we have, or that competitive pressure or the availability of new open source software will not result in price reductions, reduced operating margins, and loss of market share. Any of the foregoing could harm our business, financial condition, results of operations and cash flows.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Video Experience Cloud consists of our Media Services offerings and multiple products and solutions, and we compete in each product or solution category as well as on the platform level as a whole. The market for our offerings is highly fragmented, quickly evolving, and subject to rapid changes in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43" name="Frame3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technology. We believe that our ability to compete successfully depends upon many factors both within and beyond our control, including the following: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breadth and scale of products, solutions and Media Services;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ability to provide a cross-organization video platform with multiple interoperable video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ability to support converging experiences across live, real-time and on-demand video;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flexibility to build and support custom workflows using video technology;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ease of customization and integration with other products;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quality of service and customer satisfaction;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flexibility of deployment options;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ability to innovate quickly;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data capabilities, including advanced analytics and AI;</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enterprise-grade reliability, security and scalability;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cost of implementation and ongoing use;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brand recognition;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corporate culture.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key competitors vary based on market and industry, and include: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Microsoft/Azure Media Services, Amazon/AWS Media Services and Twilio for our Media Services;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Microsoft/Teams and Cisco (through their partnership with Vbrick) for Video Portal, Town Halls and Video Messaging;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Zoom, Cisco/Webex and Adobe/Connect for Meetings and Webinars;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Intrado and Hopin for Virtual Events;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Zoom, Microsoft/Teams and Cisco/Webex for our education solutions;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Synamedia (formerly under Cisco), MediaKind (formerly under Ericsson) and Comcast Technology Solutions for our Media &amp; Telecom Solution.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we compete with home-grown, start-up, and open source technologies across the categories described above. With the rise in travel restrictions and shelter-in-place policies resulting from the COVID-19 pandemic, as well as the passage of time, the introduction of new technologies and the entrance of new market participants, competition has intensified, and we expect it to continue to intensify in the future. Established companies are also developing their own video platforms, products and solutions within their own core product lines,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consumer preferences for their offerings, a larger or more effective sales organization and greater financial, technical, marketing and other resources and experience. Furthermore, with the recent increase in large merger and acquisition transactions in the technology industry, particularly transactions involving cloud-based technologies, there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44" name="Frame4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Many of our competitors have, and some of our potential competitors may have, greater financial, technical, and other resources, longer operating histories,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 standards and customer requirements. They may be able to leverage these resources to gain business in a manner that discourages customers from purchasing our offerings, including through selling at zero or negative margins, product bundling, forced product migrations, auto-installation of applications, or closed technology platforms.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We may also expand into new markets and encounter additional competitors in such markets. These competitive pressures in the markets in which we operate, or our failure to compete effectively, may result in price reductions, fewer customers, reduced revenue, gross profit and gross margins, increased net losses and loss of market share. Any failure to effectively address these factors could significantly and adversely affect our business, financial condition and results of operations.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on our ability to sell our subscriptions to new customers and to expand within our existing customer base by selling subscriptions for additional offerings to our existing customers and expanding the value of existing customers’ subscriptions, and to do so in a cost-effective manner. Our ability to sell new subscriptions and expand the number and value of existing subscriptions depends on a number of factors, including the prices of our offerings and their functionality, the prices of products offered by our competitors, and the budgets of our customers. We serve customer needs with multiple tiers of subscriptions that differ based on product depth and functionality. We also offer an initial trial period for certain of our offerings. To the extent prospective customers utilize this trial period without becoming, or lead others not to become, paying customers, our expenses may increase as a result of associated hosting costs, and our ability to grow our business may be adversely affected. We also offer an open source version of our Media Services called Kaltura CE. Our open source version is intended to increase the visibility and familiarity of our platform among the developer communities. We invest in developers and developer communities through multiple channels, including the introduction of new open source projects. There is no guarantee that such events will translate into new customers, or that open source users will convert to paying subscribers.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 significant aspect of our sales and marketing focus is to expand deployments within existing customers. The rate at which our customers purchase subscriptions for additional offerings and expand the value of their existing subscriptions depends on a number of factors, including, among other things, customers’ level of satisfaction with our offerings and customer support, the nature and size of the deployments, the desire to address additional use cases, and the availability of, and customers’ awareness of and perceived need for, additional features, integrations, capabilities or other enhancements, as well as general economic conditions. If our customers do not recognize the potential of our offerings, our business would be materially and adversely affected.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45" name="Frame4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v:rect>
            </w:pict>
          </mc:Fallback>
        </mc:AlternateConten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our existing customers do not renew their subscriptions, or if they renew on terms that are less economically beneficial to us, it could have an adverse effect on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expect to derive a significant portion of our revenue from renewals of existing subscriptions. Our customers have no contractual obligation to renew their subscriptions after the completion of their subscription term. Subscriptions for most of our offerings are offered on either an annual or multi-year basis. Our subscriptions also generally include committed usage amounts. As a result, we cannot provide assurance that customers will renew their subscriptions for a similar contract period or with the same or greater product depth, number of users, functionality or other terms that are equally or more economically beneficial to us, if they renew at all.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customers’ renewals may decline or fluctuate as a result of a number of factors, including their satisfaction with our products and our customer support, the frequency and severity of product outages, our product uptime or latency, the pricing of our offering in relation to competing offerings, additional new features, integrations, capabilities or other enhancements that we offer, updates to our products as a result of updates by technology partners, and customers or users no longer having a need for our offerings (including customers or users acquired during the COVID-19 pandemic that may subsequently reduce or discontinue their use after the impact of the pandemic has subsided). Renewal rates may also be impacted by general economic conditions or other factors that reduce customers’ spending levels. For example, many educational institutions and other customers in the public sector depend substantially on government funding, and any general decrease, delay or other change in the availability of such funding could cause current and prospective customers to decide not to renew their subscriptions or to reduce the scope of their subscriptions at the end of the applicable subscription term, any of which could cause us to lose customers and revenue. If our customers do not renew their subscriptions or renew on terms less economically favorable to us, our revenue may decline or grow less quickly than anticipated, which would adversely affect our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recognize a significant portion of revenue from subscriptions over the term of the relevant subscription period, and as a result, downturns or upturns in sales are not immediately reflected in full in our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majority of our revenues are derived from SaaS and PaaS subscriptions, and we recognize a significant portion of our subscription revenue over the term of the relevant subscription period. As a result, much of the subscription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customer agreements typically contain service-level commitments. If we are unable to meet the stated service-level commitments, including failure to meet the uptime and response time requirements under our customer agreements, we may be contractually obligated to provide these customers with service credits, or customers could elect to terminate and receive refunds for prepaid amounts related to unused subscriptions, either of which could significantly affect our revenue in the periods in which the failure occurs and the credits are applied or refunds paid out. In addition, customer terminations or any reduction in renewals resulting from service-level failures could significantly affect both our current and future revenue. For example, during the third quarter of 2020, we experienced an initial period of service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46" name="Frame4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instability in connection with the acceleration of our existing plans to transition our technology to a public cloud infrastructure, causing us to fall below the service-level commitments in our customer agreements for the first few months of this transition. Though this did not result in a significant increase in customer terminations and we have not seen a material decrease in customer renewals to date, we cannot guarantee that we will not experience a material decrease in customer renewals in future periods as additional customers cycle through their subscription terms. Any service-level failures could also create negative publicity and damage our reputation, which may discourage prospective customers from adopting our offerings. In addition, if we modify the terms of our service-level commitments in future customer agreements in a manner customers perceive to be unfavorable, demand for our offerings could be reduced. Any of these events could adversely affect our business, financial condition and results of operations.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rely on third parties, including third parties outside the United States, for some of our software development, quality assurance, operations, and customer support.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depend on various third parties for some of our software development efforts, quality assurance, operations, and customer support services. Specifically, we outsource some of our software development and design, quality assurance, and operations activities to third-party contractors that have employees and consultants located in Russia and Belarus. Our dependence on third-party contractors creates a number of risks, in particular, the risk that we may not maintain development quality, control, or effective management with respect to these business operations. In addition, poor relations between the United States and Russia, and sanctions by the United States and the European Union (“EU”) against Russia could have an adverse impact on our third-party software development in Russia. We anticipate that we will continue to depend on these and other third-party relationships in order to grow our business for the foreseeable future.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depend on our management team and other key employees, and the loss of one or more of these employees or an inability to attract and retain highly skilled employees could adversely affect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and adversely affect our business, financial condition and results of operations. Although we have entered into employment offer letters with our key personnel, their employment is for no specific duration and constitutes at-will employment. We are also substantially dependent on the continued service of our existing engineering personnel because of the complexity of our products.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performance also depends on the continued services and continuing contributions of our senior management team, which includes Ron Yekutiel, our co-founder and Chief Executive Officer, to execute on our business plan and to identify and pursue new opportunities and product innovations. The loss of services of our senior management team, particularly our Chief Executive Officer, could significantly delay or prevent the achievement of our development and strategic objectives, which could adversely affect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the industry in which we operate is generally characterized by significant competition for skilled personnel, as well as high employee attrition. There is currently a high demand for experienced software industry personnel, particularly for engineering, research and development, sales and support positions, and we may not be successful in attracting, integrating and retaining qualified personnel to fulfill our current and future needs. This intense competition has resulted in increasing wages, especially in Israel, where most of our research and development positions are located, and in New York, where our headquarters is located, which may make it more difficult for us to attract and retain qualified personnel,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47" name="Frame4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many of the companies against which we compete for personnel have greater financial resources than we do.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or that they have divulged their former employers’ proprietary or other confidential information or incorporated such information into our products, which could include claims that such former employers therefore own or otherwise have rights to their inventions or other work product developed while employed by 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and could lead to employee attrition. If we fail to attract new personnel, or fail to retain and motivate our current personnel, our business, financial condition, results of operations and growth prospects could be adversely affected.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not able to maintain and enhance awareness of our brand, especially among developers and IT operators, our business, financial condition and results of operations may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developing and maintaining widespread awareness of our brand, especially with developers and IT operators, is critical to achieving widespread acceptance of our platform, products and solutions and attracting new users and customers. Brand promotion activities may not generate user or customer awareness or increase revenue, and even if they do, any increase in revenue may not offset the expenses we incur in building our brand. If we fail to successfully promote and maintain our brand, we may fail to attract and retain users and customers necessary to realize a sufficient return on our brand-building efforts, and may fail to achieve the widespread brand awareness that is critical for broad customer adoption of our offerings.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corporate culture has contributed to our success, and if we cannot maintain this culture as we grow, we could lose the innovation, creativity, and entrepreneurial spirit we have worked to foster, which could adversely affect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corporate culture, which is based on openness, flexibility, and collaboration, has been and will continue to be a key contributor to our success. We expect to continue to hire aggressively as we expand. If we do not continue to maintain our corporate culture as we grow, we may be unable to foster the innovation, creativity, and entrepreneurial spirit we believe we need to support our growth. The growth and expansion of our business and our transition from a private company to a public company may result in changes to our corporate culture, which could adversely affect our business, including our ability to recruit and retain qualified personnel.</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failure to offer high quality customer support would have an adverse effect on our business, reputation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customers depend on our customer success managers to resolve issues and realize the full benefits relating to our platform, products and solutions. If we do not succeed in helping our customers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48" name="Frame4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quickly resolve post-deployment issues or provide effective ongoing support and education, our ability to renew subscriptions with, or sell subscriptions for additional offerings to, existing customers, or expand the value of existing customers’ subscriptions, would be adversely affected and our reputation with potential customers could be damaged. In addition, most of our existing customers are large enterprises with complex information technology environments and, as a result, require significant levels of support. If we fail to meet the requirements of these customers, it may be more difficult to grow sales or maintain our relationships with them.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while growing our base of customer success managers is a key component of our growth strategy, it can take several months to recruit, hire and train qualified engineering-level customer support employees, and we may not be able to hire such resources fast enough to keep up with demand. To the extent that we are unsuccessful in hiring, training and retaining adequate support resources, our ability to provide adequate and timely support to our customers, and our customers’ satisfaction with our platform, products and solutions, will be adversely affected. Any failure by us to provide and maintain high-quality customer support services would have an adverse effect on our business, reputation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failure to effectively develop and expand our marketing and sales capabilities could harm our ability to increase our customer base and achieve broader market acceptance of our offerings.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ability to increase our customer base and achieve broader market acceptance of our platform, products and solutions will depend to a significant extent on our ability to expand our sales and marketing operations. As part of our growth strategy, we plan to continue to invest in growing our base of field sales representatives. If we are unable to hire a sufficient number of qualified sales personnel in the near term, our business and growth prospects will be adversely impacted. Identifying and recruiting qualified sales representatives and training them is time-consuming and resource-intensive, and they may not be fully 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our direct sales force, we also leverage reseller relationships to help market and sell our offerings to customers around the world, particularly in areas in which we have a limited presence. Though we expect that we will need to maintain and expand our network of resellers as we continue to expand our presence in international markets, these relationships subject us to certain risks. Our resellers may prioritize selling their own offerings that compete with ours, or one of our competitors may be effective in causing a reseller or potential reseller to favor that competitor’s offerings or otherwise prevent or reduce sales of our offerings. In addition, recruiting and retaining qualified resellers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resellers may not be willing to invest the time and resources required to train their staff to effectively market and sell our offerings.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though most of our sales are, and have historically been, made through our direct sales organization, we recently launched the option to purchase certain of our offerings directly from our website, which we believe will allow us to reduce our cost of customer acquisition, drive additional opportunities to our direct sales team, reach smaller customers, and broaden our target market. This self-service model requires us to incur selling and marketing expenses often prior to generating corresponding revenue. We cannot guarantee, however, that this model will succeed in generating revenue in excess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49" name="Frame4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corresponding selling and marketing expenses, or that it will be effective in helping us achieve our other objectives, any of which would adversely affect our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sales prices of our offerings may change, which may reduce our revenue and gross profit and adversely affect our financial results.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sales prices for our offerings may be subject to change for a variety of reasons, including competitive pricing pressures, discounts, anticipation of the introduction of new products, promotional programs, general economic conditions, or our marketing, user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continue to do so in the future. Moreover, demand for our offerings is price-sensitive. Competition continues to increase in the market segments in which we operate, and we expect competition to further increase in the future,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Additionally, currency fluctuations in certain countries and regions may negatively impact actual prices that customers and resellers are willing to pay in those countries and regions. As we develop and introduce new offerings, as well as features, integrations, capabilities and other enhancements, we may need to, or choose to, revise our pricing.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This is particularly true with respect to our Virtual Events product and TV Solution, which generally entail significantly higher up-front costs compared to our other offerings. We cannot assure you that we will be able to maintain our prices and gross profits at levels that will allow us to achieve and maintain profitability.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expect our revenue mix to vary over time, which could negatively impact our gross margin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our revenue mix to vary over time due to a number of factors. Our gross margins and results of operations could be negatively impacted by changes in revenue mix and costs resulting from any number of factors, including entry into new markets; growth in lower margin markets, such as the markets for our Virtual Events product and TV Solution, and the timing and aggregate usage of our solutions by such customers; entry into markets with different pricing and cost structures; increased usage of certain products and solutions that we offer to customers without usage caps;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length of our sales cycle can be unpredictable, particularly with respect to sales to large customers, and our sales efforts may require considerable time and expense.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results of operations may fluctuate, in part, because of the length and variability of the sales cycle of our subscriptions and the difficulty in making short-term adjustments to our operating expenses. Our results of operations depend in part on sales to new large customers and increasing sales to our existing customers, which are primarily large organizations. The length of our sales cycle, from initial contact with a prospective customer to subscribing to one or more of our offerings, can vary substantially from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50" name="Frame4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customer to customer for a number of reasons, including deal complexity (particularly for customers that rely on Kaltura to power TV experiences), setup time and our customers’ needs to satisfy their own internal requirements and processes. As a result, it can be difficult to predict exactly when, or even if, we will make a sale to a potential customer, or when and if we can increase sales to our existing customers. As a result, large individual sales have, in some cases, occurred in quarters subsequent to those we anticipated, or have not occurred at all. Because a substantial proportion of our expenses are relatively fixed in the short-term, our results of operations will suffer if revenue falls below our expectations in a particular quarter, which could cause the market price of our common stock to decline.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international operations and expansion expose us to risk.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platform, products and solutions address the needs of customers and end users around the world, and we see continued international expansion as a significant opportunity. For the years ended December 31, 2019 and 2020, we generated approximately 44% and 43% of our revenue, respectively, from customers outside the United States. Our customers, end users, employees and partners are located in a number of different jurisdictions worldwide, and we expect our operations will become increasingly global as our business continues to grow. Our current international operations involve, and future initiatives will also involve, a variety of risks, including: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unexpected changes in practices, tariffs, export quotas, custom duties, trade disputes, tax laws and treaties, particularly due to economic tensions and trade negotiations or other trade restrictions;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different labor regulations, especially in the European Union, where labor laws are generally more advantageous to employees as compared to the United States, including deemed hourly wage and overtime regulations in these locations;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exposure to many evolving stringent and potentially inconsistent laws and regulations relating to privacy, data protection, and information security, particularly in the European Union;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changes in a specific country’s or region’s political or economic conditions;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risks resulting from the ongoing COVID-19 pandemic, or any other pandemic, epidemic or outbreak of infectious disease, including uncertainty regarding what measures the U.S. or foreign governments will take in response;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risks resulting from changes in currency exchange rates;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challenges inherent to efficiently managing an increased number of employees over large geographic distances, including the need to implement appropriate systems, policies, benefits and compliance programs;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difficulties in maintaining our corporate culture with a dispersed workforce;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risks relating to the implementation of exchange controls, including restrictions promulgated by the United States Department of the Treasury’s Office of Foreign Assets Control (“OFAC”), and other similar trade protection regulations and measures in the United States or in other jurisdictions;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reduced ability to timely collect amounts owed to us by our customers in countries where our recourse may be more limited;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slower than anticipated availability and adoption of cloud infrastructures by international businesses, which would increase our on-premise deployments;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limitations on our ability to reinvest earnings from operations derived from one country to fund the capital needs of our operations in other countries;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51" name="Frame4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potential changes in laws, regulations, and costs affecting our U.K. operations and personnel due to Brexit;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limited or unfavorable—including greater difficulty in enforcing—intellectual property protection;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exposure to liabilities under anti-corruption and anti-money laundering laws, including the U.S. Foreign Corrupt Practices Act of 1977, as amended, and similar applicable laws and regulations in other jurisdictions.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address these difficulties and challenges or other problems encountered in connection with our international operations and expansion, we might incur unanticipated liabilities or we might otherwise suffer harm to our business generally.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not successful in sustaining and expanding our international business, we may incur additional losses and our revenue growth could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results depend, in part, on our ability to sustain and expand our penetration of the international markets in which we currently operate and to expand into additional international markets. Our ability to expand internationally will depend upon our ability to deliver functionality and foreign language translations that reflect the needs of the international customers that we target and to successfully navigate the risks inherent in operating a business internationally, as discussed above. While we will need to invest significant resources in such expansion, it is possible that returns on such investments will not be achieved in the near future or at all in these less familiar competitive environments. In addition, we currently leverage reseller relationships to assist with marketing and selling our offerings, particularly in jurisdictions in which we have a limited presence. If we are unable to identify resellers or other partners or negotiate favorable terms, our international growth may be limited or more costly than we anticipate.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Currency exchange rate fluctuations affect our results of operations, as reported in our financial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report our financial results in U.S. dollars. We collect our revenue primarily in U.S. dollars and in euros. A portion of the cost of revenue, research and development, selling and marketing and general and administrative expenses of our Israeli operations are incurred in New Israeli Shekel (“NIS”). As a result, we are exposed to exchange rate risks that may materially and adversely affect our financial results. If the NIS appreciates against the U.S. dollar or the euro, or if the value of the NIS declines against the U.S. dollar or the euro, at a time when the rate of inflation in the cost of Israeli goods and services exceeds the rate of decline in the relative value of the NIS, then the U.S. dollar-denominated cost of our operations in Israel would increase and our results of operations could be materially and adversely affected. We cannot predict any future trends in the rate of inflation in Israel or the rate of depreciation (if any) of the NIS against the U.S. dollar or the euro, and our ability to hedge our exposure to currency exchange rate fluctuations may be limited.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 portion of our revenue is generated by sales to government entities, which are subject to a number of challenges and risks.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Sales to 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U.S. federal government, U.S. state governments, or non-U.S. government sectors until we have attained the revised certification. Government demand and payment for our offerings may be affected by public sector budgetary cycles and funding authorizations, with funding reductions or delays adversely affecting public sector demand for our products. Additionally, any actual or perceived privacy, data protection, or data security incident, or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52" name="Frame4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even any perceived defect with regard to our practices or measures in these areas, may negatively impact public sector demand for our products.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we rely on certain partners to provide technical support services to certain of our government entity customers to resolve any issues relating to our products. If our partners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part of our business strategy, we may acquire or make investments in complementary companies, products or technologies, and enter into other strategic transactions and relationships in the ordinary 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common stock, and may have a material adverse effect on our business, financial condition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Acquisitions and other strategic transactions and relationships could cause our financial results to differ from our own or the investment community’s expectations in any given period, or over the long-term.</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250"/>
                <wp:effectExtent l="0" t="0" r="0" b="0"/>
                <wp:wrapNone/>
                <wp:docPr id="53" name="Frame4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Pre-closing and post-closing earnings charges could adversely impact operating results in any given period, and the impact may be substantially different from period to period.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Acquisitions and other strategic transactions and relationships could create demands on our management, operational resources and financial and internal control systems that we are unable to effectively address.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could experience difficulty in integrating personnel, operations and financial and other controls and systems and retaining key employees and customers.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may be unable to achieve cost savings or other synergies anticipated in connection with an acquisition or other strategic transaction or relationship.</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may have interests that diverge from those of our strategic partners and we may not be able to direct the management and operations of the strategic relationship in the manner we believe is most appropriate, exposing us to additional risk.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Risks Related to Information Technology, Intellectual Property and Data Security and Privacy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 real or perceived bug, defect, security vulnerability, error, or other performance failure involving our platform, products or solutions could cause us to lose revenue, damage our reputation, and expose us to liability.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platform, products and solutions are inherently complex and, despite extensive testing and quality control, have in the past and may in the future contain bugs, defects, security vulnerabilities, errors, or other performance failures, especially when first introduced, or otherwise not perform as intended. Any such bug, defect, security vulnerability, error, or other performance failure could cause damage to our reputation, loss of customers or revenue, order cancellations, service terminations, and lack of market acceptance of our offerings. As the use of our offerings among new and existing customers expands, particularly to more sensitive, secure, or mission critical uses, we may be subject to increased scrutiny, potential reputational risk, or potential liability should our offerings fail to perform as contemplated in such deployments. We have in the past and may in the future need to issue corrective releases of our software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250"/>
                <wp:effectExtent l="0" t="0" r="0" b="0"/>
                <wp:wrapNone/>
                <wp:docPr id="54" name="Frame5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limitation of liability provision contained in an agreement with a customer, user, third-party vendor, service provider, or partner may not be enforceable, adequate or effective as a result of existing or future applicable law or judicial decisions, and may not function to limit our liability arising from regulatory enforcement or other specific circumstances. The sale and support of our offerings entail the risk of liability claims, which could be substantial in light of the use of our offerings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products or solutions,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including our financial condition, results of operations and reputation.</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business platform, products and solutions involve the collection, storage, processing, transmission and other use of data, including certain confidential, sensitive, and personal information. Any security breach, data loss, or other compromise,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litigation, regulatory investigations, or other liabilities. These attacks may come from individual hackers, criminal groups, and state-sponsored organizations.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our reputation may be damaged, our business may suffer, and we could incur significant liability, including under applicable data privacy and security laws and regulations. Even the perception of inadequate security may damage our reputation and negatively impact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we do not directly control content that our customers store or use in our products. If our customers use our products for the transmission or storage of personal, confidential, sensitive, or other information about individuals and our security measures are or are believed to have been breached as a result of third-party action, employee error, malfeasance or otherwise, our reputation could be damaged, our business may suffer, and we could incur significant liability.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250"/>
                <wp:effectExtent l="0" t="0" r="0" b="0"/>
                <wp:wrapNone/>
                <wp:docPr id="55" name="Frame5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including our financial condition, results of operations and reputation.</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Incorrect implementation or use of, or our customers’ failure to update, our software could result in customer dissatisfaction and negatively affect our business, financial condition, results of operations and growth prospects.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platform, products and solutions are often operated in large-scale, complex information technology environments. Our customers require training and experience in the proper use of, and the benefits that can be derived from, our offerings in order to maximize their potential. If users of our offerings do not implement, use, or update them correctly or as intended, actual or perceived inadequate performance and/or security vulnerabilities may result. Because our customers rely on our software to manage a wide range of operations, the incorrect implementation or use of, or our customers’ failure to update, our software, or our failure to train customers on how to use our software productively, may result in customer dissatisfaction and negative publicity, which may adversely affect our reputation and brand. Our failure to effectively provide training and implementation services to our customers could result in lost opportunities for follow-on sales to these customers and decrease subscriptions by new customers, which would adversely affect our business, financial condition, results of operations and growth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Insufficient investment in, or interruptions or performance problems associated with, our technology and infrastructure, including in connection with our ongoing transition to a public cloud infrastructure, and our reliance on technologies from third parties, may adversely affect our business operations and financial results.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Customers of our offerings need to be able to access our platform at any time, without interruption or degradation of performance. As a result of the increase in usage we experienced as a result of the COVID-19 pandemic, in the third quarter of 2020, we accelerated our existing plans to move from our own data centers to a public cloud infrastructure with the goal of providing improved stability, reliability, scalability and elasticity for our offerings. This transition is complex and time-consuming and involves risks inherent in the conversion to a new system, including potential loss of information and disruption to our normal operations. We may discover deficiencies in our design, implementation or maintenance of our new cloud-based systems that could adversely affect our business, financial condition and results of operations. For example, we experienced an initial period of unstable service during the first few months of this transition, causing us to fall below the service-level commitments in our customer agreements. Though service has since stabilized, we cannot guarantee that we will not experience similar instability in the future. Furthermore, we cannot yet know the ultimate impact of this or any similar future event on our customer relationships, and it is possible customers may be less inclined to renew their subscriptions following the expiration of their current terms.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third-party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cloud-based offerings. It is also possible that our customers and regulators would seek to hold us accountable for any breach of security affecting a third-party cloud provider’s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250"/>
                <wp:effectExtent l="0" t="0" r="0" b="0"/>
                <wp:wrapNone/>
                <wp:docPr id="56" name="Frame5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It may also become increasingly difficult to maintain and improve our performance, especially during peak usage times, as our software becomes more complex and the usage of our software increases. Moreover, our insurance may not be adequate to cover such liability and may be subject to exclusions. Any of the above circumstances or events may adversely affect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our website and internal technology infrastructure may experience performance issues due to a variety of factors, including infrastructure changes, human or software errors, website or third-party hosting disruptions, capacity constraints, technical failures,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cloud-based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on commercially acceptable terms or within adequate timelines from the same or different hosting services providers or at all.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Failure to protect our proprietary technology, or to obtain, maintain, protect and enforce sufficiently broad intellectual property rights therein, could substantially harm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success depends to a significant degree on our ability to protect our proprietary technology, methodologies, know-how, and brand. We rely on a combination of trademarks, copyrights, patents, trade secret laws, contractual restrictions, and other intellectual property laws and confidentiality procedures to establish and protect our proprietary rights. However, we make a version of our Media Services, Kaltura CE, available to the public at no charge under an open source license, contribute other source code to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250"/>
                <wp:effectExtent l="0" t="0" r="0" b="0"/>
                <wp:wrapNone/>
                <wp:docPr id="57" name="Frame5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open source projects under open source licenses, and release internal software projects under open source licenses, and anticipate continuing to do so in the future. Because the source code for Kaltura CE and any other software we contribute to open source projects or distribute under open source licenses is publicly available, our ability to monetize and protect our intellectual property rights with respect to such source code may be limited or, in some cases, lost entirely. Our competitors or other third parties could access such source code and use it to create software and service offerings that compete with ours. While software can, in some cases, be protected under copyright law, in order to bring a copyright infringement lawsuit in the United States, the copyright must first be registered. We have chosen not to register any copyrights, and rely on trade secret protection in addition to unregistered copyrights to protect our proprietary software. Accordingly, the remedies and damages available to us for unauthorized use of our software may be limited.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the steps we take to protect our intellectual property and proprietary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We will not be able to protect our intellectual property and proprietary rights if we are unable to enforce our rights or if we do not detect infringement, misappropriation, dilution or other unauthorized use or violation thereof. If we fail to defend and protect our intellectual property rights adequately, our competitors and other third parties may gain access to our proprietary technology, information and know-how, reverse-engineer our software,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Despite our precautions, it may be possible for unauthorized third parties to copy our products and use information that we regard as proprietary to create offerings that compete with ours. 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devoted substantial resources to the development of our technology, business operations and business plans. We attempt to protect our intellectual property and proprietary information, including trade secrets, by implementing administrative, technical and physical practices, including source code access controls, to secure our proprietary information. We also seek to enter into confidentiality, non-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2250"/>
                <wp:effectExtent l="0" t="0" r="0" b="0"/>
                <wp:wrapNone/>
                <wp:docPr id="58" name="Frame5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compete, proprietary, and inventions assignment agreements with our employees, consultants and contractors, and enter into confidentiality agreements with other parties, such as licensees and customers. However, such agreements may not be self-executing, and there can be no guarantee that all applicable parties have executed such agreements. No assurance can be given that these practices or agreements will be effective in controlling access to and distribution of our proprietary information, or in providing adequate remedies in the event of unauthorized access or distribution, especially in certain states and countries, including Israel, Russia and Belarus, that are less willing to enforce such agreements or otherwise provide protection for trade secrets. Further, these agreements may not prevent our competitors from independently developing technologies that are substantially equivalent or superior to our products, and in such cases we would not be able to assert trade secret rights against such parties. We also employ individuals who were previously employed at other companies in our field, and our efforts to ensure that such individuals do not use the proprietary information or know-how of others in their work for us may not prevent others from claiming that we or our employees or independent contractors have used or disclosed intellectual property, including trade secrets or other proprietary information, of a former employer or other third parties. Litigation may be necessary to defend against any such claims. If we are unsuccessful in defending against any such claims, we may be liable for damages or prevented from using certain intellectual property, which in turn could materially adversely affect our business, financial condition or results of operations; even if we are successful in defending against such claims, litigation could result in substantial costs and distract management and other employees.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order to protect our intellectual property and proprietary rights and to monitor for and take action against any infringement, misappropriation or other violations thereof,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or our brand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financial condition, results of operations and growth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could incur substantial costs and otherwise suffer harm as a result of any claim of infringement, misappropriation or other violation of another party’s intellectual property or proprietary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recent years, there has been significant litigation involving patents and other intellectual property and proprietary rights in the software industry. We do not currently have a large patent portfolio, which could prevent us from deterring patent infringement claims, as we may not be able credibly to threaten patent infringement counter-claims. Our competitors and others may now and in the future have significantly larger and more mature patent portfolios than we have. Even a large patent portfolio may not serve as a deterrent to litigation by certain third parties, some of whose sole or primary business is to assert patent claims and some of whom have sent letters to and/or filed suit alleging infringement against us or some of our customers. We could incur substantial costs in prosecuting or defending any intellectual property litigation. If we sue to enforce our rights or are sued by a third party claiming that our offerings infringe, misappropriate or violate their rights, the litigation could be expensive and could divert management attention and resources away from our core business operations.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2250"/>
                <wp:effectExtent l="0" t="0" r="0" b="0"/>
                <wp:wrapNone/>
                <wp:docPr id="59" name="Frame5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intellectual property litigation to which we might become a party, or for which we are required to provide indemnification, may require us to do one or more of the following: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cease selling or using offerings that incorporate or are otherwise covered by the intellectual property rights that we allegedly infringe, misappropriate or otherwise violate;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make substantial payments for legal fees, settlement payments or other costs or damages, including potentially treble damages if we are found liable for willful infringement;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redesign the allegedly infringing offerings to avoid infringement, misappropriation or other violation, which could be costly, time-consuming or impossible.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may become subject to claims for remuneration or royalties for assigned service invention rights by our employees and consultants, which could result in litigation and would adversely affect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significant portion of our intellectual property has been developed by our employees and consultants in the course of their engagement with us. Under the Israeli Patent Law, 5727-1967 (the “Patent Law”), inventions conceived by an employee during the scope of his or her employment relationship with a company are regarded as “service inventions,” which belong to the employer, absent a specific agreement stating otherwise. The Patent Law also provides that absent an agreement providing otherwise,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seek to enter into assignment-of-invention agreements with our employees and consultants pursuant to which such individuals assign to us all rights to any inventions created in the scope of their employment or engagement with us, we cannot guarantee that all such agreements are self-executing or have been entered into by all applicable individuals. Even when such agreements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We may face claims demanding remuneration in consideration for assigned inventions, which could require us to pay additional remuneration or royalties to our current and former employees and consultants, or be forced to litigate such claims, which could negatively affect our business.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Indemnity provisions in various agreements potentially expose us to substantial liability for intellectual property infringement, misappropriation, violation, and other losses.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agreements with customers and other third parties may include indemnification provisions under which we agree to indemnify them for losses suffered or incurred as a result of claims of intellectual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2250"/>
                <wp:effectExtent l="0" t="0" r="0" b="0"/>
                <wp:wrapNone/>
                <wp:docPr id="60" name="Frame5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property infringement, misappropriation or violation, damages caused by us to property or persons, or other liabilities relating to or arising from our software, services or other contractual obligations. Large indemnity payments could adversely affect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Substantial indemnity payments under such agreements could harm our business, financial condition and results of operations.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use of open source software could negatively affect our ability to sell our offerings and subject us to possible litigation.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offerings incorporate open source software, and we expect to continue to incorporate open source software in our offerings in the future. Few of the licenses applicable to open source software have been interpreted by courts, and there is a risk that these licenses could be construed in a manner that could impose unanticipated conditions or restrictions on our ability to commercialize our offerings. Some open source licenses may subject us to certain requirements, including requirements that we offer additional portions of our solutions for reduced or no cost, that we make publicly available at no charge the source code for modifications or derivative works we create based upon, incorporating, linking to or using the open source software (which could include valuable proprietary code),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platform, products and solutions, which may not be available on reasonable terms or at all, and to re-engineer our offerings or discontinue the sale of our offerings in the event re-engineering cannot be accomplished on a timely basis or at all.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are subject to stringent and changing laws, regulations, standards, and contractual obligations related to privacy, data protection, and data security. Our actual or perceived failure to comply with such obligations could adversely affect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receive, collect, store, process, transfer, and otherwise use personally identifiable and other sensitive information about individuals and other data relating to users of our offerings, our employees and contractors, and other persons. We have legal and contractual obligations regarding the protection of confidentiality and appropriate use of certain data, including personally identifiable and other sensitive information about individuals. We are subject to numerous federal, state, local, and international laws, directives, and regulations regarding privacy, data protection, and data security and the collection, storing, sharing, use, processing, transfer, disclosure, disposal and protection of information about individuals and other data,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applicable data privacy and security policies, regulations, contractual obligations, and other legal obligations relating to privacy, data protection, and data security.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2250"/>
                <wp:effectExtent l="0" t="0" r="0" b="0"/>
                <wp:wrapNone/>
                <wp:docPr id="61" name="Frame5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is inconsistent from one jurisdiction to another and may conflict with other legal obligations or our practices. Further, any significant change to applicable laws, regulations or industry practices regarding the collection, use, retention, security, processing, transfer or disclosure of data, or their interpretation, or any changes regarding the manner in which the consent of users or other data subjects for the collection, use, retention, security, processing, transfer or disclosure of such data must be obtained, could increase our costs and require us to modify our services and features, possibly in a material manner, which we may be unable to complete, and may limit our ability to receive, collect, store, process, transfer, and otherwise use user data or develop new services and features.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found in violation of any applicable laws or regulations relating to privacy, data protection, or security, our business may be materially and adversely affected and we would likely have to change our business practices and potentially the services and features, integrations or other capabilities of our offerings. In addition, these laws and regulations could impose significant costs on us and could constrain our ability to use and process data in a commercially desirable manner. In addition, if a breach of data security were to occur or be alleged to have occurred, if any violation of laws and regulations relating to privacy, data protection or data security were to be alleged, or if we were to discover any actual or alleged defect in our safeguards or practices relating to privacy, data protection, or data security, our solutions may be perceived as less desirable and our business, financial condition, results of operations and growth prospects could be materially and adversely affected.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expect that there will continue to be new laws, regulations, and industry standards concerning privacy, data protection, and information security proposed and enacted in various jurisdictions. For example, the California Consumer Privacy Act (“CCPA”), which came into force in 2020,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For example, the CCPA has encouraged “copycat” or other similar laws to be considered and proposed in other states across the country, such as in Virginia, New Hampshire, Illinois and Nebraska.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Various U.S. federal privacy laws are potentially relevant to our business, including the Federal Trade Commission Act, Controlling the Assault of Non-Solicited Pornography and Marketing Act, the Family Educational Rights and Privacy Act, the Children’s Online Privacy Protection Act, and the Telephone Consumer Protection Act. Any actual or perceived failure to comply with these laws could result in a costly investigation or litigation resulting in potentially significant liability, injunctions and other consequences, loss of trust by our users, and a material and adverse impact on our reputation and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the data protection landscape in the EU is continually evolving, resulting in possible significant operational costs for internal compliance and risks to our business. The EU adopted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2250"/>
                <wp:effectExtent l="0" t="0" r="0" b="0"/>
                <wp:wrapNone/>
                <wp:docPr id="62" name="Frame5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General Data Protection Regulation (“GDPR”), which became effective in May 2018, and contains numerous requirements and changes from previously existing EU laws, including more robust obligations on data processors and heavier documentation requirements for data protection compliance programs by companies.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Among other requirements, the GDPR regulates the transfer of personal data subject to the GDPR to third countries that have not been found to provide adequate protection to such personal data, including the United States. Recent legal developments in Europe have created complexity and uncertainty regarding such transfers. For instance, on July 16, 2020, the Court of Justice of the European Union (the “CJEU”) invalidated the EU-U.S. Privacy Shield Framework (the “Privacy Shield”) under which personal data could be transferred from the European Economic Area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such clauses alone may not necessarily be sufficient in all circumstances. Use of the standard contractual clauses must now be assessed on a case-by-case basis taking into account the legal regime applicable in the destination country, including, in particular, applicable surveillance laws and rights of individuals, and additional measures and/or contractual provisions may need to be put in place; however, the nature of these additional measures is currently uncertain. The CJEU also states that if a competent supervisory authority believes that the standard contractual clauses cannot be complied with in the destination country and that the required level of protection cannot be secured by other means, such supervisory authority is under an obligation to suspend or prohibit that transfer.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the GDPR greatly increased the European Commission’s jurisdictional reach of its laws and added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security breach notifications and the security and confidentiality of personal data.</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 GDPR, the European Commission has another draft regulation in the approval process that focuses on a person’s right to conduct a private life. The proposed legislation, known as the Regulation of Privacy and Electronic Communications (“ePrivacy Regulation”), would replace the current ePrivacy Directive.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may lead to broader restrictions on our marketing and personalization activities and may negatively impact our efforts to understand users.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 in March 2017, the United Kingdom formally notified the European Council of its intention to leave the EU pursuant to Article 50 of the Treaty on European Union (“Brexit”). The United Kingdom ceased to be an EU Member State on January 31, 2020, but enacted a Data Protection Act substantially implementing the GDPR (“U.K. GDPR”), effective in May 2018, which was further amended to align more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2250"/>
                <wp:effectExtent l="0" t="0" r="0" b="0"/>
                <wp:wrapNone/>
                <wp:docPr id="63" name="Frame5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substantially with the GDPR following Brexit. It is unclear how U.K. data protection laws or regulations will develop in the medium to longer term and how data transfers to and from the United Kingdom will be regulated. Some countries also are considering or have enacted legislation requiring local storage and processing of data that could increase the cost and complexity of delivering our services. Beginning in 2021 when the transitional period following Brexit expired, we are required to comply with both the GDPR and the U.K. GDPR, with each regime having the ability to fine up to the greater of €20 million (in the case of the GDPR) or £17 million (in the case of the U.K. GDPR) and 4% of total annual revenue. The relationship between the United Kingdom and the EU in relation to certain aspects of data protection law remains unclear, including, for example, how data transfers between EU member states and the United Kingdom will be treated and the role of the United Kingdom’s Information Commissioner’s Office following the end of the transitional period. These changes could lead to additional costs and increase our overall risk exposure.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failure to comply with the Israeli Privacy Protection Law 5741-1981, and its regulations as well as the guidelines of the Israeli Privacy Protection Authority, may expose us to administrative fines, civil claims (including class actions) and in certain cases criminal liability. Current pending legislation may result in a change of the current enforcement measures and sanctions.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rely on software and services licensed from other parties. The loss of software or services from third parties could increase our costs and limit the features available in our platform, products and solutions.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or at all. Furthermore, we might be forced to temporarily limit the features available in our current or future products and solutions. If we fail to maintain or renegotiate any of these software or service licenses, we could face significant delays and diversion of resources in attempting to license and integrate functional equivalents. We and our customers may also be subject to suits by parties claiming infringement, misappropriation or other violation of third-party intellectual property or proprietary rights due to the reliance by our solutions on such third-party software and services, such third-party software and services may contain bugs or other errors that cause our own offerings to malfunction, and our agreements with such third parties may not contain any, or adequate, warranties, indemnities or other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2250"/>
                <wp:effectExtent l="0" t="0" r="0" b="0"/>
                <wp:wrapNone/>
                <wp:docPr id="64" name="Frame6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protective provisions on our behalf. Any of the foregoing could materially and adversely affect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Risks Related to our Debt, Liquidity and Capitalization</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failure to raise additional capital or generate the significant capital necessary to expand our operations and invest in new offerings could reduce our ability to compete and could adversely affect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Historically, we have funded our operations and capital expenditures primarily through net cash provided by operating activities, equity issuances and borrowings under our long-term debt arrangements. Although we currently anticipate that our net cash provided by operating activities, cash on hand and availability under our Revolving Credit Facility will be adequate to meet our operating, investing and financing needs for at least the next twelve months,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common stock, and our stockholders may experience dilution.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need additional capital and cannot raise it on acceptable terms, we may not be able to, among other things: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develop or enhance our platform, products or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continue to expand our research and development and sales and marketing organizations;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acquire complementary technologies, products or businesses;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expand operations in the United States or internationally;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hire, train, and retain employees;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respond to competitive pressures or unanticipated working capital requirements.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failure to have sufficient capital to do any of these things could adversely affect our business, financial condition and results of operations, and our ability to execute our growth strategy.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indebtedness could adversely affect our ability to raise additional capital to fund operations, limit our ability to react to changes in the economy or our industry and prevent us from meeting our financial obligations.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we had approximately $28.2 million of borrowings (net of $0.2 million of unamortized issuance costs) outstanding under our Prior Term Loan Facility and approximately $20.0 million of borrowings outstanding under our Prior Revolving Credit Facility.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described elsewhere in this prospectus under “Management’s Discussion and Analysis of Financial Condition and Results of Operations—Liquidity and Capital Resources—Credit Facilities.”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If we cannot generate sufficient cash flow from operations to service our debt, we may need to further refinance our debt, dispose of assets or issue equity to obtain necessary funds. We do not know whether we will be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2250"/>
                <wp:effectExtent l="0" t="0" r="0" b="0"/>
                <wp:wrapNone/>
                <wp:docPr id="65" name="Frame6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able to do any of this on a timely basis, on terms satisfactory to us, or at all. Our indebtedness could have important consequences, including: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obtain additional debt or equity financing for working capital, capital expenditures, debt service requirements, acquisitions and general corporate or other purposes may be limited;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 portion of our cash flows from operations will be dedicated to the payment of principal and interest on the indebtedness and will not be available for other purposes, including operations, capital expenditures and future business opportunities;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certain of our borrowings are at variable rates of interest, exposing us to the risk of increased interest rates;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adjust to changing market conditions may be limited and may place us at a competitive disadvantage compared to less-leveraged competitors;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may be vulnerable during a downturn in general economic conditions or in our business, or may be unable to carry on capital spending that is important to our growth.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the agreement governing our Credit Facilities contains, and any agreements evidencing or governing other future indebtedness may also contain, certain restrictive covenants that limit or otherwise restrict our ability, among other things, to: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create, issue, incur, assume, become liable in respect of or suffer to exist any debt or liens;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consummate any merger, consolidation or amalgamation, or liquidate, wind up or dissolve, or dispose of all or substantially all of our or their respective property or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dispose of property or, in the case of our subsidiaries, issue or sell any shares of such subsidiary’s capital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repay, prepay, redeem, purchase, retire or defease subordinated debt;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declare or pay dividends or make certain other restricted payments;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make certain investments;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enter into transactions with affiliates;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enter into new lines of business;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make certain amendments to our or their respective organizational documents or certain material contracts.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agreement governing our Credit Facilities also contains, and any agreements evidencing or governing other future indebtedness may also contain, certain financial covenants and financial reporting requirements, as described elsewhere in this prospectus under “Management’s Discussion and Analysis of Financial Condition and Results of Operations—Liquidity and Capital Resources—Credit Facilities.” Our ability to comply with these covenants and restrictions may be affected by events and factors beyond our control. We may not be able to generate sufficient recurring revenue or cash flow or maintain sufficient liquidity to meet the financial covenants or pay the principal and interest under our Credit Facilities when required. If we fail to make payments under our Credit Facilities or otherwise experience an event of default thereunder, the lending banks would be permitted to take certain actions, including terminating all outstanding commitments and declaring all amounts due under our Credit Facilities to be immediately due and payable, including all outstanding borrowings, accrued and unpaid interest thereon, and prepayment premiums with respect to such borrowings and any terminated commitments. In addition, the lenders would have the right to proceed against the collateral we granted to them, which includes substantially all of our assets. The occurrence of any of these events could have a material adverse effect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2250"/>
                <wp:effectExtent l="0" t="0" r="0" b="0"/>
                <wp:wrapNone/>
                <wp:docPr id="66" name="Frame6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on our business, financial condition and results of operations. Furthermore, our future working capital, borrowings, or equity financing could be unavailable to repay or refinance the amounts outstanding under our Credit Facilities. In the event of a liquidation, our lenders would be repaid all outstanding principal and interest prior to distribution of assets to unsecured creditors, and the holders of our common stock would receive a portion of any liquidation proceeds only if all of our creditors, including our lenders, were first repaid in full.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Risks Related to Other Legal, Regulatory and Tax Matters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Legal, political, and economic uncertainty surrounding the exit of the United Kingdom from the European Union may be a source of instability to international markets, create significant currency fluctuations, adversely affect our operations in the United Kingdom and pose additional risks to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Brexit,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These developments and the continued uncertainty regarding the terms of the relationship between the United Kingdom and the European Union post-Brexit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increase the costs of doing business in the United Kingdom and depress economic activity. Additionally, the need to comply with any applicable regulatory changes will likely increase costs for us and our existing and potential customers located in the United Kingdom, which could negatively affect demand for our offerings and the ability of customers to make payments under their agreements with us. Any of these factors could have a significant adverse effect on our business, financial condition, results of operations and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are subject to various governmental export control, trade sanctions, and import laws and regulations that could impair our ability to compete in international markets or subject us to liability if we violate these controls.</w:t>
      </w:r>
    </w:p>
    <w:p>
      <w:pPr>
        <w:pStyle w:val="TextBody"/>
        <w:spacing w:lineRule="auto" w:line="288" w:before="0" w:after="180"/>
        <w:ind w:left="0" w:right="0" w:firstLine="360"/>
        <w:jc w:val="both"/>
        <w:rPr/>
      </w:pPr>
      <w:r>
        <w:rPr>
          <w:rFonts w:ascii="Helvetica;sans-serif" w:hAnsi="Helvetica;sans-serif"/>
          <w:b w:val="false"/>
          <w:color w:val="000000"/>
          <w:sz w:val="20"/>
        </w:rPr>
        <w:t>In some cases, our software is subject to export control laws and regulations, including the Export Administration Regulations administered by the U.S. Department of Commerce, the Israeli Control of Products and Services Decree (Engagement in Encryption), 5735-1974, and the Israeli Law of Regulation of Security Exports, 5767-2007, and our activities may be subject to trade and economic sanctions, including those administered by OFAC (collectively, “Trade Controls”). As such, a license may be required to export or re-export our products, or provide related services, to certain countries and end users, as well as for certain end uses. Further, our offerings that incorporate encryption functionality may be subject to special controls applying to encryption items and/or certain reporting requirements.</w:t>
      </w:r>
      <w:r>
        <w:rPr>
          <w:color w:val="000000"/>
        </w:rPr>
        <w:t xml:space="preserv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2250"/>
                <wp:effectExtent l="0" t="0" r="0" b="0"/>
                <wp:wrapNone/>
                <wp:docPr id="67" name="Frame6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have procedures in place designed to ensure our compliance with Trade Controls, we cannot guarantee that these procedures will be successfully followed, and failure to comply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offerings are widely distributed throughout the world and are available for download without registration.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various countries regulate the import of certain encryption technology, including through import permit and license requirements, and have enacted laws that could limit our ability to distribute our offerings or the ability of our customers or end users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Changes in laws and regulations related to the internet, changes in the internet infrastructure itself, or increases in the cost of internet connectivity and network access may diminish the demand for our offerings and could harm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end users’ access to the internet.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2250"/>
                <wp:effectExtent l="0" t="0" r="0" b="0"/>
                <wp:wrapNone/>
                <wp:docPr id="68" name="Frame6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the internet continues to experience growth in the number of users, frequency of use, and amount of data transmitted, the internet infrastructure that we and our customers and end users rely on may be unable to support the demands placed upon it. The failure of the internet infrastructure that we or our customers and end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Internet access is frequently provided by companies that have significant market power and the ability to take actions that degrade, disrupt, or increase the cost of user access to our offerings. As demand for online media increases, there can be no assurance that internet and network service providers will continue to price their network access services on reasonable terms. The distribution of online media requires delivery of digital content files and providers of network access and distribution may change their business models and increase their prices significantly, which could slow the widespread adoption of such services. We could incur greater operating expenses and our customer acquisition and retention could be negatively impacted if network operators: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implement usage-based pricing;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discount pricing for competitive products;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otherwise materially change their pricing rates or schemes;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charge us to deliver our traffic at certain levels or at all;</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throttle traffic based on its source or type;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implement bandwidth caps or other usage restrictions;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otherwise try to monetize or control access to their networks.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order for our services to be successful, there must be a reasonable price model in place to allow for the continuous distribution of digital media files. We have limited or no control over the extent to which any of these circumstances may occur, and if network access or distribution prices rise, our business, financial condition and results of operations would likely be adversely affected.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may be adversely affected by third-party claims, including by governmental bodies, regarding the content and advertising distributed through our offerings.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on our customers to secure the rights to redistribute content over the internet, and we do not screen the content that is distributed through our offerings. There is no assurance that our customers have licensed all rights necessary for distribution, including internet distribution. Other parties may claim certain rights in the content of our customers.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event that our customers do not have the necessary distribution rights related to content, we may be required to cease distributing such content, or we may be subject to lawsuits and claims of damages for infringement of such rights. If these claims arise with frequency, the likelihood of our business being adversely affected would rise significantly. In some cases, we may have rights to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2250"/>
                <wp:effectExtent l="0" t="0" r="0" b="0"/>
                <wp:wrapNone/>
                <wp:docPr id="69" name="Frame6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indemnification or claims against our customers if they do not have appropriate distribution rights related to specific content items, however there is no assurance that we would be successful in any such claim.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do not screen the content that is distributed through our offerings. Content may be distributed through our platform that is illegal or unlawful under international, federal, state or local laws or the laws of other countries. We may face lawsuits, claims or even criminal charges for such distribution, and we may be subject to civil, regulatory or criminal sanctions and damages for such distribution. Any such claims or investigations could adversely affect our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Actions by governments to restrict access to our offerings in their countries or to require us to disclose or provide access to information in our possession could harm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business depend on the ability of our customers and end users to access the internet, and our offerings could be blocked or restricted in some countries for various reasons. Further, it is possible that governments of one or more foreign countries may seek to limit access to, or certain features of, our offerings in their countries, or impose other restrictions that may affect the availability of our offerings, or certain features of our offerings, in their countries for an extended period of time or indefinitely. For example, Russia and China are among a number of countries that have recently blocked certain online services, including AWS (which is our cloud hosting provider), making it very difficult for such services to access those markets. In addition, governments in certain countries may seek to restrict or prohibit access to our offerings if they consider us to be in violation of their laws (including privacy laws) and may require us to disclose or provide access to information in our possession. If we fail to anticipate developments in the law or fail for any reason to comply with relevant law, our offerings could be further blocked or restricted and we could be exposed to significant liability that could harm our business. In the event that access to our offerings is restricted, in whole or in part, in one or more countries, or our competitors are able to successfully penetrate geographic markets that we cannot access, our ability to add new customers or renew or expand the value of our existing customers’ subscriptions may be adversely affected, which could have a material adverse effect on our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Failure to comply with anti-bribery, anti-corruption, anti-money laundering laws, and similar laws, could subject us to penalties and other adverse consequences.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Criminal Law, 5737-1977, the Israeli Prohibition on Money Laundering Law, 5760–2000 and other anti-bribery and anti-money laundering laws in countries outside of the United States in which we conduct our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sometimes leverage third parties to sell our offerings and conduct our business abroad. We and our third-party intermediaries may have direct or indirect interactions with officials and employees of government agencies or state-owned or affiliated entities and may be held liable for the corrupt or other illegal activities of these third-party business partners and intermediaries, our employees, representatives, contractors, partners, and agents, even if we do not explicitly authorize such activities. We cannot assure you that our employees and agents will not take actions in violation of applicable law, for which we may be ultimately held responsible. As we increase our international sales and business operations, our risks under these laws are likely to increase.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actual or alleged violation of the FCPA or other applicable anti-bribery, anti-corruption or anti-money laundering laws could result in whistleblower complaints, sanctions, settlements, prosecution,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2250"/>
                <wp:effectExtent l="0" t="0" r="0" b="0"/>
                <wp:wrapNone/>
                <wp:docPr id="70" name="Frame6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enforcement actions, fines, damages, adverse media coverage, investigations, loss of export privileges, severe criminal or civil sanctions, or suspension or debarment from U.S. government contracts, any of which would adversely affect our reputation, as well as our business, financial condition, results of operations and growth prospects. Responding to any investigation or action would likely result in a materially significant diversion of management’s attention and resources and significant defense costs and other professional fees. In addition, the U.S. government may seek to hold us liable for successor liability for FCPA violations committed by companies in which we invest or that we acquire.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Changes in financial accounting standards or practices may cause adverse, unexpected financial reporting fluctuations and affect our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Changes in U.S. and foreign tax laws could have a material adverse effect on our business, cash flow, results of operations or financial conditions.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including the U.S. federal tax legislation enacted in 2017, commonly referred to as the Tax Cuts and Jobs Act of 2017,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Unanticipated changes in effective tax rates or adverse outcomes resulting from examination of our income or other tax returns could expose us to greater than anticipated tax liabilities.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tax laws applicable to our business, including the laws of the United States, Israel,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adversely affect our financial position and results of operations. It is possible that tax authorities may disagree with certain positions we have taken, and any adverse outcome of such a review or audit could have a negative effect on our business, financial condition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2250"/>
                <wp:effectExtent l="0" t="0" r="0" b="0"/>
                <wp:wrapNone/>
                <wp:docPr id="71" name="Frame6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v:rect>
            </w:pict>
          </mc:Fallback>
        </mc:AlternateConten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corporate structure and intercompany arrangements are subject to the tax laws of various jurisdictions, and we could be obligated to pay additional taxes, which would adversely affect our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were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financial condition and results of operations.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could be required to collect additional sales, use, value added, digital services or other similar taxes or be subject to other liabilities that may increase the costs our clients would have to pay for our offerings and adversely affect our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that we should have been or should currently be collecting additional sales, use, value added, digital services or other similar taxes in a particular jurisdiction could, among other things, result in substantial tax payments, create significant administrative burdens for us, discourage potential customers from subscribing to our platform due to the incremental cost of any such sales or other related taxes, or otherwise adversely affect our business.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ability to use our net operating loss carryforwards to offset future taxable income may be subject to certain limitations.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we had U.S. federal net operating loss carryforwards of approximately $217.5 million and U.S. state net operating loss carryforwards of approximately $122.5 million,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us to become an income tax payer earlier than we would become otherwise if such limitations were not in effect and could cause such net operating loss carryforwards to expire unused, in each case reducing or eliminating the benefit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22250"/>
                <wp:effectExtent l="0" t="0" r="0" b="0"/>
                <wp:wrapNone/>
                <wp:docPr id="72" name="Frame6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such net operating loss carryforwards. This offering, as well as future changes in our stock ownership, could result in an ownership change that subjects us to limitations on our ability to utilize net operating loss forwards to offset future income.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Risks Related to Our Operations in Israel</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Political, economic and military conditions in Israel could materially and adversely affect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offices near Tel Aviv, Israel where our primary research and development, human resources, and certain other finance and administrative activities are based. In addition, a number of our officers and directors, as well as our co-founders, are residents of Israel. As of December 31, 2020, we had 378 full-time employees in Israel. Accordingly, political, economic and military conditions in Israel and the surrounding region may directly affect our business and operations. Since the establishment of the State 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against civilian targets in various parts of Israel, including areas in which our employees, and some of our consultants are located, and negatively affected business conditions in Israel. Any hostilities, armed conflicts, terrorist activities involving Israel or the interruption or curtailment of trade between Israel and its trading partners, or any political instability in the region could adversely affect business conditions and our results of operations and could make it more difficult for us to raise capital. Specifically, our operations could be disrupted by the obligations of our personnel to perform military service. Many of our employees based in Israel may be called upon to perform military reserve duty and, in emergency circumstances, may be called to immediate and unlimited active duty. If this were to occur, our operations could be disrupted by the absence of a significant number of employees, which could materially adversely affect our business and results of operations.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Continued hostilities between Israel and its neighbors and any future armed conflict, terrorist activity or political instability in the region could adversely affect our operations in Israel and adversely affect the market price of our common stock. An escalation of tensions or violence might result in a significant downturn in the economic or financial condition of Israel, which could have a material adverse effect on our operations in Israel and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22250"/>
                <wp:effectExtent l="0" t="0" r="0" b="0"/>
                <wp:wrapNone/>
                <wp:docPr id="73" name="Frame6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instability in the region would likely negatively affect business conditions and could adversely affect our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Israel’s most recent general elections were held on April 9, 2019, September 17, 2019, March 2, 2020 and March 23, 2021. Uncertainty surrounding future elections and/or the results of such elections in Israel may continue and the political situation in Israel may further deteriorate.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Certain tax benefits that are available to us require us to continue to meet various conditions and may be terminated or reduced in the future, which could increase our costs and taxes.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Some of our operations in Israel may entitle us to certain tax benefits under the Law for the Encouragement of Capital Investments, 5719-1959, or the Investment Law. If we do not meet the requirements for maintaining these benefits, they may be reduced or cancelled and the relevant operations would be subject to Israeli corporate tax at the standard rate, which is set at 23% in 2020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“Preferred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Risks Related to this Offering and Ownership of our Common Stock</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market price for our common stock may be volatile or may decline regardless of our operating performance, and you may not be able to resell your shares at or above the initial public offering price.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 price of our common stock may be highly volatile and may fluctuate or decline substantially as a result of a variety of factors, many of which are beyond our control, including: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actual or anticipated changes or fluctuations in our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guidance we may provide to analysts and investors from time to time, and any changes in, or our failure to perform in line with, such guidance;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announcements by us or our competitors of new offerings or new or terminated contracts, commercial relationships or capital commitments;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industry or financial analyst or investor reaction to our press releases, other public announcements, and filings with the SEC;</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rumors and market speculation involving us or other companies in our industry;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future sales or expected future sales of our common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investor perceptions of us and the industries in which we operate;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22250"/>
                <wp:effectExtent l="0" t="0" r="0" b="0"/>
                <wp:wrapNone/>
                <wp:docPr id="74" name="Frame7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price and volume fluctuations in the overall stock market from time to time;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changes in operating performance and stock market valuations of other technology companies generally, or those in our industry in particular;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failure of industry or financial analysts to maintain coverage of us, the issuance of new or updated reports or recommendations by any analysts who follow our company, or our failure to meet the expectations of investors;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actual or anticipated developments in our business or our competitors’ businesses or the competitive landscape generally;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litigation involving us, other companies in our industry or both, or investigations by regulators into our operations or those of our competitors;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developments or disputes concerning our intellectual property or proprietary rights or our solutions, or third-party intellectual or proprietary rights;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announced or completed acquisitions of businesses or technologies, or other strategic transactions by us or our competitors;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actual or perceived breaches of, or failures relating to, privacy, data protection or data security;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new laws or regulations or new interpretations of existing laws or regulations applicable to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actual or anticipated changes in our management or our board of directors;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general economic conditions and slow or negative growth of our target markets;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other events or factors, including those resulting from war, incidents of terrorism or responses to these events.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Furthermore, the stock market has experienced extreme volatility that in some cases has been unrelated or disproportionate to the operating performance of particular companies. 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No public market for our common stock currently exists, and an active public trading market may not develop or be sustained following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Prior to this offering, there has been no public market for our common stock. An active public trading market for our common stock may not develop following the closing of this offering or, if developed, it may not be sustained. The lack of an active market may impair your ability to sell your shares at the time you wish to sell them or at a price that you consider reasonable. The initial public offering price of our common stock will be determined by negotiations between us and the underwriters and may not be indicative of prices that will prevail in the open market following the closing of this offering. The market price of our common stock may decline below the initial public offering price, and you may not be able to resell your shares of our common stock at or above the initial offering price, or at all. The lack of an active trading market may also reduce the fair value of your shares. An inactive market may also impair our ability to raise capital by selling shares of our common stock and may impair our ability to acquire other companies or technologies by using our common stock as consideration.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22250"/>
                <wp:effectExtent l="0" t="0" r="0" b="0"/>
                <wp:wrapNone/>
                <wp:docPr id="75" name="Frame7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v:rect>
            </w:pict>
          </mc:Fallback>
        </mc:AlternateConten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After this offering, our principal stockholders will continue to have significant influence over 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After the closing of this offering, our principal stockholders each holding more than 5% of our outstanding common stock will collectively beneficially own approximately 59.0% of our outstanding common stock (or approximately 57.4% of our outstanding common stock if the underwriters’ option to purchase additional shares is exercised in full). See “Principal and Selling Stockholders.” These stockholders or their affiliates will be able to exert significant influence over us and, if acting together, will be able to control matters requiring stockholder approval, including the election of directors and approval of significant corporate transactions, including a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will have broad discretion in the use of the net proceeds from this offering and may not use them effectively.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operating expenses and capital expenditures. Accordingly, we will have broad discretion in the application of the net proceeds from this offering, and you will not have the opportunity as part of your investment decision to assess whether such net proceeds are being used appropriately. Investors will need to rely upon the judgment of our management with respect to the use of such net proceeds. Pending their use, we may invest our proceeds in a manner that does not produce income or that loses value. Our investments may not yield a favorable return to our investors and may adversely affect the price of our common stock.</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You will experience immediate and substantial dilution in the net tangible book value of the common stock you purchase in this offering and may experience further dilution in the future.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initial public offering price of our common stock is substantially higher than the pro forma as adjusted net tangible book value per share of our common stock. If you purchase common stock in this offering, you will suffer immediate dilution of $13.53 per share, representing the difference between our pro forma as adjusted net tangible book value per share as of December 31, 2020 and the assumed initial public offering price of $15.00 per share. We also have a significant number of outstanding options to purchase shares of our common stock with exercise prices that are below the assumed initial public offering price of our common stock. To the extent these options or the Newrow Warrant are exercised, you will experience further dilution. See the section of this prospectus titled “Dilution” for additional information.</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Future sales of substantial amounts of our common stock in the public markets, or the perception that such sales might occur, could reduce the price that our common stock might otherwise attain.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Future 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Upon the closing of this offering, based on the number of shares of our common stock outstanding as of December 31, 2020 and after giving effect to the Preferred Stock Conversion, the Warrant Exercises and the Selling Stockholder Option Exercises, we will have an aggregate of 123,075,914 shares of our common stock outstanding.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22250"/>
                <wp:effectExtent l="0" t="0" r="0" b="0"/>
                <wp:wrapNone/>
                <wp:docPr id="76" name="Frame7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This includes 23,500,000 shares of common stock that we and the selling stockholders are selling in this offering, which may be resold in the public market immediately without restriction, unless purchased by our affiliates. Substantially all of the remaining shares are currently restricted as a result of securities laws or restrictions in market stand-off provisions or the lock-up agreements described elsewhere in this prospectus under the caption “Underwriting (Conflict of Interest)” (which may be waived at any time, with or without notice, by Goldman Sachs &amp; Co. LLC and BofA Securities, Inc.)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lock-up period, which we expect will expire 150 days after the date of this prospectus, has a potential partial release date following the 60th day after the date of this prospectus. If the last reported closing price of our common stock on the Nasdaq Global Select Market is at least 30% greater than the initial public offering price per share set forth on the cover page of this prospectus for at least 10 trading days out of any 15 consecutive trading day period ending on or after the 60th day after the date of this prospectus (the last trading day of such 15 trading day period, the “Early Release Determination Date”), the terms of the lock-up agreement to which any holder of our capital stock is subject will expire at the opening of trading three trading days after the Early Release Determination Date with respect to 20% of the aggregate number of shares of common stock and shares of common stock underlying securities convertible into, or exchangeable or exercisable for, common stock held, as of the date of this prospectus, by such holder for which all vesting conditions are satisfied as of the Early Release Determination Date. We expect that all shares of common stock subject to a lock-up agreement and not released pursuant to this partial release will otherwise be released 150 days after the date of this prospectus and will be able to be sold unless held by one of our affiliates, in which case the resale of such securities will generally be subject to volume limitations and other requirements under Rule 144 of the Securities Act. See “Shares Eligible for Future Sale.”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following the closing of this offering and the expiration of the lock-up period described above, holders of an aggregate of approximately 91,350,498 shares of our common stock, based on the number of shares outstanding as of December 31, 2020 (after giving effect to the Preferred Stock Conversion, the Warrant Exercises and the Selling Stockholder Option Exercises), will be entitled to certain rights with respect to the registration of these shares under the Securities Act pursuant to our Investors’ Rights Agreement. We also intend to register the offer and sale of all common stock that we may issue from time to time under our equity compensation plans. Once we register these shares, they will be freely tradable in the public market, subject to the volume limitations under Rule 144 of the Securities Act in the case of our affiliates and the lock-up agreements or market stand-off provisions referred to above and described in the “Underwriting (Conflict of Interest)” and “Shares Eligible for Future Sale” sections of this prospectus.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 price of our common stock may drop significantly when the restrictions on resale by our existing stockholders lapse, including in the event of a partial release under the lock-up agreement, when we register the sale of our stockholders’ remaining shares of our common stock, or if there is an expectation that such a lapse of resale restrictions or registration of shares will occur. A decline in the trading price of our common stock might impede our ability to raise capital through the issuance of additional shares of our common stock or other equity securities and may impair your ability to sell shares of our common stock at a price higher than the price you paid for them or at all.</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Your ownership and voting power may be diluted by the issuance of additional shares of our common stock in connection with financings, acquisitions, investments, our equity incentive plans or otherwise.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After this offering, we will have 876,924,086 shares of common stock authorized but unissued, based on the number of shares of our common stock outstanding as of December 31, 2020, and after giving effect to the Preferred Stock Conversion, the Warrant Exercises and the Selling Stockholder Option Exercises. Subject to compliance with applicable rules and regulations, we may issue common stock or securities convertible into common stock from time to time for the consideration and on the terms and conditions established by our board of directors in its sole discretion, whether in connection with a financing, acquisition, investment, our equity incentive plans or otherwise. As of December 31, 2020, we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22250"/>
                <wp:effectExtent l="0" t="0" r="0" b="0"/>
                <wp:wrapNone/>
                <wp:docPr id="77" name="Frame7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had 31,849,374 shares of our common stock issuable upon the exercise of outstanding options at a weighted average exercise price of $3.87 per share, 13,554,754 of which were vested as of such date (excluding, in each case, the 132,030 shares of common stock to be issued in connection with the Selling Stockholder Option Exercises), and 24,610 additional shares of our common stock reserved for future issuance under our Prior Plans. See “Executive Compensation.” Any additional shares of common stock that we issue, including under our 2021 Plan or other equity incentive plans that we may adopt in the future, or in connection with the exercise of the Newrow Warrant, would dilute the percentage ownership and voting power held by the investors who purchase common stock in this offering. In the future, we may also issue additional securities if we need to raise capital, including, but not limited to, in connection with acquisitions, which could constitute a material portion of our then-outstanding shares of common stock. Any such issuance could substantially dilute the ownership and voting power of our existing stockholders and cause the market price of our common stock to decline.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issue shares of preferred stock in the future, which could make it difficult for another company to acquire us or could otherwise adversely affect holders of our common stock, which could depress the price of our common stock.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Post-IPO Certificate of Incorporation will authorize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our company, discouraging bids for our common stock at a premium to the market price, and materially and adversely affect the market price and the voting and other rights of the holders of our common stock.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Anti-takeover provisions in our governing documents and under Delaware law could make an acquisition of our company more difficult, limit attempts by our stockholders to replace or remove our current management, and depress the market price of our common stock.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a Delaware corporation, and the anti-takeover provisions of Delaware law impose various impediments to the ability of a third party to acquire control of us, even if a change of control would be beneficial to our existing stockholders. In addition, our Post-IPO Certificate of Incorporation and Post-IPO Bylaws will contain provisions that could have the effect of rendering more difficult, delaying or preventing an acquisition deemed undesirable by our board of directors, including transactions in which stockholders might otherwise receive a premium for their shares. Among others, our Post-IPO Certificate of Incorporation and Post-IPO Bylaws will include the following provisions: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division of our board of directors into three classes, with each class serving staggered three-year terms, which may delay the ability of stockholders to change the membership of a majority of our board of directors;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limitations on convening special stockholder meetings, which could make it difficult for our stockholders to adopt desired governance changes;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22250"/>
                <wp:effectExtent l="0" t="0" r="0" b="0"/>
                <wp:wrapNone/>
                <wp:docPr id="78" name="Frame7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prohibition on stockholder action by written consent, which means that our stockholders will only be able to take action at a meeting of stockholders;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forum selection clause, which means certain litigation against us can only be brought in Delaware;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no authorization of cumulative voting, which limits the ability of minority stockholders to elect director candidates;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directors will only be able to be removed for cause and only by the affirmative vote of two-thirds of the then outstanding voting power of our capital stock;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certain amendments to our Post-IPO Certificate of Incorporation and Post-IPO Bylaws will require the approval of two-thirds of the then outstanding voting power of our capital stock;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affirmative vote of two-thirds of the then-outstanding voting power of our capital stock, voting as a single class, will be required for stockholders to amend or adopt any provision of our Post-IPO Bylaws; and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authorization of undesignated or “blank check” preferred stock, the terms of which may be established and shares of which may be issued without further action by our stockholders, which could be used to significantly dilute the ownership and voting rights of a hostile acquirer.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provision of our Post-IPO Certificate of Incorporation, Post-IPO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common stock at a price greater than the price you paid for them or at all.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Post-IPO Certificate of Incorporation will provide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Post-IPO Certificate of Incorporation will provide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employees or other agents to us or to our stockholders; (c) any action asserting a claim arising pursuant to the DGCL, our Post-IPO Certificate of Incorporation or Post-IPO Bylaws (as either may be amended and/or restated), or as to which the DGCL confers exclusive jurisdiction on the Court of Chancery of the State of Delaware; or (d) any action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22250"/>
                <wp:effectExtent l="0" t="0" r="0" b="0"/>
                <wp:wrapNone/>
                <wp:docPr id="79" name="Frame7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employees or other agents, which may discourage such lawsuits against us and our directors, officers, employees and other agents. Alternatively, if a court were to find the choice of forum provisions contained in our Post-IPO Certificate of Incorporation to be inapplicable or unenforceable in an action, we may incur additional costs associated with resolving such action in other jurisdictions, which could adversely affect our business, financial condition and results of operations. </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Post-IPO Certificate of Incorporation will provide that the doctrine of “corporate opportunity” will not apply with respect to any director or stockholder who is not employed by us or our subsidiaries.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and growth prospects.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management team has limited experience managing a public company, and the requirements of being a public company may strain our resources, divert management’s attention, and affect our ability to attract and retain qualified board members.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LLC (“Nasdaq”), may increase legal and financial compliance costs, and make some activities more time consuming. These laws, regulations and standards are subject to varying interpretations, and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22250"/>
                <wp:effectExtent l="0" t="0" r="0" b="0"/>
                <wp:wrapNone/>
                <wp:docPr id="80" name="Frame7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result, their application in practice may evolve over time as new guidance is provided by regulatory and governing bodies.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Most members of our management team have no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revenue-generating activities to compliance activities, which may prevent us from implementing our business strategy and growing our business. Moreover, we may not be successful in implementing these requirements. If we do not effectively and efficiently manage our transition into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as a public company, we may from time to time be subject to proposals by stockholders urging us to take certain corporate actions. If activist stockholder activity ensues, we may be required to incur additional costs to retain the services of professional advisors, management time and attention will be diverted from our core business operations, and perceived uncertainties as to our future direction, strategy or leadership may cause us to lose potential business opportunities and impair our brand and reputation, any of which could materially and adversely affect our business, financial condition and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increasing our legal and financial compliance costs, the additional rules and regulations described above might also make it more difficult for us to obtain certain types of insurance, including director and officer liability insurance, and we might be forced to accept reduced policy limits and coverage or incur substantially higher costs to obtain the same or similar coverage. As a result, it may be more difficult for us to attract and retain qualified persons to serve on our board of directors, on committees of our board of directors or as members of our senior management team.</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are an “emerging growth company” and we cannot be certain if the reduced disclosure requirements applicable to emerging growth companies will make our common stock less attractive to investors.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These provisions include, among other exemptions, that: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required to have only two years of audited financial statements and only two years of related Management’s Discussion and Analysis of Financial Condition and Results of Operations disclosure;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engage an auditor to report on our internal controls over financial reporting pursuant to Section 404(b) of the Sarbanes-Oxley Act;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we are not required to submit certain executive compensation matters to stockholder advisory votes, such as “say-on-pay,” “say-on-frequency” and “say-on-golden parachutes;” and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22250"/>
                <wp:effectExtent l="0" t="0" r="0" b="0"/>
                <wp:wrapNone/>
                <wp:docPr id="81" name="Frame7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are not required to disclose certain executive compensation related items such as the correlation between executive compensation and performance and comparisons of the chief executive officer’s compensation to median employee compensation.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take advantage of these exemptions until the last day of our fiscal year following the fifth anniversary of the closing of this offering or such earlier time that we are no longer an emerging growth company. We will cease to be an emerging growth company if (i) we have $1.07 billion or more in annual revenue in any fiscal year, (ii) the market value of our common stock held by non-affiliates is at least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The JOBS Act also permits an emerging growth company like us to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do not anticipate paying dividends on our common stock in the foreseeable future. As a result, your ability to achieve a return on your investment will depend on appreciation in the price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the repayment of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 Consequently, investors who purchase common stock in this offering may be unable to realize a return on their investment except by selling sell such shares after price appreciation, which may never occur. Our inability or decision not to pay dividends, particularly when others in our industry have elected to do so, could also adversely affect the market price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General Risk Factors</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Unfavorable conditions in our industry or the global economy or reductions in information technology spending could limit our ability to grow our business and negatively affect our 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results of operations may vary based on the impact of changes in our industry and the global economy on us and our customers. Current or future economic uncertainties or downturns could adversely affect our business, financial condition and results of operations. Negative conditions in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2250"/>
                <wp:effectExtent l="0" t="0" r="0" b="0"/>
                <wp:wrapNone/>
                <wp:docPr id="82" name="Frame7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 economy both in the United States and abroad, including conditions resulting from changes in gross domestic product growth, financial, and credit market fluctuations, political turmoil, natural catastrophes, the ongoing COVID-19 pandemic, any other pandemic, epidemic or outbreak of infectious disease, warfare, protests and riots, and terrorist attacks on the United States, Europe, the Asia Pacific region, or elsewhere, could cause a decrease in business investments by our customers and potential customers, including spending on information technology, and negatively affect the growth of our business. To the extent our offerings are perceived by customers and potential customers as discretionary, our revenue may be disproportionately affected by delays or reductions in general information technology spending. Also, customers may choose to develop in-house software as an alternative to using our offerings.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financial condition and results of operations could be adversely affected.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the variables that go into the calculation of our market opportunity are subject to change over time, and there is no guarantee that any particular number or percentage of addressable users or companies covered by our market opportunity estimates will purchase our offerings or generate any particular level of revenue for us. In addition, our ability to expand in any of our target markets depends on a number of factors, including the cost, performance, and perceived value associated with our platform and those of our competitors.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industry or financial analysts do not publish research or reports about our business, or if they issue inaccurate or unfavorable research regarding our common stock, the market price and trading volume of our common stock could decline.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trading market for our common stock is influenced by the research and reports that industry or financial analysts publish about us and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company, the market price of our common stock would likely decline. In addition, the share prices of many companies in the technology industry have declined significantly after those companies have failed to meet, or significantly exceed, the financial guidance they have publicly announced or the expectations of analysts and investors. If our financial results fail to meet, or significantly exceed, our announced guidance or the expectations of analysts or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the market price or trading volume of our common stock to decline.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22250"/>
                <wp:effectExtent l="0" t="0" r="0" b="0"/>
                <wp:wrapNone/>
                <wp:docPr id="83" name="Frame7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v:rect>
            </w:pict>
          </mc:Fallback>
        </mc:AlternateContent>
      </w:r>
    </w:p>
    <w:p>
      <w:pPr>
        <w:pStyle w:val="TextBody"/>
        <w:spacing w:before="120" w:after="180"/>
        <w:jc w:val="both"/>
        <w:rPr/>
      </w:pPr>
      <w:r>
        <w:rPr/>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disclosure controls and procedures may not prevent or detect all errors or acts of fraud.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Following the closing of this offering, we will be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included elsewhere in this prospectus,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22250"/>
                <wp:effectExtent l="0" t="0" r="0" b="0"/>
                <wp:wrapNone/>
                <wp:docPr id="84" name="Frame8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future capital expenditures and debt service obligations, are forward-looking statements. In some cases, you can identify forward-looking statements by terms such as “anticipate,” “believe,” “estimate,” “expect,” “intend,” “predict,” “project,” “may,” “can,” “will,” “would,” “could,” “should,” “plan,” “potential,” “continue,” the negatives thereof and other similar expressions.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Forward-looking statements are subject to known and unknown risks, uncertainties and other important factors (including those discussed elsewhere in this prospectus under “Risk Factors”) that may cause our actual results, performance or achievements to be materially different from any future results, performance or achievements expressed or implied by the forward-looking statements. Forward-looking statements contained in this prospectus include, but are not limited to, statements about: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manage our growth effectively, sustain our historical growth rate in the future or achieve or maintain profitability;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impact of the COVID-19 pandemic on our business, financial condition and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growth and expansion of the markets for our offerings and our ability to adapt and respond effectively to evolving market conditions;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future financial performance, including our expectations regarding our revenue, cost of revenue, gross margin, operating expenses, cash flow and deferred revenue;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estimates of, and future expectations regarding, our market opportunity;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keep pace with technological and competitive developments and develop or otherwise introduce new products and solutions and enhancements to our existing offerings;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the interoperability of our offerings across devices, operating systems and third-party applications and to maintain and expand our relationships with third-party technology partners;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effects of increased competition in our target markets and our ability to compete effectively;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attract and retain new customers and to expand within our existing customer base;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success of our sales and marketing operations, including our ability to realize efficiencies and reduce customer acquisition costs;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percentage of our remaining performance obligations that we expect to recognize as revenue;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meet the service-level commitments under our customer agreements and the effects on our business if we are unable to do so;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relationships with, and dependence on, various third-party service providers;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dependence on our management team and other key employees;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and enhance awareness of our brand;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offer high quality customer support;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22250"/>
                <wp:effectExtent l="0" t="0" r="0" b="0"/>
                <wp:wrapNone/>
                <wp:docPr id="85" name="Frame8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effectively develop and expand our marketing and sales capabilities;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the sales prices of our offerings and the effects of pricing fluctuations;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sustainability of, and fluctuations in, our gross margin;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risks related to our international operations and our ability to expand our international business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effects of currency exchange rate fluctuations on our results of operations;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challenges and risks related to our sales to government entities;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consummate acquisitions at our historical rate and at acceptable prices, to enter into other strategic transactions and relationships, and to manage the risks related to these transactions and arrangements;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protect our proprietary technology, or to obtain, maintain, protect and enforce sufficiently broad intellectual property rights therein;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the security and availability of our platform, products and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ability to comply with current and future government regulations to which we are subject or may become subject in the future;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changes in U.S. tax law, the stability of effective tax rates and adverse outcomes resulting from examination of our income or other tax returns;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risks related to political, economic and military conditions in Israel;</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effects of unfavorable conditions in our industry or the global economy or reductions in information technology spending;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factors that may affect the future trading prices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forward-looking statements contained in this prospectus are only predictions. We have based these forward-looking statements largely on our current expectations and projections about future events and financial trends that we believe may affect our business, financial condition and results of operations.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Moreover, we operate in an evolving environment. New risks and uncertainties may emerge from time to time, and it is not possible for management to predict all risks and uncertainties that may cause our actual results to differ materially from those projected in our forward-looking statements. These forward-looking statements speak only as of the date of this prospectus. Except as required by applicable law, we do not plan to publicly update or revise any forward-looking statements contained in this prospectus after we distribute this prospectus, whether as a result of any new information, future events, changed circumstances or otherwise.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22250"/>
                <wp:effectExtent l="0" t="0" r="0" b="0"/>
                <wp:wrapNone/>
                <wp:docPr id="86" name="Frame8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You should read this prospectus and the documents that we reference in this prospectus and have filed as exhibits to the registration statement of which this prospectus forms a part with the understanding that our actual future results of operations, levels of activity, performance and achievements may be materially different from what we expect. We qualify all of our forward-looking statements by reference to these cautionary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22250"/>
                <wp:effectExtent l="0" t="0" r="0" b="0"/>
                <wp:wrapNone/>
                <wp:docPr id="87" name="Frame8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USE OF PROCEEDS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estimate that we will receive net proceeds from the sale of the shares of our common stock in this offering of approximately $237.9 million, assuming an initial public offering price of $15.00 per share, which is the midpoint of the price range set forth on the cover page of this prospectus, after deducting estimated underwriting discounts and commissions and estimated offering expenses payable by us. If the underwriters’ option to purchase additional shares of our common stock is exercised in full, we estimate that our net proceeds will be approximately $287.1 million.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research and development, sales and marketing activities, general administrative matters, operating expenses and capital expenditures.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may also use a portion of the net proceeds from this offering to acquire or invest in businesses, products, services or technologies. However, we currently have no agreements or commitments for any material acquisitions or investments at this time.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the date of this prospectus, we cannot estimate with certainty the amount of net proceeds to be used for the purposes described above. We may find it necessary or advisable to use the net proceeds from this offering for other purposes, and we will have broad discretion in the application of such net proceeds. Pending the uses described above, we intend to invest the net proceeds of this offering in short-term, interest-bearing, investment-grade securities. We cannot predict whether the proceeds invested will yield a favorable return for 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$1.00 increase (decrease) in the assumed initial public offering price of $15.00 per share would increase (decrease) the net proceeds to us from this offering by approximately $16.2 million, assuming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by approximately $14.0 million, assuming the assumed initial public offering price stays the same, and after deducting the estimated underwriting discounts and commissions and estimated offering expenses payable by 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will not receive any proceeds from the sale of shares of our common stock by the selling stockholders in this offering. We will, however, bear certain costs, other than the underwriting discounts and commissions, associated with the sale of these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22250"/>
                <wp:effectExtent l="0" t="0" r="0" b="0"/>
                <wp:wrapNone/>
                <wp:docPr id="88" name="Frame8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DIVIDEND POLICY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to make payments on our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See “Management’s Discussion and Analysis of Financial Condition and Results of Operations—Liquidity and Capital Resources—Credit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Accordingly, you may need to sell your shares of common stock in order to realize a return on your investment, and you may not be able to sell your shares at or above the price you paid for them or at all. See “Risk Factors—Risks Related to this Offering and Ownership of Our Common Stock—We do not anticipate paying dividends on our common stock in the foreseeable future. As a result, your ability to achieve a return on your investment will depend on appreciation in the price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22250"/>
                <wp:effectExtent l="0" t="0" r="0" b="0"/>
                <wp:wrapNone/>
                <wp:docPr id="89" name="Frame8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CAPITALIZATION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cash and cash equivalents and capitalization as of December 31, 2020, as follows: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on an actual basis;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on a pro forma basis to give effect to (i) the Preferred Stock Conversion, (ii) the Warrant Exercises, (iii) our forgiveness of loans to certain of our directors and executive officers in connection with the public filing of the registration statement of which this prospectus forms a part, as described elsewhere in this prospectus under “Certain Relationships and Related Party Transactions—Director and Executive Officer Loans,” and (iv) the filing and effectiveness of our Post-IPO Certificate of Incorporation;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on a pro forma as adjusted basis to give further effect to (i) our issuance and sale of 17,400,000 shares of common stock in this offering at an assumed initial public offering price of $15.00 per share, which is the midpoint of the price range set forth on the cover page of this prospectus, after deducting the estimated underwriting discounts and commissions and estimated offering expenses payable by us, and (ii) our issuance of 132,030 shares of our common stock in connection with the Selling Stockholder Option Exercises and our receipt of $0.2 million in aggregate proceeds in connection therewith.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capitalization following the closing of this offering will be adjusted based on the actual initial public offering price and other terms of this offering determined at pricing. You should read this table in conjunction with the information contained in “Use of Proceeds,” “Selected Historical Consolidated Financial Data,” and “Management’s Discussion and Analysis of Financial Condition and Results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22250"/>
                <wp:effectExtent l="0" t="0" r="0" b="0"/>
                <wp:wrapNone/>
                <wp:docPr id="90" name="Frame8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v:rect>
            </w:pict>
          </mc:Fallback>
        </mc:AlternateContent>
      </w:r>
    </w:p>
    <w:p>
      <w:pPr>
        <w:pStyle w:val="TextBody"/>
        <w:spacing w:before="0" w:after="180"/>
        <w:ind w:left="0" w:right="0" w:firstLine="360"/>
        <w:jc w:val="both"/>
        <w:rPr/>
      </w:pPr>
      <w:r>
        <w:rPr/>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as well as the consolidated financial statements and the notes thereto included elsewhere in this prospectus.</w:t>
      </w:r>
    </w:p>
    <w:tbl>
      <w:tblPr>
        <w:tblW w:w="10205" w:type="dxa"/>
        <w:jc w:val="left"/>
        <w:tblInd w:w="0" w:type="dxa"/>
        <w:tblCellMar>
          <w:top w:w="28" w:type="dxa"/>
          <w:left w:w="28" w:type="dxa"/>
          <w:bottom w:w="28" w:type="dxa"/>
          <w:right w:w="28" w:type="dxa"/>
        </w:tblCellMar>
      </w:tblPr>
      <w:tblGrid>
        <w:gridCol w:w="2813"/>
        <w:gridCol w:w="1676"/>
        <w:gridCol w:w="1682"/>
        <w:gridCol w:w="211"/>
        <w:gridCol w:w="757"/>
        <w:gridCol w:w="109"/>
        <w:gridCol w:w="109"/>
        <w:gridCol w:w="109"/>
        <w:gridCol w:w="109"/>
        <w:gridCol w:w="211"/>
        <w:gridCol w:w="759"/>
        <w:gridCol w:w="109"/>
        <w:gridCol w:w="109"/>
        <w:gridCol w:w="109"/>
        <w:gridCol w:w="109"/>
        <w:gridCol w:w="211"/>
        <w:gridCol w:w="856"/>
        <w:gridCol w:w="157"/>
      </w:tblGrid>
      <w:tr>
        <w:trPr/>
        <w:tc>
          <w:tcPr>
            <w:tcW w:w="2813"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 2020</w:t>
            </w:r>
          </w:p>
        </w:tc>
      </w:tr>
      <w:tr>
        <w:trPr/>
        <w:tc>
          <w:tcPr>
            <w:tcW w:w="6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Actual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Pro Forma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Pro Forma</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As</w:t>
            </w:r>
          </w:p>
          <w:p>
            <w:pPr>
              <w:pStyle w:val="TableContents"/>
              <w:spacing w:lineRule="auto" w:line="240" w:before="0" w:after="0"/>
              <w:jc w:val="center"/>
              <w:rPr/>
            </w:pPr>
            <w:r>
              <w:rPr>
                <w:rFonts w:ascii="Helvetica;sans-serif" w:hAnsi="Helvetica;sans-serif"/>
                <w:b/>
                <w:color w:val="000000"/>
                <w:sz w:val="16"/>
              </w:rPr>
              <w:t>Adjusted</w:t>
            </w:r>
            <w:r>
              <w:rPr>
                <w:rFonts w:ascii="Helvetica;sans-serif" w:hAnsi="Helvetica;sans-serif"/>
                <w:b/>
                <w:color w:val="000000"/>
                <w:sz w:val="10"/>
              </w:rPr>
              <w:t>(1)</w:t>
            </w:r>
          </w:p>
        </w:tc>
      </w:tr>
      <w:tr>
        <w:trPr/>
        <w:tc>
          <w:tcPr>
            <w:tcW w:w="6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6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 amounts in thousands)</w:t>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Cash and cash equivalents</w:t>
            </w:r>
            <w:r>
              <w:rPr>
                <w:rFonts w:ascii="Helvetica;sans-serif" w:hAnsi="Helvetica;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265,868 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Debt (including current portion of long-term debt)</w:t>
            </w:r>
            <w:r>
              <w:rPr>
                <w:rFonts w:ascii="Helvetica;sans-serif" w:hAnsi="Helvetica;sans-serif"/>
                <w:b w:val="false"/>
                <w:color w:val="000000"/>
                <w:sz w:val="13"/>
              </w:rPr>
              <w:t>(3)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to purchase preferred and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Redeemable convertible preferred stock, par value $0.0001 per share; 15,968,831 shares authorized, 15,779,322 shares issued and outstanding, actual; no shares authorized, issued or outstanding, pro forma and pro forma as adjusted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158,191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Convertible preferred stock, par value $0.0001 per share; 1,043,778 shares authorized, issued and outstanding, actual; no shares authorized, issued or outstanding, pro forma and pro forma as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w:t>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(deficit) equity:</w:t>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par value $0.0001 per share; 157,500,000 shares authorized, 33,153,112 shares issued and 25,467,922 shares outstanding, actual; 1,000,000,000 shares authorized, 113,229,074 shares issued and 105,543,884 shares outstanding, pro forma; 1,000,000,000 shares authorized, 130,761,104 shares issued and 123,075,914 shares outstanding, pro forma as adjusted</w:t>
            </w:r>
          </w:p>
        </w:tc>
        <w:tc>
          <w:tcPr>
            <w:tcW w:w="10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Preferred stock, par value $0.0001 per share; no shares authorized, issued and outstanding, actual; 20,000,000 shares authorized, no shares issued and no shares outstanding, pro forma and pro forma as adjusted</w:t>
            </w:r>
          </w:p>
        </w:tc>
        <w:tc>
          <w:tcPr>
            <w:tcW w:w="10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w:t>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0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463,427 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0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(263,283)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(264,165)</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Treasury stock - 7,685,190 shares of common stock, par value $0.0001 per share</w:t>
            </w:r>
          </w:p>
        </w:tc>
        <w:tc>
          <w:tcPr>
            <w:tcW w:w="10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Receivables on account of stock</w:t>
            </w:r>
          </w:p>
        </w:tc>
        <w:tc>
          <w:tcPr>
            <w:tcW w:w="10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(deficit)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(260,656)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194,393 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capitalization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242,553 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(1)Each $1.00 increase (decrease) in the assumed initial public offering price of $15.00 per share, which is the midpoint of the price range set forth on the cover page of this prospectus, would increase (decrease) the pro forma as adjusted amount of each of cash and cash equivalents, additional paid-in capital, total stockholders’ equity and total capitalization by approximately $16.2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of $15.00 per share, which is the midpoint of the price range set forth on the cover page of this prospectus, would increase (decrease) the pro forma as adjusted amount of each of cash and cash equivalents, additional paid-in capital, total stockholders’ equity and total capitalization by approximately $14.0 million, assuming the shares of our common stock offered by this prospectus are sold at the assumed initial public offering price of $15.00 per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22250"/>
                <wp:effectExtent l="0" t="0" r="0" b="0"/>
                <wp:wrapNone/>
                <wp:docPr id="91" name="Frame8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v:rect>
            </w:pict>
          </mc:Fallback>
        </mc:AlternateConten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share, which is the midpoint of the price range set forth on the cover page of this prospectus, and after deducting the estimated underwriting discounts and commissions and estimated offering expenses payable by us.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(2)Does not reflect certain cash payments we will be required to make to Special Situations Investing Group II, LLC, an affiliate of Goldman Sachs &amp; Co. LLC, if the actual initial public offering price is less than or equal to the midpoint of the price range set forth on the cover page of this prospectus (or, conversely, cash payments Special Situations Investing Group II, LLC will be required to make to us if the actual initial public offering price is greater than such midpoint). See “Certain Relationships and Related Party Transactions--Transactions with Goldman Sachs &amp; Co. LLC and Affiliates.”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(3)Total debt as of December 31, 2020 consisted of borrowings under our Prior Credit Facilities, net of unamortized issuance costs of $0.2 million.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For a discussion of our long-term debt, see “Management’s Discussion and Analysis of Financial Condition and Results of Operations—Liquidity and Capital Resources.” Also see our consolidated financial statements and related notes thereto included elsewhere in this prospectus, which include all recorded liabilities.</w:t>
      </w:r>
    </w:p>
    <w:p>
      <w:pPr>
        <w:pStyle w:val="TextBody"/>
        <w:spacing w:before="0" w:after="180"/>
        <w:ind w:left="0" w:right="0" w:firstLine="360"/>
        <w:jc w:val="both"/>
        <w:rPr/>
      </w:pPr>
      <w:r>
        <w:rPr/>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number of shares in the table above does not include: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31,849,374 shares of our common stock issuable upon the exercise of options outstanding as of December 31, 2020, at a weighted-average exercise price of $3.87 per share, of which 13,554,754 options were vested (excluding, in each case, the 132,030 shares of common stock to be issued in connection with the Selling Stockholder Option Exercises);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up to 613,255 shares of our common stock issuable upon the exercise of the Newrow Warrant;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24,610 additional shares of our common stock reserved for issuances under our Prior Plans as of December 31, 2020; and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8,500,000 shares of our common stock reserved for future issuance under our 2021 Plan, which will become effective upon the effectiveness of the registration statement of which this prospectus forms a part, as well as any automatic increases in the number of shares of our common stock reserved for future issuance under our 2021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22250"/>
                <wp:effectExtent l="0" t="0" r="0" b="0"/>
                <wp:wrapNone/>
                <wp:docPr id="92" name="Frame8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DILUTION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our historical net tangible book value was $(274.6) million, or $(10.78) per share of our common stock. Net tangible book value per share represents the book value of our total tangible assets less the book value of our total liabilities, convertible preferred stock and redeemable convertible preferred stock, divided by the number of shares of our common stock outstanding as of December 31,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pro forma net tangible book value as of December 31, 2020 was $(57.7) million, $(0.55) per share of our common stock. Pro forma net tangible book value per share represents our net tangible book value divided by the number of shares of our common stock outstanding as of December 31, 2020, after giving effect to the Preferred Stock Conversion and the Warrant Exercises.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After giving further effect to (i) our sale of 17,400,000 shares of our common stock in this offering at an assumed initial public offering price of $15.00 per share, which is the midpoint of the price range set forth on the cover page of this prospectus, and after deducting the estimated underwriting discounts and commissions and estimated offering expenses payable by us, and (ii) our issuance of 132,030 shares of our common stock in connection with the Selling Stockholder Option Exercises and our receipt of $0.2 million in aggregate proceeds in connection therewith, our pro forma as adjusted net tangible book value as of December 31, 2020 would have been approximately $180.5 million, or approximately $1.47 per share. This amount represents an immediate increase in pro forma net tangible book value of $2.02 per share to our existing stockholders and an immediate dilution in pro forma net tangible book value of approximately $13.53 per share to new investors purchasing shares of our common stock in this offering. We determine dilution by subtracting our pro forma as adjusted net tangible book value per share after this offering from the amount of cash per common share paid by new investors in this offering.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illustrates this dilution:</w:t>
      </w:r>
    </w:p>
    <w:tbl>
      <w:tblPr>
        <w:tblW w:w="10205" w:type="dxa"/>
        <w:jc w:val="left"/>
        <w:tblInd w:w="0" w:type="dxa"/>
        <w:tblCellMar>
          <w:top w:w="28" w:type="dxa"/>
          <w:left w:w="28" w:type="dxa"/>
          <w:bottom w:w="28" w:type="dxa"/>
          <w:right w:w="28" w:type="dxa"/>
        </w:tblCellMar>
      </w:tblPr>
      <w:tblGrid>
        <w:gridCol w:w="2871"/>
        <w:gridCol w:w="2482"/>
        <w:gridCol w:w="2500"/>
        <w:gridCol w:w="211"/>
        <w:gridCol w:w="692"/>
        <w:gridCol w:w="109"/>
        <w:gridCol w:w="109"/>
        <w:gridCol w:w="109"/>
        <w:gridCol w:w="109"/>
        <w:gridCol w:w="211"/>
        <w:gridCol w:w="646"/>
        <w:gridCol w:w="156"/>
      </w:tblGrid>
      <w:tr>
        <w:trPr/>
        <w:tc>
          <w:tcPr>
            <w:tcW w:w="2871"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 initial public offering price per share</w:t>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Historical net tangible book value per share as of December 31, 2020</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pro forma net tangible book value per share</w:t>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 forma net tangible book value per share as of December 31, 2020</w:t>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pro forma net tangible book value per share attributable to new investors participating in this offering</w:t>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 forma as adjusted net tangible book value per share after this offering</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Dilution per share to new investors in this offering</w:t>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$1.00 increase (decrease) in the assumed initial public offering price of $15.00 per share, which is the midpoint of the price range set forth on the cover page of this prospectus, would increase (decrease) the pro forma as adjusted net tangible book value per share after this offering by approximately $0.14, and dilution per share to new investors by approximately $0.86,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our pro forma as adjusted net tangible book value per share after this offering by approximately $0.10 per share and decrease (increase) the dilution to new investors by approximately $0.10 per share, assuming the assumed initial public offering price remains the same, and after deducting the estimated underwriting discounts and commissions and the estimated offering expenses payable by us.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22250"/>
                <wp:effectExtent l="0" t="0" r="0" b="0"/>
                <wp:wrapNone/>
                <wp:docPr id="93" name="Frame8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the underwriters’ option to purchase additional shares of our common stock is exercised in full, our pro forma as adjusted net tangible book value per share after this offering would be $1.81, the increase in pro forma net tangible book value per share attributable to new investors would be $2.36 and the dilution per share to new investors would be $13.19, in each case assuming an initial public offering price of $15.00 per share, which is the midpoint of the price range set forth on the cover page of this prospectus.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on the pro forma as adjusted basis described above, as of December 31, 2020, the differences between the number of shares purchased from us, the total consideration paid to us in cash and the average price per share that existing stockholders and new investors paid. The calculation below is based on an assumed initial public offering price of $15.00 per share, which is the midpoint of the price range set forth on the cover page of this prospectus, before deducting the estimated underwriting discounts and commissions and estimated offering expenses payable by us.</w:t>
      </w:r>
    </w:p>
    <w:tbl>
      <w:tblPr>
        <w:tblW w:w="8906" w:type="dxa"/>
        <w:jc w:val="left"/>
        <w:tblInd w:w="0" w:type="dxa"/>
        <w:tblCellMar>
          <w:top w:w="28" w:type="dxa"/>
          <w:left w:w="28" w:type="dxa"/>
          <w:bottom w:w="28" w:type="dxa"/>
          <w:right w:w="28" w:type="dxa"/>
        </w:tblCellMar>
      </w:tblPr>
      <w:tblGrid>
        <w:gridCol w:w="723"/>
        <w:gridCol w:w="635"/>
        <w:gridCol w:w="637"/>
        <w:gridCol w:w="525"/>
        <w:gridCol w:w="526"/>
        <w:gridCol w:w="246"/>
        <w:gridCol w:w="147"/>
        <w:gridCol w:w="147"/>
        <w:gridCol w:w="147"/>
        <w:gridCol w:w="210"/>
        <w:gridCol w:w="211"/>
        <w:gridCol w:w="382"/>
        <w:gridCol w:w="109"/>
        <w:gridCol w:w="109"/>
        <w:gridCol w:w="109"/>
        <w:gridCol w:w="196"/>
        <w:gridCol w:w="1051"/>
        <w:gridCol w:w="109"/>
        <w:gridCol w:w="109"/>
        <w:gridCol w:w="109"/>
        <w:gridCol w:w="109"/>
        <w:gridCol w:w="210"/>
        <w:gridCol w:w="211"/>
        <w:gridCol w:w="382"/>
        <w:gridCol w:w="109"/>
        <w:gridCol w:w="109"/>
        <w:gridCol w:w="109"/>
        <w:gridCol w:w="360"/>
        <w:gridCol w:w="360"/>
        <w:gridCol w:w="510"/>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br/>
              <w:t>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Average Price</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 Share</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Existing stockholders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105,675,914 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85.9 %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$133,294,183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$1.26</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investors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17,400,000 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$15.00</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2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123,075,914</w:t>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$394,294,183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dilution information discussed above is illustrative only and will change based on the actual initial public offering price, the number of shares we sell and other terms of this offering that will be determined at pricing. Each $1.00 increase (decrease) in the assumed initial public offering price of $15.00 per share, which is the midpoint of the price range set forth on the cover page of this prospectus, would increase (decrease) the total consideration paid by new investors and the average price per share paid by new investors by $17.4 million and $1.00 per share, respectively. An increase (decrease) of 1.0 million shares in the number of shares offered by us would increase (decrease) the consideration paid by new investors by $15.0 million.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the underwriters exercise their option to purchase additional shares of our common stock in full:</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percentage of shares of common stock held by existing stockholders will decrease to approximately 83.5% of the total number of shares of our common stock outstanding after this offering;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number of shares held by new investors will increase to 20,925,000, or approximately 16.5% of the total number of shares of our common stock outstanding after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foregoing tables and calculations are based on the number of shares of our common stock outstanding as of December 31, 2020, after giving effect to the Preferred Stock Conversion and the Warrant Exercises, as well as our issuance of 132,030 shares of our common stock in connection with the Selling Stockholder Option Exercises, and exclude: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31,849,374 shares of our common stock issuable upon the exercise of options outstanding as of December 31, 2020, at a weighted-average exercise price of $3.87 per share, of which 13,554,754 options were vested (excluding, in each case, the 132,030 shares of common stock to be issued in connection with the Selling Stockholder Option Exercises);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up to 613,255 shares of our common stock issuable upon the exercise of the Newrow Warrant;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24,610 additional shares of our common stock reserved for issuances under our Prior Plans as of December 31, 2020;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8,500,000 shares of our common stock reserved for future issuance under our 2021 Plan, which will become effective upon the effectiveness of the registration statement of which this prospectus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22250"/>
                <wp:effectExtent l="0" t="0" r="0" b="0"/>
                <wp:wrapNone/>
                <wp:docPr id="94" name="Frame9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v:rect>
            </w:pict>
          </mc:Fallback>
        </mc:AlternateContent>
      </w:r>
    </w:p>
    <w:p>
      <w:pPr>
        <w:pStyle w:val="TextBody"/>
        <w:spacing w:before="0" w:after="180"/>
        <w:ind w:left="0" w:right="0" w:firstLine="360"/>
        <w:jc w:val="both"/>
        <w:rPr/>
      </w:pPr>
      <w:r>
        <w:rPr/>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forms a part, as well as any automatic increases in the number of shares of our common stock reserved for future issuance under our 2021 Plan.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the extent any of the outstanding options or warrants described above are exercised, new options are issued or we issue additional shares of common stock or other equity or convertible debt securities in the future, there will be further dilution to investors participating in this offering. If all of the outstanding options or warrants described above had been exercised as of December 31, 2020, the pro forma as adjusted net tangible book value per share after this offering would be $2.23, and total dilution per share to new investors would be $12.77.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22250"/>
                <wp:effectExtent l="0" t="0" r="0" b="0"/>
                <wp:wrapNone/>
                <wp:docPr id="95" name="Frame9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SELECTED HISTORICAL CONSOLIDATED FINANCIAL DATA</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Set forth below are our selected historical consolidated financial data for the periods ending on and as of the dates indicated.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consolidated statements of operations data for the years ended December 31, 2019 and 2020, and the consolidated balance sheet data as of December 31, 2019 and 2020 were derived from our audited consolidated financial statements included elsewhere in this prospectus.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historical results are not necessarily indicative of future results of operations. The selected historical consolidated financial data set forth below should be read in conjunction with “Management’s Discussion and Analysis of Financial Condition and Results of Operations” and our historical consolidated financial statements and the notes thereto, included elsewhere in this prospectus.</w:t>
      </w:r>
    </w:p>
    <w:tbl>
      <w:tblPr>
        <w:tblW w:w="10205" w:type="dxa"/>
        <w:jc w:val="left"/>
        <w:tblInd w:w="0" w:type="dxa"/>
        <w:tblCellMar>
          <w:top w:w="28" w:type="dxa"/>
          <w:left w:w="28" w:type="dxa"/>
          <w:bottom w:w="28" w:type="dxa"/>
          <w:right w:w="28" w:type="dxa"/>
        </w:tblCellMar>
      </w:tblPr>
      <w:tblGrid>
        <w:gridCol w:w="2258"/>
        <w:gridCol w:w="1984"/>
        <w:gridCol w:w="1995"/>
        <w:gridCol w:w="327"/>
        <w:gridCol w:w="1061"/>
        <w:gridCol w:w="152"/>
        <w:gridCol w:w="152"/>
        <w:gridCol w:w="152"/>
        <w:gridCol w:w="152"/>
        <w:gridCol w:w="327"/>
        <w:gridCol w:w="1208"/>
        <w:gridCol w:w="437"/>
      </w:tblGrid>
      <w:tr>
        <w:trPr/>
        <w:tc>
          <w:tcPr>
            <w:tcW w:w="2258"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6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r>
      <w:tr>
        <w:trPr/>
        <w:tc>
          <w:tcPr>
            <w:tcW w:w="6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6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 amounts in thousands except per share data)</w:t>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Statements of Operations Data:</w:t>
            </w:r>
          </w:p>
        </w:tc>
        <w:tc>
          <w:tcPr>
            <w:tcW w:w="1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1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84,725 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104,064 </w:t>
            </w:r>
          </w:p>
        </w:tc>
        <w:tc>
          <w:tcPr>
            <w:tcW w:w="437"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12,624 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16,376 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revenues:</w:t>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18,669 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28,486 </w:t>
            </w:r>
          </w:p>
        </w:tc>
        <w:tc>
          <w:tcPr>
            <w:tcW w:w="437"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16,949 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19,179 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revenues</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35,618 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47,665 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72,775 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and marketing</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25,515 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14,779 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22,222 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64,510 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81,264 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(income), net</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taxes on income</w:t>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55,210 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Weighted average shares of common stock used to compute 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22,754,499 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24,939,901 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Pro forma 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1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Weighted average shares of common stock used to compute pro forma net loss per share</w:t>
            </w:r>
            <w:r>
              <w:rPr>
                <w:rFonts w:ascii="Helvetica;sans-serif" w:hAnsi="Helvetica;sans-serif"/>
                <w:b w:val="false"/>
                <w:color w:val="000000"/>
                <w:sz w:val="13"/>
              </w:rPr>
              <w:t>(2)</w:t>
            </w:r>
            <w:r>
              <w:rPr>
                <w:rFonts w:ascii="Helvetica;sans-serif" w:hAnsi="Helvetica;sans-serif"/>
                <w:b w:val="false"/>
                <w:color w:val="000000"/>
                <w:sz w:val="20"/>
              </w:rPr>
              <w:t>:</w:t>
            </w:r>
          </w:p>
        </w:tc>
        <w:tc>
          <w:tcPr>
            <w:tcW w:w="1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and diluted</w:t>
            </w:r>
          </w:p>
        </w:tc>
        <w:tc>
          <w:tcPr>
            <w:tcW w:w="1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105,015,863 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both"/>
        <w:rPr/>
      </w:pPr>
      <w:r>
        <w:br w:type="page"/>
      </w: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22250"/>
                <wp:effectExtent l="0" t="0" r="0" b="0"/>
                <wp:wrapNone/>
                <wp:docPr id="96" name="Frame9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v:rect>
            </w:pict>
          </mc:Fallback>
        </mc:AlternateContent>
      </w:r>
    </w:p>
    <w:p>
      <w:pPr>
        <w:pStyle w:val="TextBody"/>
        <w:spacing w:before="0" w:after="180"/>
        <w:ind w:left="0" w:right="0" w:firstLine="360"/>
        <w:jc w:val="both"/>
        <w:rPr/>
      </w:pPr>
      <w:r>
        <w:rPr/>
      </w:r>
    </w:p>
    <w:tbl>
      <w:tblPr>
        <w:tblW w:w="7779" w:type="dxa"/>
        <w:jc w:val="left"/>
        <w:tblInd w:w="0" w:type="dxa"/>
        <w:tblCellMar>
          <w:top w:w="28" w:type="dxa"/>
          <w:left w:w="28" w:type="dxa"/>
          <w:bottom w:w="28" w:type="dxa"/>
          <w:right w:w="28" w:type="dxa"/>
        </w:tblCellMar>
      </w:tblPr>
      <w:tblGrid>
        <w:gridCol w:w="1786"/>
        <w:gridCol w:w="1571"/>
        <w:gridCol w:w="1578"/>
        <w:gridCol w:w="211"/>
        <w:gridCol w:w="916"/>
        <w:gridCol w:w="109"/>
        <w:gridCol w:w="109"/>
        <w:gridCol w:w="109"/>
        <w:gridCol w:w="109"/>
        <w:gridCol w:w="211"/>
        <w:gridCol w:w="916"/>
        <w:gridCol w:w="154"/>
      </w:tblGrid>
      <w:tr>
        <w:trPr/>
        <w:tc>
          <w:tcPr>
            <w:tcW w:w="1786"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Balance Sheet Data:</w:t>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Total debt (including current portion of long-term debt)</w:t>
            </w:r>
            <w:r>
              <w:rPr>
                <w:rFonts w:ascii="Helvetica;sans-serif" w:hAnsi="Helvetica;sans-serif"/>
                <w:b w:val="false"/>
                <w:color w:val="000000"/>
                <w:sz w:val="13"/>
              </w:rPr>
              <w:t>(3)</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to purchase preferred and common stock</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preferred stock</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Redeemable convertible preferred stock</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deficit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(210,281)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(260,656)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(2)See Note 17 to our consolidated financial statements included elsewhere in this prospectus for an explanation of the method used to calculate our historical and pro forma basic and diluted net loss per share.</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(3)Total debt as of December 31, 2019 consisted of borrowings under our Prior Credit Facilities, net of unamortized issuance costs of $0.3 million. Total debt as of December 31, 2020 consisted of borrowings under our Prior Credit Facilities, net of unamortized issuance costs of $0.2 million.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See “Management’s Discussion and Analysis of Financial Condition and Results of Operations—Liquidity and Capital Resources—Credit Facilities.” Also see our audited consolidated financial statements included elsewhere in this prospectus, which include all recorded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22250"/>
                <wp:effectExtent l="0" t="0" r="0" b="0"/>
                <wp:wrapNone/>
                <wp:docPr id="97" name="Frame9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MANAGEMENT’S DISCUSSION AND ANALYSIS OF FINANCIAL CONDITION AND RESULTS OF OPERATIONS</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following discussion and analysis of our financial condition and results of operations should be read together with “Selected Historical Consolidated Financial Data” and our audited consolidated financial statements and related notes included elsewhere in the prospectus. This discussion includes forward-looking statements that involve risks, uncertainties, and assumptions that could cause actual results to differ materially from management’s expectations. Please see “Cautionary Note Regarding Forward-Looking Statements” for a discussion of the risks, uncertainties and assumptions relating to our forward-looking statements, as well as the information set forth under “Risk Factors.”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Overview</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mission is to power any video experience, for any organization. Our Video Experience Cloud offers live, real-time,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business was founded in 2006. We launched our Media Services and Video Content Management System in 2008 and initially offered it as an Online Video Platform for online publishers and media companies. Since then, we have capitalized on our flexible and extendable platform architecture to expand into new products, industry solutions, and use cases: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2009: Brought to market our LMS Video solution and began selling to educational institutions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2011: Released our Video Portal product and started selling to enterprises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2013: Expanded into live video with the launch of our Town Halls product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2014: Launched our TV Content Management System for media and telecom companies, following the acquisition of Tvinci Ltd., a leading provider of an OTT TV platform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2017: Launched our Lecture Capture solution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2018: Launched our Video Messaging product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2018: Acquired certain of the assets of Rapt Media, Inc., an interactive personalized video startup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2020: Added real time conferencing capabilities to our Media Services following the acquisition of Newrow, Inc., a video conferencing and collaboration platform</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2020: Released our Webinars, Virtual Events and Meetings products, as well as our Virtual Classroom and TV Solutions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generate revenue primarily through the sale of SaaS and PaaS subscriptions, and additional revenue from term license subscriptions. We also generate revenue through the sale of professional services associated with the implementation of deployments for new and existing customers.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22250"/>
                <wp:effectExtent l="0" t="0" r="0" b="0"/>
                <wp:wrapNone/>
                <wp:docPr id="98" name="Frame9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organize our business into two reporting segments: (i) Enterprise, Education, and Technology (“EE&amp;T”); and (ii) Media and Telecom (“M&amp;T”). These segments share a common underlying platform consisting of our API-based architecture, as well as unified product development, operations, and administrative resources.</w:t>
      </w:r>
    </w:p>
    <w:p>
      <w:pPr>
        <w:pStyle w:val="TextBody"/>
        <w:spacing w:lineRule="auto" w:line="288" w:before="120" w:after="180"/>
        <w:ind w:left="0" w:right="0" w:hanging="360"/>
        <w:jc w:val="both"/>
        <w:rPr/>
      </w:pPr>
      <w:r>
        <w:rPr>
          <w:color w:val="000000"/>
        </w:rPr>
        <w:t>•</w:t>
      </w:r>
      <w:r>
        <w:rPr>
          <w:rFonts w:ascii="Helvetica;sans-serif" w:hAnsi="Helvetica;sans-serif"/>
          <w:b/>
          <w:color w:val="000000"/>
          <w:sz w:val="20"/>
        </w:rPr>
        <w:t>Enterprise, Education &amp; Technology</w:t>
      </w:r>
      <w:r>
        <w:rPr>
          <w:rFonts w:ascii="Helvetica;sans-serif" w:hAnsi="Helvetica;sans-serif"/>
          <w:b w:val="false"/>
          <w:color w:val="000000"/>
          <w:sz w:val="20"/>
        </w:rPr>
        <w:t xml:space="preserve">: Includes revenues from all of our products, industry solutions for education customers, and Media Services (except for media and telecom customers), as well as associated professional services for those offerings. These solutions are generally sold through our EE&amp;T sales teams. Subscription revenues are primarily generated on a per full-time equivalent basis for on-demand and live products and solutions, per host basis for real-time-conferencing products and solutions, and per participant basis for the Virtual Events product (which intersects on-demand, live, and real-time-conferencing video). Contracts are generally 12 to 24 months in length. Billing is primarily done on an annual basis. The average time it takes to implement EE&amp;T offerings ranges from three to six months. </w:t>
      </w:r>
    </w:p>
    <w:p>
      <w:pPr>
        <w:pStyle w:val="TextBody"/>
        <w:spacing w:lineRule="auto" w:line="288" w:before="120" w:after="180"/>
        <w:ind w:left="0" w:right="0" w:hanging="360"/>
        <w:jc w:val="both"/>
        <w:rPr/>
      </w:pPr>
      <w:r>
        <w:rPr>
          <w:color w:val="000000"/>
        </w:rPr>
        <w:t>•</w:t>
      </w:r>
      <w:r>
        <w:rPr>
          <w:rFonts w:ascii="Helvetica;sans-serif" w:hAnsi="Helvetica;sans-serif"/>
          <w:b/>
          <w:color w:val="000000"/>
          <w:sz w:val="20"/>
        </w:rPr>
        <w:t>Media &amp; Telecom</w:t>
      </w:r>
      <w:r>
        <w:rPr>
          <w:rFonts w:ascii="Helvetica;sans-serif" w:hAnsi="Helvetica;sans-serif"/>
          <w:b w:val="false"/>
          <w:color w:val="000000"/>
          <w:sz w:val="20"/>
        </w:rPr>
        <w:t>: Includes revenues from our TV Solution and Media Services for media and telecom customers, as well as associated professional services for those offerings. These offerings are generally sold through our media and telecom sales team. Revenues are generated on a per end-subscriber basis for telecom customers, and on a per video play basis for media customers. Contracts are generally two to five years in length. Billing is generally done on a quarterly or annual basis. It generally takes from nine to 12 months to implement M&amp;T offerings. The upfront resources required for implementation of our Media &amp; Telecom solutions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Reflected below is a summary of reportable segment revenue and reportable segment gross profit for the years ended December 31, 2019 and 2020.</w:t>
      </w:r>
    </w:p>
    <w:tbl>
      <w:tblPr>
        <w:tblW w:w="6024" w:type="dxa"/>
        <w:jc w:val="left"/>
        <w:tblInd w:w="0" w:type="dxa"/>
        <w:tblCellMar>
          <w:top w:w="28" w:type="dxa"/>
          <w:left w:w="28" w:type="dxa"/>
          <w:bottom w:w="28" w:type="dxa"/>
          <w:right w:w="28" w:type="dxa"/>
        </w:tblCellMar>
      </w:tblPr>
      <w:tblGrid>
        <w:gridCol w:w="1178"/>
        <w:gridCol w:w="1035"/>
        <w:gridCol w:w="1042"/>
        <w:gridCol w:w="223"/>
        <w:gridCol w:w="795"/>
        <w:gridCol w:w="114"/>
        <w:gridCol w:w="114"/>
        <w:gridCol w:w="114"/>
        <w:gridCol w:w="114"/>
        <w:gridCol w:w="223"/>
        <w:gridCol w:w="906"/>
        <w:gridCol w:w="166"/>
      </w:tblGrid>
      <w:tr>
        <w:trPr/>
        <w:tc>
          <w:tcPr>
            <w:tcW w:w="1178"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 the Year Ended December 31,</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Enterprise, Education &amp; Technology</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64,839 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80,449 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Media &amp; Telecom</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32,510 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Enterprise, Education &amp; Technology</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50,273 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58,539 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Media &amp; Telecom</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11,458 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14,236 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Gross Profit</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72,775 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before="0" w:after="180"/>
        <w:ind w:left="0" w:right="0" w:firstLine="360"/>
        <w:jc w:val="both"/>
        <w:rPr/>
      </w:pPr>
      <w:r>
        <w:rPr/>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22250"/>
                <wp:effectExtent l="0" t="0" r="0" b="0"/>
                <wp:wrapNone/>
                <wp:docPr id="99" name="Frame9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benefit from a land and expand strategy in which our customers increase their usage of our offerings and/or purchase additional offerings over time. Our ability to expand within our existing customer base is demonstrated by our Net Dollar Retention Rate. For the year ended December 31, 2020, our Net Dollar Retention Rate was 107%. We also grew our average ARR per customer by 21% in 2019 and by 12% in 2020, demonstrating our ability to land new customers with higher spending levels and increase revenue from our existing customers.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any given year, a large majority of our revenue comes from existing customers, with whom we are in active dialogue and tend to have visibility into their expected usage of our offerings. For the year ended December 31, 2020, 81% of our revenue came from customers who were with us as of December 31, 2018.</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focus our selling efforts on large organizations and sell our solutions primarily through direct sales teams and account teams. We currently have four direct sales teams, grouped by offering type and target customers, and we leverage reseller relationships globally to help market and sell our products to customers worldwide, especially in areas in which we have a limited presence. We are investing in initiatives to more efficiently reach new customers and expand our partnerships with existing ones. For example, we recently launched the option to purchase our Webinars, Meetings and Virtual Classroom offerings directly from our website, allowing us to reduce our cost of customer acquisition, drive additional opportunities to our direct sales team, reach smaller customers, and broaden our target market.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business benefits from attractive unit economics. For the years ended December 31, 2018, 2019 and 2020, the lifetime value of our customers exceeded five, seven and eleven times the associated cost of acquiring them, respectively. For any given period, we define lifetime value of our customers as annualized recurring revenue new bookings (ARR (as defined below) from both new customers from the beginning of the given period and upsells to existing customers), multiplied by the gross margin on our recurring revenue, divided by percent gross churn (the percentage of existing subscription revenue that was either downgraded or cancelled in a given period). To calculate customer acquisition unit costs, we divide our selling and marketing expense with a one quarter lag to the calculation period by the gross profit generated from recurring revenue new bookings for the calculation period. Moreover, while our EE&amp;T and M&amp;T segments have different gross margin profiles, we believe their unit economics are similar.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Restatement of Consolidated Financial Statements</w:t>
      </w:r>
    </w:p>
    <w:p>
      <w:pPr>
        <w:pStyle w:val="TextBody"/>
        <w:spacing w:lineRule="auto" w:line="288" w:before="0" w:after="180"/>
        <w:ind w:left="0" w:right="0" w:firstLine="360"/>
        <w:jc w:val="both"/>
        <w:rPr/>
      </w:pPr>
      <w:r>
        <w:rPr>
          <w:rFonts w:ascii="Helvetica;sans-serif" w:hAnsi="Helvetica;sans-serif"/>
          <w:b w:val="false"/>
          <w:color w:val="000000"/>
          <w:sz w:val="20"/>
        </w:rPr>
        <w:t xml:space="preserve">We have restated our previously issued consolidated financial statements as of and for the year ended December 31, 2020. The determination to restate these financial statements was made by our management after its re-evaluation of the </w:t>
      </w:r>
      <w:r>
        <w:rPr>
          <w:rFonts w:ascii="Helvetica;sans-serif" w:hAnsi="Helvetica;sans-serif"/>
          <w:b w:val="false"/>
          <w:color w:val="000000"/>
          <w:sz w:val="20"/>
          <w:highlight w:val="white"/>
        </w:rPr>
        <w:t>December 2020 estimate of the fair value of our common stock. See Note 20 to our consolidated financial statements included elsewhere in this prospectus.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Impact of COVID-19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December 2019, an outbreak of the COVID-19 disease was first identified and began to spread across the globe. In March 2020, the World Health Organization declared COVID-19 a pandemic, impacting many countries around the world, including where our end users and customers are located and the United States, Israel, United Kingdom, and Singapore where we have larger business operations. As a result of the COVID-19 pandemic, government authorities around the world have ordered schools and businesses to close, imposed restrictions on non-essential activities and required people to remain at home while instilling significant limitations on traveling and social gatherings.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response to the pandemic, in the first quarter of 2020, we temporarily closed all of our offices, enabled our entire work force to work remotely and implemented travel restrictions for non-essential business. In the second quarter of 2020 we reopened select offices, however most of our employees continued to work remotely, a majority of whom continue to do so as of the date of this prospectus. The changes we have implemented to date have not materially affected and are not expected to materially affect our ability to operate our business, including our financial reporting systems.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22250"/>
                <wp:effectExtent l="0" t="0" r="0" b="0"/>
                <wp:wrapNone/>
                <wp:docPr id="100" name="Frame9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experienced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60% from 63% in 2019. We are still in the process of scaling our network infrastructure and anticipate incurring additional costs in 2021 related thereto, which will negatively impact our gross margins.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Prior to the pandemic, the market demand for our solutions was growing at a robust rate, with numerous tailwinds for long-term growth, and that demand accelerated as a result of the pandemic. We believe that new and potential customers will continue to increase their use of video solutions across existing use cases such as remote working, teaching, marketing, and customer care, as well as nascent but growing use cases such as tele-services.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the potential economic impact brought by, and the duration of, any pandemic, epidemic or outbreak of an infectious disease, including COVID-19, is difficult to assess or predict, the widespread COVID-19 pandemic has resulted in, and may continue to result in, significant disruption of global financial markets, reducing our ability to access capital, which could in the future negatively affect our liquidity.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additional information, see “Risk Factors—Risks Related to Our Business and Industry—The ongoing COVID-19 pandemic could adversely affect our business, financial condition and results of operations.”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Key Factors Affecting Our Performance</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Expansion of our Platform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our platform is ideally suited for expansion across solutions, industries, and use cases. We have demonstrated this over time with the expansion of our platform across products, industry solutions, and use cases. For example, in 2020, we entered the real-time conferencing market with the 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 Additionally, we will continue to invest in new video products for training, communication and collaboration, sales, marketing and customer care, as we extend our platform into more industries. Following the success of our media &amp; telecom and education applications, we intend to launch applications for industries such as telehealth, retail, government and smart cities, among others. We also intend to enhance our Media Services offerings with additional core capabilities and invest in areas such as content creation, personalization and interactivity, content aggregation and syndication, AI and smart monetization. We also intend to add these capabilities into our existing and new products and industry solutions. Our results of operations may reflect sustained high levels of investments to drive increased customer adoption and usage.</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Acquiring New Customers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focused on continuing to grow the number of customers that use our solutions. While over the last several years we have not materially increased our sales and marketing spend or number of direct sales representatives, we plan to increase our investment in sales and marketing in order to grow our customer base going forward. We intend to grow our base of field sales representatives and customer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22250"/>
                <wp:effectExtent l="0" t="0" r="0" b="0"/>
                <wp:wrapNone/>
                <wp:docPr id="101" name="Frame9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success managers, which we believe will drive both geographic and vertical expansion. Additionally, we are investing for the first time in inside sales and self-serve offerings and distribution channels. We believe this will enable us to efficiently acquire smaller customers across all industries – beyond enterprises into SMBs, beyond universities into K-12 schools, beyond tier 1 media and telecom companies to tier 2 and 3 media and telecom companies, and beyond providing Media Services to large technology companies to also addressing smaller technology firms and startups.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Increasing Revenue from Existing Customers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we have the opportunity to increase sales within our existing customer base through increased usage of our platform and the cross-selling of additional products and solutions. For the years ended December 31, 2019 and 2020, our Net Dollar Retention Rate was 105% and 107%, respectively, demonstrating our ability to expand within our existing customer base. In order for us to continue to increase revenue within our customer base, we will need to maintain engineering-level customer support and continue to introduce new products and features as well as innovative new use cases that are tailored to our customers’ needs.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Continued Investment in Growth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have invested significantly in our business to date, we believe that we still have a significant market opportunity ahead of us. We intend to continue to make investments to support the growth and expansion of our business, to increase revenue, and to further scale our operations. We believe there is a significant opportunity to continue our growth. We plan to open offices internationally, hire sales and marketing employees in additional countries, and expand our presence in countries where we already operate. We expect to incur additional expenses as we expand to support this growth. Further, we expect to incur additional general and administrative expenses in connection with our transition to being a public company. We expect that our cost of revenue and operating expenses will fluctuate over time.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 </w:t>
      </w:r>
    </w:p>
    <w:tbl>
      <w:tblPr>
        <w:tblW w:w="6318" w:type="dxa"/>
        <w:jc w:val="left"/>
        <w:tblInd w:w="0" w:type="dxa"/>
        <w:tblCellMar>
          <w:top w:w="28" w:type="dxa"/>
          <w:left w:w="28" w:type="dxa"/>
          <w:bottom w:w="28" w:type="dxa"/>
          <w:right w:w="28" w:type="dxa"/>
        </w:tblCellMar>
      </w:tblPr>
      <w:tblGrid>
        <w:gridCol w:w="1172"/>
        <w:gridCol w:w="1031"/>
        <w:gridCol w:w="1037"/>
        <w:gridCol w:w="211"/>
        <w:gridCol w:w="856"/>
        <w:gridCol w:w="286"/>
        <w:gridCol w:w="109"/>
        <w:gridCol w:w="109"/>
        <w:gridCol w:w="109"/>
        <w:gridCol w:w="211"/>
        <w:gridCol w:w="856"/>
        <w:gridCol w:w="331"/>
      </w:tblGrid>
      <w:tr>
        <w:trPr/>
        <w:tc>
          <w:tcPr>
            <w:tcW w:w="1172"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 the Year Ended December 31,</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 amounts in thousands)</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Annualized Recurring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91,135 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116,643 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Dollar Retention Rate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Remaining Performance Obligations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114,882 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140,955 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Annualized Recurring Revenue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Annualized Recurring Revenue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 Recurring revenue excludes revenue from one-time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22250"/>
                <wp:effectExtent l="0" t="0" r="0" b="0"/>
                <wp:wrapNone/>
                <wp:docPr id="102" name="Frame9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professional services and setup fees. ARR is not adjusted for the impact of any known or projected future customer cancellations, upgrades or downgrades or price increases or decreases.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Net Dollar Retention Rate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Net Dollar Retention Rate, which we use to measure our success in retaining and growing 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Remaining Performance Obligations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December 31, 2020, our Remaining Performance Obligations was $141.0 million, which consists of both billed consideration in the amount of $51.4 million and unbilled consideration in the amount of $89.6 million that we expect to invoice and recognize in future periods. We expect to recognize 63% of our Remaining Performance Obligations as revenue in the year ending December 31, 2021, and the remainder thereafter, in each case, in accordance with our revenue recognition policy; however, we cannot guarantee that any portion of our Remaining Performance Obligations will be recognized as revenue within the timeframe we expect or at all.</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Non-GAAP Financial Measures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results determined in accordance with GAAP, we believe that Adjusted EBITDA and Adjusted EBITDA margin, non-GAAP financial measures, are useful in evaluating the performance of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define EBITDA as net profit (loss) before interest expense, net, provision for income taxes and depreciation and amortization expense. Adjusted EBITDA is defined as EBITDA (as defined above) excluding non-cash stock-based compensation expense. Adjusted EBITDA margin is defined as Adjusted EBITDA divided by total revenue.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EBITDA, Adjusted EBITDA and Adjusted EBITDA margin are supplemental measures of our performance, are not defined by or presented in accordance with GAAP, and should not be considered in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22250"/>
                <wp:effectExtent l="0" t="0" r="0" b="0"/>
                <wp:wrapNone/>
                <wp:docPr id="103" name="Frame9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 supplemental measures of our performance because they assist us in comparing the operating performance of our business on a consistent basis between periods, as described above.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use EBITDA, Adjusted EBITDA and Adjusted EBITDA margin as described above, EBITDA, Adjusted EBITDA and Adjusted EBITDA margin have significant limitations as analytical tools. See the section of this prospectus captioned “Prospectus Summary—Summary Historical Consolidated Financial and Other Data” for a discussion of the limitations of EBITDA, Adjusted EBITDA and Adjusted EBITDA margin and a reconciliation of EBITDA and Adjusted EBITDA to net loss, the most directly comparable GAAP performance measure, for the periods presented.</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Components of Our Results of Operations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Revenue</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Subscriptions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term license to software installed on the customer's premises.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included in On-Prem projects is recognized ratably over the time of the post-contract services.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Professional Services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the service. 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Cost of Revenue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subscriptions and professional services revenues primarily consist of costs related to supporting and hosting our product offerings and delivering our professional services. These costs include salaries, benefits, incentive compensation and stock-based compensation expenses related to the management of our data centers, our customer support team and our professional services staff. In addition to these expenses, we incur third-party service provider costs, such as cloud infrastructure, data center and content delivery network expenses, rent expenses, depreciation expenses and amortization of acquired intangible assets. We allocate overhead costs such as rent, utilities and supplies to all departments based on relative headcount.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22250"/>
                <wp:effectExtent l="0" t="0" r="0" b="0"/>
                <wp:wrapNone/>
                <wp:docPr id="104" name="Frame10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Cost of revenue increased in absolute dollars and as a percentage of total revenue from 2019 to 2020.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Gross Margins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Gross margins have been and will continue to be affected by a variety of factors, including the average sales price of our products and services, volume growth, the mix of revenue between SaaS and PaaS subscriptions, software licenses, maintenance and support and professional services, onboarding of new media and telecom customers, hosting of major Virtual Events and changes in cloud infrastructure and personnel costs. In particular, the gross margins in our M&amp;T segment are negatively impacted due to the resources required for implementation of our Media Services for TV experiences, which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 However, in the near and medium term, our gross margins in our M&amp;T segment will vary from period to period based on the onboarding of new customers, as well as the timing and aggregate usage of our solutions by such customers. For the years ended December 31, 2019 and 2020, our gross margins were 63% (78% for subscriptions and (34)% for professional services) and 60% (73% for subscriptions and (17)% for professional services), respectively. For the same periods for our EE&amp;T segment, gross margins were 78% (87% for subscriptions and (90)% for professional services) and 73% (81% for subscriptions and (33)% for professional services), respectively, and for our M&amp;T segment, gross margins were 35% (54% for subscriptions and (13)% for professional services) and 36% (51% for subscriptions and (8)% for professional services), respectively.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60% from 63% in 2019. We are still in the process of scaling our network infrastructure and anticipate incurring additional costs in 2021 related thereto, which will negatively impact our gross margins.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Operation Expenses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Research and Development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We expect our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22250"/>
                <wp:effectExtent l="0" t="0" r="0" b="0"/>
                <wp:wrapNone/>
                <wp:docPr id="105" name="Frame10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research and development expenses to increase in absolute dollars for the foreseeable future as we continue to dedicate substantial resources to develop, improve and expand the functionality of our solutions.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Selling and Marketing Expenses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selling and marketing expenses consist primarily of personnel related costs for our sales and marketing functions, including salaries and other direct personnel-related costs. Additional expenses include marketing program costs and amortization of acquired customer relationships intangible assets. We expect our selling and marketing expenses will increase on an absolute dollar basis for the foreseeable future as we continue to increase investments to support our growth. We also anticipate that selling and marketing expenses will increase as a percentage of revenue in the near and medium-term.</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General and Administrative Expenses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general and administrative expenses consist primarily of personnel-related costs for our executive, finance, human resources, information technology and legal functions, including salaries and other direct personnel-related costs. We expect general and administrative expense to increase on an absolute dollar basis for the foreseeable future as we continue to increase investments to support our growth and as a result of our becoming a public company.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allocate overhead costs such as rent, utilities and supplies to all departments based on relative headcount to each operating expense category.</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Financial Expenses, Net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expenses, net consists of interest expense accrued or paid on our indebtedness, change in the warrants fair value, net of interest income earned on our cash balances. Financial expenses, net also includes foreign exchange gains and losses. We expect interest expense to vary each reporting period depending on the amount of outstanding indebtedness and prevailing interest rates.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interest income will vary in each reporting period depending on our average cash balances during the period and applicable interest rates.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Provision for Income Taxes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Results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summarize key components of our results of operations for the periods presented. The period-to-period comparisons of our historical results are not necessarily indicative of the results that may be expected in the future.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22250"/>
                <wp:effectExtent l="0" t="0" r="0" b="0"/>
                <wp:wrapNone/>
                <wp:docPr id="106" name="Frame10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v:rect>
            </w:pict>
          </mc:Fallback>
        </mc:AlternateConten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Comparison of the Years Ended December 31, 2019 and 2020</w:t>
      </w:r>
    </w:p>
    <w:tbl>
      <w:tblPr>
        <w:tblW w:w="9182" w:type="dxa"/>
        <w:jc w:val="left"/>
        <w:tblInd w:w="0" w:type="dxa"/>
        <w:tblCellMar>
          <w:top w:w="28" w:type="dxa"/>
          <w:left w:w="28" w:type="dxa"/>
          <w:bottom w:w="28" w:type="dxa"/>
          <w:right w:w="28" w:type="dxa"/>
        </w:tblCellMar>
      </w:tblPr>
      <w:tblGrid>
        <w:gridCol w:w="1265"/>
        <w:gridCol w:w="1111"/>
        <w:gridCol w:w="1119"/>
        <w:gridCol w:w="211"/>
        <w:gridCol w:w="811"/>
        <w:gridCol w:w="109"/>
        <w:gridCol w:w="109"/>
        <w:gridCol w:w="109"/>
        <w:gridCol w:w="109"/>
        <w:gridCol w:w="211"/>
        <w:gridCol w:w="811"/>
        <w:gridCol w:w="109"/>
        <w:gridCol w:w="109"/>
        <w:gridCol w:w="109"/>
        <w:gridCol w:w="109"/>
        <w:gridCol w:w="241"/>
        <w:gridCol w:w="927"/>
        <w:gridCol w:w="124"/>
        <w:gridCol w:w="124"/>
        <w:gridCol w:w="124"/>
        <w:gridCol w:w="124"/>
        <w:gridCol w:w="240"/>
        <w:gridCol w:w="241"/>
        <w:gridCol w:w="626"/>
      </w:tblGrid>
      <w:tr>
        <w:trPr/>
        <w:tc>
          <w:tcPr>
            <w:tcW w:w="1265"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Period-over-Period Change</w:t>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w:t>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percentages)</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Enterprise, Education &amp; Technology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15,610 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626"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Media &amp; Telecom</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23,091 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gross profit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and marketing</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(5,710)</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net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(41,242)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(43,191)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277 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Segments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manage and report operating results through two reportable segments:</w:t>
      </w:r>
    </w:p>
    <w:p>
      <w:pPr>
        <w:pStyle w:val="TextBody"/>
        <w:spacing w:lineRule="auto" w:line="288" w:before="120" w:after="180"/>
        <w:ind w:left="0" w:right="0" w:hanging="360"/>
        <w:jc w:val="both"/>
        <w:rPr/>
      </w:pPr>
      <w:r>
        <w:rPr>
          <w:color w:val="000000"/>
        </w:rPr>
        <w:t>•</w:t>
      </w:r>
      <w:r>
        <w:rPr>
          <w:rFonts w:ascii="Helvetica;sans-serif" w:hAnsi="Helvetica;sans-serif"/>
          <w:b/>
          <w:color w:val="000000"/>
          <w:sz w:val="20"/>
        </w:rPr>
        <w:t>Enterprise, Education &amp; Technology</w:t>
      </w:r>
      <w:r>
        <w:rPr>
          <w:color w:val="000000"/>
        </w:rPr>
        <w:t xml:space="preserve"> </w:t>
      </w:r>
      <w:r>
        <w:rPr>
          <w:rFonts w:ascii="Helvetica;sans-serif" w:hAnsi="Helvetica;sans-serif"/>
          <w:b w:val="false"/>
          <w:color w:val="000000"/>
          <w:sz w:val="20"/>
        </w:rPr>
        <w:t>(67% of 2019 and 2020 revenue): Our EE&amp;T segment represents revenues from our products, industry solutions for education customers, and Media Services (except for M&amp;T customers), as well as associated professional services for those offerings.</w:t>
      </w:r>
    </w:p>
    <w:p>
      <w:pPr>
        <w:pStyle w:val="TextBody"/>
        <w:spacing w:lineRule="auto" w:line="288" w:before="120" w:after="180"/>
        <w:ind w:left="0" w:right="0" w:hanging="360"/>
        <w:jc w:val="both"/>
        <w:rPr/>
      </w:pPr>
      <w:r>
        <w:rPr>
          <w:color w:val="000000"/>
        </w:rPr>
        <w:t>•</w:t>
      </w:r>
      <w:r>
        <w:rPr>
          <w:rFonts w:ascii="Helvetica;sans-serif" w:hAnsi="Helvetica;sans-serif"/>
          <w:b/>
          <w:color w:val="000000"/>
          <w:sz w:val="20"/>
        </w:rPr>
        <w:t>Media &amp; Telecom</w:t>
      </w:r>
      <w:r>
        <w:rPr>
          <w:color w:val="000000"/>
        </w:rPr>
        <w:t xml:space="preserve"> </w:t>
      </w:r>
      <w:r>
        <w:rPr>
          <w:rFonts w:ascii="Helvetica;sans-serif" w:hAnsi="Helvetica;sans-serif"/>
          <w:b w:val="false"/>
          <w:color w:val="000000"/>
          <w:sz w:val="20"/>
        </w:rPr>
        <w:t>(33% of 2019 and 2020 revenue): Our M&amp;T segment primarily represents revenues from our TV Solution and Media Services sold to media and telecom operators.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22250"/>
                <wp:effectExtent l="0" t="0" r="0" b="0"/>
                <wp:wrapNone/>
                <wp:docPr id="107" name="Frame10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v:rect>
            </w:pict>
          </mc:Fallback>
        </mc:AlternateConten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Enterprise, Education &amp; Technology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our EE&amp;T segment revenue and gross profit (loss) for the years indicated:</w:t>
      </w:r>
    </w:p>
    <w:tbl>
      <w:tblPr>
        <w:tblW w:w="10205" w:type="dxa"/>
        <w:jc w:val="left"/>
        <w:tblInd w:w="0" w:type="dxa"/>
        <w:tblCellMar>
          <w:top w:w="28" w:type="dxa"/>
          <w:left w:w="28" w:type="dxa"/>
          <w:bottom w:w="28" w:type="dxa"/>
          <w:right w:w="28" w:type="dxa"/>
        </w:tblCellMar>
      </w:tblPr>
      <w:tblGrid>
        <w:gridCol w:w="1687"/>
        <w:gridCol w:w="1485"/>
        <w:gridCol w:w="1488"/>
        <w:gridCol w:w="211"/>
        <w:gridCol w:w="751"/>
        <w:gridCol w:w="109"/>
        <w:gridCol w:w="109"/>
        <w:gridCol w:w="109"/>
        <w:gridCol w:w="109"/>
        <w:gridCol w:w="220"/>
        <w:gridCol w:w="787"/>
        <w:gridCol w:w="113"/>
        <w:gridCol w:w="109"/>
        <w:gridCol w:w="109"/>
        <w:gridCol w:w="109"/>
        <w:gridCol w:w="246"/>
        <w:gridCol w:w="880"/>
        <w:gridCol w:w="127"/>
        <w:gridCol w:w="127"/>
        <w:gridCol w:w="127"/>
        <w:gridCol w:w="127"/>
        <w:gridCol w:w="217"/>
        <w:gridCol w:w="217"/>
        <w:gridCol w:w="632"/>
      </w:tblGrid>
      <w:tr>
        <w:trPr/>
        <w:tc>
          <w:tcPr>
            <w:tcW w:w="1687"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r>
      <w:tr>
        <w:trPr/>
        <w:tc>
          <w:tcPr>
            <w:tcW w:w="4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Period-over-Period Change</w:t>
            </w:r>
          </w:p>
        </w:tc>
      </w:tr>
      <w:tr>
        <w:trPr/>
        <w:tc>
          <w:tcPr>
            <w:tcW w:w="4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w:t>
            </w:r>
          </w:p>
        </w:tc>
      </w:tr>
      <w:tr>
        <w:trPr/>
        <w:tc>
          <w:tcPr>
            <w:tcW w:w="4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percentages)</w:t>
            </w:r>
          </w:p>
        </w:tc>
      </w:tr>
      <w:tr>
        <w:trPr/>
        <w:tc>
          <w:tcPr>
            <w:tcW w:w="4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Enterprise, Education &amp; Technology revenue:</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74,473 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13,097 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63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5,976 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632" w:type="dxa"/>
            <w:tcBorders/>
            <w:shd w:fill="CCEEFF" w:val="clear"/>
            <w:tcMar>
              <w:top w:w="0" w:type="dxa"/>
              <w:left w:w="0" w:type="dxa"/>
              <w:bottom w:w="0" w:type="dxa"/>
              <w:right w:w="0" w:type="dxa"/>
            </w:tcMar>
            <w:vAlign w:val="center"/>
          </w:tcPr>
          <w:p>
            <w:pPr>
              <w:pStyle w:val="TableContents"/>
              <w:spacing w:lineRule="auto" w:line="276"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Enterprise, Education &amp; Technology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80,449 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15,610 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Enterprise, Education &amp; Technology gross profit:</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 gross profit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60,528 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7,154 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632" w:type="dxa"/>
            <w:tcBorders/>
            <w:shd w:fill="CCEEFF" w:val="clear"/>
            <w:tcMar>
              <w:top w:w="0" w:type="dxa"/>
              <w:left w:w="0" w:type="dxa"/>
              <w:bottom w:w="0" w:type="dxa"/>
              <w:right w:w="0" w:type="dxa"/>
            </w:tcMar>
            <w:vAlign w:val="center"/>
          </w:tcPr>
          <w:p>
            <w:pPr>
              <w:pStyle w:val="TableContents"/>
              <w:spacing w:lineRule="auto" w:line="276" w:before="0" w:after="283"/>
              <w:ind w:left="0" w:right="0" w:hanging="9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 gross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632" w:type="dxa"/>
            <w:tcBorders/>
            <w:shd w:fill="FFFFFF" w:val="clear"/>
            <w:tcMar>
              <w:top w:w="0" w:type="dxa"/>
              <w:left w:w="0" w:type="dxa"/>
              <w:bottom w:w="0" w:type="dxa"/>
              <w:right w:w="0" w:type="dxa"/>
            </w:tcMar>
            <w:vAlign w:val="center"/>
          </w:tcPr>
          <w:p>
            <w:pPr>
              <w:pStyle w:val="TableContents"/>
              <w:spacing w:lineRule="auto" w:line="276"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Enterprise, Education &amp; Technology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Enterprise, Education &amp; Technology Revenue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EE&amp;T revenue increased by $15.6 million, or 24%, to $80.4 million for the year ended December 31, 2020, from $64.8 million in 2019. Approximately $11.8 million of this increase was attributable to revenue from new customers, and the remaining $3.8 million was attributable to growth from existing customers.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EE&amp;T subscription revenue increased by $13.1 million, or 21%, to $74.5 million for the year ended December 31, 2020, from $61.4 million in 2019.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EE&amp;T professional services revenue increased by $2.5 million, or 73%, to $6.0 million for the year ended December 31, 2020, from $3.5 million in 2019.</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Enterprise, Education &amp; Technology Gross Profit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EE&amp;T gross profit increased by $8.3 million, or 16%, to $58.5 million for the year ended December 31, 2020, from $50.3 million in 2019. This increase was mainly due to the $15.6 million increase in revenue, offset in part by a 4.7% decrease in gross margin to 72.8% for the year ended December 31, 2020 from 77.5% in 2019. The decrease in gross margin was attributable primarily to an increase in cloud-related costs and third-party solutions driven by higher consumption and our migration to a public cloud infrastructure, as further described above under “—Components of our Results of Operations—Gross Margins.”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EE&amp;T subscription gross profit increased by $7.2 million, or 13%, to $60.5 million for the year ended December 31, 2020, from $53.4 million in 2019.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EE&amp;T professional services gross loss decreased by $1.1 million, or (36)%, to $(2.0) million for the year ended December 31, 2020, from $(3.1) million in 2019.</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22250"/>
                <wp:effectExtent l="0" t="0" r="0" b="0"/>
                <wp:wrapNone/>
                <wp:docPr id="108" name="Frame10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v:rect>
            </w:pict>
          </mc:Fallback>
        </mc:AlternateConten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Media &amp; Telecom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our M&amp;T segment revenue and gross profit for the years indicated:</w:t>
      </w:r>
    </w:p>
    <w:tbl>
      <w:tblPr>
        <w:tblW w:w="8698" w:type="dxa"/>
        <w:jc w:val="left"/>
        <w:tblInd w:w="0" w:type="dxa"/>
        <w:tblCellMar>
          <w:top w:w="28" w:type="dxa"/>
          <w:left w:w="28" w:type="dxa"/>
          <w:bottom w:w="28" w:type="dxa"/>
          <w:right w:w="28" w:type="dxa"/>
        </w:tblCellMar>
      </w:tblPr>
      <w:tblGrid>
        <w:gridCol w:w="1152"/>
        <w:gridCol w:w="1010"/>
        <w:gridCol w:w="1017"/>
        <w:gridCol w:w="211"/>
        <w:gridCol w:w="751"/>
        <w:gridCol w:w="109"/>
        <w:gridCol w:w="109"/>
        <w:gridCol w:w="109"/>
        <w:gridCol w:w="109"/>
        <w:gridCol w:w="221"/>
        <w:gridCol w:w="789"/>
        <w:gridCol w:w="114"/>
        <w:gridCol w:w="109"/>
        <w:gridCol w:w="109"/>
        <w:gridCol w:w="109"/>
        <w:gridCol w:w="263"/>
        <w:gridCol w:w="805"/>
        <w:gridCol w:w="135"/>
        <w:gridCol w:w="135"/>
        <w:gridCol w:w="135"/>
        <w:gridCol w:w="135"/>
        <w:gridCol w:w="218"/>
        <w:gridCol w:w="218"/>
        <w:gridCol w:w="626"/>
      </w:tblGrid>
      <w:tr>
        <w:trPr/>
        <w:tc>
          <w:tcPr>
            <w:tcW w:w="1152"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Period-over-Period Change</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percentages)</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Media &amp; Telecom revenue:</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29,591 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6,242 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626"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10,400 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1,239 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62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Media &amp; Telecom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39,991 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7,481 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Media &amp; Telecom gross profit:</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 gross profit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15,050 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2,368 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626" w:type="dxa"/>
            <w:tcBorders/>
            <w:shd w:fill="CCEEFF" w:val="clear"/>
            <w:tcMar>
              <w:top w:w="0" w:type="dxa"/>
              <w:left w:w="0" w:type="dxa"/>
              <w:bottom w:w="0" w:type="dxa"/>
              <w:right w:w="0" w:type="dxa"/>
            </w:tcMar>
            <w:vAlign w:val="center"/>
          </w:tcPr>
          <w:p>
            <w:pPr>
              <w:pStyle w:val="TableContents"/>
              <w:spacing w:lineRule="auto" w:line="276" w:before="0" w:after="283"/>
              <w:ind w:left="0" w:right="0" w:hanging="9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 gross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(814)</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410 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626"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Media &amp; Telecom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14,236 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2,778 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Media &amp; Telecom Revenue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M&amp;T revenue increased by $7.5 million, or 23%, to $40.0 million for the year ended December 31, 2020, from $32.5 million in 2019. Approximately $6.2 million of this increase was attributable to growth from existing customers, and the remaining $1.3 million was attributable to revenue from new customers.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M&amp;T subscription revenue increased by $6.2 million, or 27%, to $29.6 million for the year ended December 31, 2020, from $23.3 million in 2019.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M&amp;T professional services revenue increased by $1.2 million, or 14%, to $10.4 million for the year ended December 31, 2020, from $9.2 million in 2019.</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Media &amp; Telecom Gross Profit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M&amp;T gross profit increased by $2.8 million, or 24%, to $14.2 million for the year ended December 31, 2020, from $11.5 million in 2019. This increase was mainly due to the $7.5 million increase in revenue. Gross margin remained relatively flat at 35.6% for the year ended December 31, 2020, compared to 35.2% in 2019. While the blended gross margin remained relatively unchanged, subscription gross margin decreased to 50.9% for the year ended December 31, 2020 from 54.3% in 2019, which was offset by an increase in professional services gross margin to (7.8)% for the year ended December 31 2020 from (13.4)% in 2019. The decrease in subscription gross margin was attributable primarily to an increase in cloud-related costs driven by higher consumption and our migration to a public cloud infrastructure, as further described above under “—Components of our Results of Operations—Gross Margins.”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M&amp;T subscription gross profit increased by $2.4 million, or 19%, to $15.1 million for the year ended December 31, 2020, from $12.7 million in 2019.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M&amp;T professional services gross loss decreased by $0.4 million, or (33)%, to $(0.8) million for the year ended December 31, 2020, from $(1.2) million in 2019.</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22250"/>
                <wp:effectExtent l="0" t="0" r="0" b="0"/>
                <wp:wrapNone/>
                <wp:docPr id="109" name="Frame10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v:rect>
            </w:pict>
          </mc:Fallback>
        </mc:AlternateConten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Operating Expenses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Research and Development expenses</w:t>
      </w:r>
    </w:p>
    <w:tbl>
      <w:tblPr>
        <w:tblW w:w="9302" w:type="dxa"/>
        <w:jc w:val="left"/>
        <w:tblInd w:w="0" w:type="dxa"/>
        <w:tblCellMar>
          <w:top w:w="28" w:type="dxa"/>
          <w:left w:w="28" w:type="dxa"/>
          <w:bottom w:w="28" w:type="dxa"/>
          <w:right w:w="28" w:type="dxa"/>
        </w:tblCellMar>
      </w:tblPr>
      <w:tblGrid>
        <w:gridCol w:w="1380"/>
        <w:gridCol w:w="1211"/>
        <w:gridCol w:w="1218"/>
        <w:gridCol w:w="211"/>
        <w:gridCol w:w="751"/>
        <w:gridCol w:w="109"/>
        <w:gridCol w:w="109"/>
        <w:gridCol w:w="109"/>
        <w:gridCol w:w="109"/>
        <w:gridCol w:w="221"/>
        <w:gridCol w:w="789"/>
        <w:gridCol w:w="114"/>
        <w:gridCol w:w="109"/>
        <w:gridCol w:w="109"/>
        <w:gridCol w:w="109"/>
        <w:gridCol w:w="263"/>
        <w:gridCol w:w="805"/>
        <w:gridCol w:w="135"/>
        <w:gridCol w:w="135"/>
        <w:gridCol w:w="135"/>
        <w:gridCol w:w="135"/>
        <w:gridCol w:w="205"/>
        <w:gridCol w:w="205"/>
        <w:gridCol w:w="626"/>
      </w:tblGrid>
      <w:tr>
        <w:trPr/>
        <w:tc>
          <w:tcPr>
            <w:tcW w:w="1380"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Period-over-Period Change</w:t>
            </w:r>
          </w:p>
        </w:tc>
      </w:tr>
      <w:tr>
        <w:trPr/>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w:t>
            </w:r>
          </w:p>
        </w:tc>
      </w:tr>
      <w:tr>
        <w:trPr/>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percentages)</w:t>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23,533 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4,694 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Subcontractors and Consultants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research and development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Research and development expenses increased by $5.4 million, or 22%, to $29.6 million for the year ended December 31, 2020, from $24.2 million in 2019. The increase was primarily due to a $4.7 million increase in compensation related to higher headcount and a $0.5 million increase in subcontractors and consultants expenses.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Selling and Marketing expenses</w:t>
      </w:r>
    </w:p>
    <w:tbl>
      <w:tblPr>
        <w:tblW w:w="9089" w:type="dxa"/>
        <w:jc w:val="left"/>
        <w:tblInd w:w="0" w:type="dxa"/>
        <w:tblCellMar>
          <w:top w:w="28" w:type="dxa"/>
          <w:left w:w="28" w:type="dxa"/>
          <w:bottom w:w="28" w:type="dxa"/>
          <w:right w:w="28" w:type="dxa"/>
        </w:tblCellMar>
      </w:tblPr>
      <w:tblGrid>
        <w:gridCol w:w="1294"/>
        <w:gridCol w:w="1137"/>
        <w:gridCol w:w="1139"/>
        <w:gridCol w:w="211"/>
        <w:gridCol w:w="751"/>
        <w:gridCol w:w="109"/>
        <w:gridCol w:w="109"/>
        <w:gridCol w:w="109"/>
        <w:gridCol w:w="109"/>
        <w:gridCol w:w="221"/>
        <w:gridCol w:w="789"/>
        <w:gridCol w:w="114"/>
        <w:gridCol w:w="109"/>
        <w:gridCol w:w="109"/>
        <w:gridCol w:w="109"/>
        <w:gridCol w:w="263"/>
        <w:gridCol w:w="805"/>
        <w:gridCol w:w="135"/>
        <w:gridCol w:w="135"/>
        <w:gridCol w:w="135"/>
        <w:gridCol w:w="135"/>
        <w:gridCol w:w="218"/>
        <w:gridCol w:w="218"/>
        <w:gridCol w:w="626"/>
      </w:tblGrid>
      <w:tr>
        <w:trPr/>
        <w:tc>
          <w:tcPr>
            <w:tcW w:w="1294"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Period-over-Period Change</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percentages)</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&amp; commission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23,236 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expenses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Travel and entertainment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(1,673)</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selling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Selling and marketing expenses increased by $4.0 million, or 16%, to $29.5 million for the year ended December 31, 2020, from $25.5 million in 2019. The increase was primarily due to a $3.7 million increase in compensation related to higher headcount, a $0.9 million increase in amortization of deferred commission expense driven by higher bookings and a $1.0 million increase in marketing expenses mainly due to a single large event. The increase was partially offset by a $1.7 million decrease in travel and entertainment expense due to the ongoing COVID-19 pandemic.</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22250"/>
                <wp:effectExtent l="0" t="0" r="0" b="0"/>
                <wp:wrapNone/>
                <wp:docPr id="110" name="Frame10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v:rect>
            </w:pict>
          </mc:Fallback>
        </mc:AlternateConten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General &amp; Administrative</w:t>
      </w:r>
    </w:p>
    <w:tbl>
      <w:tblPr>
        <w:tblW w:w="9288" w:type="dxa"/>
        <w:jc w:val="left"/>
        <w:tblInd w:w="0" w:type="dxa"/>
        <w:tblCellMar>
          <w:top w:w="28" w:type="dxa"/>
          <w:left w:w="28" w:type="dxa"/>
          <w:bottom w:w="28" w:type="dxa"/>
          <w:right w:w="28" w:type="dxa"/>
        </w:tblCellMar>
      </w:tblPr>
      <w:tblGrid>
        <w:gridCol w:w="1375"/>
        <w:gridCol w:w="1206"/>
        <w:gridCol w:w="1214"/>
        <w:gridCol w:w="211"/>
        <w:gridCol w:w="751"/>
        <w:gridCol w:w="109"/>
        <w:gridCol w:w="109"/>
        <w:gridCol w:w="109"/>
        <w:gridCol w:w="109"/>
        <w:gridCol w:w="221"/>
        <w:gridCol w:w="789"/>
        <w:gridCol w:w="114"/>
        <w:gridCol w:w="109"/>
        <w:gridCol w:w="109"/>
        <w:gridCol w:w="109"/>
        <w:gridCol w:w="263"/>
        <w:gridCol w:w="805"/>
        <w:gridCol w:w="135"/>
        <w:gridCol w:w="135"/>
        <w:gridCol w:w="135"/>
        <w:gridCol w:w="135"/>
        <w:gridCol w:w="205"/>
        <w:gridCol w:w="205"/>
        <w:gridCol w:w="626"/>
      </w:tblGrid>
      <w:tr>
        <w:trPr/>
        <w:tc>
          <w:tcPr>
            <w:tcW w:w="1375"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Period-over-Period Change</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percentages)</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12,978 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fees and insurance</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Travel and entertainment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w:t>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Abandonment of data center equipment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3,969 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3,605 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general and administrative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r>
    </w:tbl>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General and administrative expenses increased by $7.4 million, or 50%, to $22.2 million for the year ended December 31, 2020, from $14.8 million in 2019. The increase was primarily due to a $4.0 million one-time expense related to the abandonment of data center equipment, a $3.0 million increase in compensation related to higher headcount and a $0.5 million increase in professional fees and insurance mainly related to various legal fees. The increase was partially offset by a $0.5 million decrease in travel and entertainment expense due to the ongoing COVID-19 pandemic.</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Financial Expenses, net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expenses, net increased by $35.5 million, or 318%, to $46.7 million for the year ended December 31, 2020, from $11.2 million in 2019. The increase was primarily due to an increase of $36.2 million in remeasurement of warrants to fair value.</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Provision for Income Taxes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Provision for income taxes increased by $1.9 million, to $3.6 million for the year ended December 31, 2020, from $1.6 million in 2019, representing an effective tax rate of (6)% in 2020 and (11)% in 2019. The increase in the effective tax rate for 2020 was primarily due to increased tax liability related to income generated by our subsidiaries organized under the laws of Israel and the United Kingdom.</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Quarterly Results of Operations</w:t>
      </w:r>
    </w:p>
    <w:p>
      <w:pPr>
        <w:pStyle w:val="TextBody"/>
        <w:spacing w:lineRule="auto" w:line="288" w:before="0" w:after="180"/>
        <w:ind w:left="0" w:right="0" w:firstLine="360"/>
        <w:jc w:val="both"/>
        <w:rPr/>
      </w:pPr>
      <w:r>
        <w:rPr>
          <w:rFonts w:ascii="Helvetica;sans-serif" w:hAnsi="Helvetica;sans-serif"/>
          <w:b w:val="false"/>
          <w:color w:val="000000"/>
          <w:sz w:val="20"/>
        </w:rPr>
        <w:t>The following tables set forth our unaudited quarterly consolidated statements of operations data for each of the quarters indicated, as well as the percentage that each line item represents of our total revenue for each quarter presented. The information for each quarter has been prepared on a basis consistent with our audited consolidated financial statements included elsewhere in this prospectus and reflects, in the opinion of management, all adjustments, consisting only of normal and recurring adjustments, that are necessary for a fair statement of this financial information. You should read the following information in conjunction with the other information set forth under the heading “Management’s Discussion and</w:t>
      </w:r>
      <w:r>
        <w:rPr>
          <w:color w:val="000000"/>
        </w:rPr>
        <w:t xml:space="preserve"> </w:t>
      </w:r>
      <w:r>
        <w:rPr>
          <w:rFonts w:ascii="Helvetica;sans-serif" w:hAnsi="Helvetica;sans-serif"/>
          <w:b w:val="false"/>
          <w:color w:val="000000"/>
          <w:sz w:val="20"/>
        </w:rPr>
        <w:t>Analysis of Financial Condition and Results of Operations” and the information set forth in our consolidated financial statements and the accompanying</w:t>
      </w:r>
      <w:r>
        <w:rPr>
          <w:color w:val="000000"/>
        </w:rPr>
        <w:t xml:space="preserve"> </w:t>
      </w:r>
      <w:r>
        <w:rPr>
          <w:rFonts w:ascii="Helvetica;sans-serif" w:hAnsi="Helvetica;sans-serif"/>
          <w:b w:val="false"/>
          <w:color w:val="000000"/>
          <w:sz w:val="20"/>
        </w:rPr>
        <w:t>notes thereto included elsewhere in this prospectus. Our historical results are not necessarily indicative of the results that may be expected for any future period, and the results for any quarter are not necessarily indicative of results that may be expected for a full year or any other period.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22250"/>
                <wp:effectExtent l="0" t="0" r="0" b="0"/>
                <wp:wrapNone/>
                <wp:docPr id="111" name="Frame10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v:rect>
            </w:pict>
          </mc:Fallback>
        </mc:AlternateContent>
      </w:r>
    </w:p>
    <w:tbl>
      <w:tblPr>
        <w:tblW w:w="11023" w:type="dxa"/>
        <w:jc w:val="left"/>
        <w:tblInd w:w="0" w:type="dxa"/>
        <w:tblCellMar>
          <w:top w:w="28" w:type="dxa"/>
          <w:left w:w="28" w:type="dxa"/>
          <w:bottom w:w="28" w:type="dxa"/>
          <w:right w:w="28" w:type="dxa"/>
        </w:tblCellMar>
      </w:tblPr>
      <w:tblGrid>
        <w:gridCol w:w="399"/>
        <w:gridCol w:w="324"/>
        <w:gridCol w:w="328"/>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661"/>
        <w:gridCol w:w="154"/>
      </w:tblGrid>
      <w:tr>
        <w:trPr/>
        <w:tc>
          <w:tcPr>
            <w:tcW w:w="39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Three Months Ended</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March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June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September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December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March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June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September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December 31, 2020</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Revenue:</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Subscription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29,003 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Professional Services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Subscription</w:t>
            </w:r>
            <w:r>
              <w:rPr>
                <w:rFonts w:ascii="Helvetica;sans-serif" w:hAnsi="Helvetica;sans-serif"/>
                <w:b w:val="false"/>
                <w:color w:val="000000"/>
                <w:sz w:val="10"/>
              </w:rPr>
              <w:t>(1)(2)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16"/>
              </w:rPr>
              <w:t>Professional Services</w:t>
            </w:r>
            <w:r>
              <w:rPr>
                <w:rFonts w:ascii="Helvetica;sans-serif" w:hAnsi="Helvetica;sans-serif"/>
                <w:b w:val="false"/>
                <w:color w:val="000000"/>
                <w:sz w:val="10"/>
              </w:rPr>
              <w:t>(1)(2)</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 of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16"/>
              </w:rPr>
              <w:t>Research and Development</w:t>
            </w:r>
            <w:r>
              <w:rPr>
                <w:rFonts w:ascii="Helvetica;sans-serif" w:hAnsi="Helvetica;sans-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16"/>
              </w:rPr>
              <w:t>Sales and Marketing</w:t>
            </w:r>
            <w:r>
              <w:rPr>
                <w:rFonts w:ascii="Helvetica;sans-serif" w:hAnsi="Helvetica;sans-serif"/>
                <w:b w:val="false"/>
                <w:color w:val="000000"/>
                <w:sz w:val="10"/>
              </w:rPr>
              <w:t>(1)(2)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16"/>
              </w:rPr>
              <w:t>General and Administrative</w:t>
            </w:r>
            <w:r>
              <w:rPr>
                <w:rFonts w:ascii="Helvetica;sans-serif" w:hAnsi="Helvetica;sans-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5,460 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(loss)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Financial expenses (income),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33,912 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Loss before provision for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(35,190)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(36,339)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(1)Includes stock-based compensation expenses as follows:</w:t>
      </w:r>
    </w:p>
    <w:tbl>
      <w:tblPr>
        <w:tblW w:w="10205" w:type="dxa"/>
        <w:jc w:val="left"/>
        <w:tblInd w:w="0" w:type="dxa"/>
        <w:tblCellMar>
          <w:top w:w="28" w:type="dxa"/>
          <w:left w:w="28" w:type="dxa"/>
          <w:bottom w:w="28" w:type="dxa"/>
          <w:right w:w="28" w:type="dxa"/>
        </w:tblCellMar>
      </w:tblPr>
      <w:tblGrid>
        <w:gridCol w:w="542"/>
        <w:gridCol w:w="379"/>
        <w:gridCol w:w="380"/>
        <w:gridCol w:w="203"/>
        <w:gridCol w:w="437"/>
        <w:gridCol w:w="113"/>
        <w:gridCol w:w="109"/>
        <w:gridCol w:w="109"/>
        <w:gridCol w:w="109"/>
        <w:gridCol w:w="201"/>
        <w:gridCol w:w="433"/>
        <w:gridCol w:w="112"/>
        <w:gridCol w:w="109"/>
        <w:gridCol w:w="109"/>
        <w:gridCol w:w="109"/>
        <w:gridCol w:w="226"/>
        <w:gridCol w:w="488"/>
        <w:gridCol w:w="128"/>
        <w:gridCol w:w="109"/>
        <w:gridCol w:w="109"/>
        <w:gridCol w:w="109"/>
        <w:gridCol w:w="214"/>
        <w:gridCol w:w="462"/>
        <w:gridCol w:w="121"/>
        <w:gridCol w:w="109"/>
        <w:gridCol w:w="109"/>
        <w:gridCol w:w="109"/>
        <w:gridCol w:w="203"/>
        <w:gridCol w:w="437"/>
        <w:gridCol w:w="113"/>
        <w:gridCol w:w="109"/>
        <w:gridCol w:w="109"/>
        <w:gridCol w:w="109"/>
        <w:gridCol w:w="198"/>
        <w:gridCol w:w="562"/>
        <w:gridCol w:w="110"/>
        <w:gridCol w:w="109"/>
        <w:gridCol w:w="109"/>
        <w:gridCol w:w="109"/>
        <w:gridCol w:w="205"/>
        <w:gridCol w:w="582"/>
        <w:gridCol w:w="114"/>
        <w:gridCol w:w="109"/>
        <w:gridCol w:w="109"/>
        <w:gridCol w:w="109"/>
        <w:gridCol w:w="204"/>
        <w:gridCol w:w="579"/>
        <w:gridCol w:w="170"/>
      </w:tblGrid>
      <w:tr>
        <w:trPr/>
        <w:tc>
          <w:tcPr>
            <w:tcW w:w="54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Three Months Ended</w:t>
            </w:r>
          </w:p>
        </w:tc>
      </w:tr>
      <w:tr>
        <w:trPr/>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March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June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September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December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March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June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September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December 31, 2020</w:t>
            </w:r>
          </w:p>
        </w:tc>
      </w:tr>
      <w:tr>
        <w:trPr/>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(in thousands)</w:t>
            </w:r>
          </w:p>
        </w:tc>
      </w:tr>
      <w:tr>
        <w:trPr/>
        <w:tc>
          <w:tcPr>
            <w:tcW w:w="1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Subscription</w:t>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34 </w:t>
            </w:r>
          </w:p>
        </w:tc>
        <w:tc>
          <w:tcPr>
            <w:tcW w:w="17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Professional Services</w:t>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93 </w:t>
            </w:r>
          </w:p>
        </w:tc>
        <w:tc>
          <w:tcPr>
            <w:tcW w:w="17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Research and Development expense</w:t>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570 </w:t>
            </w:r>
          </w:p>
        </w:tc>
        <w:tc>
          <w:tcPr>
            <w:tcW w:w="17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Sales and Marketing expense</w:t>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852 </w:t>
            </w:r>
          </w:p>
        </w:tc>
        <w:tc>
          <w:tcPr>
            <w:tcW w:w="17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 expense</w:t>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736 </w:t>
            </w:r>
          </w:p>
        </w:tc>
        <w:tc>
          <w:tcPr>
            <w:tcW w:w="17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stock based compensation expense</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2,285 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both"/>
        <w:rPr/>
      </w:pPr>
      <w:r>
        <w:br w:type="page"/>
      </w: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22250"/>
                <wp:effectExtent l="0" t="0" r="0" b="0"/>
                <wp:wrapNone/>
                <wp:docPr id="112" name="Frame10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v:rect>
            </w:pict>
          </mc:Fallback>
        </mc:AlternateConten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(2)Includes amortization expenses of acquired intangible assets as follows:</w:t>
      </w:r>
    </w:p>
    <w:tbl>
      <w:tblPr>
        <w:tblW w:w="10205" w:type="dxa"/>
        <w:jc w:val="left"/>
        <w:tblInd w:w="0" w:type="dxa"/>
        <w:tblCellMar>
          <w:top w:w="28" w:type="dxa"/>
          <w:left w:w="28" w:type="dxa"/>
          <w:bottom w:w="28" w:type="dxa"/>
          <w:right w:w="28" w:type="dxa"/>
        </w:tblCellMar>
      </w:tblPr>
      <w:tblGrid>
        <w:gridCol w:w="474"/>
        <w:gridCol w:w="417"/>
        <w:gridCol w:w="418"/>
        <w:gridCol w:w="211"/>
        <w:gridCol w:w="453"/>
        <w:gridCol w:w="117"/>
        <w:gridCol w:w="109"/>
        <w:gridCol w:w="109"/>
        <w:gridCol w:w="109"/>
        <w:gridCol w:w="207"/>
        <w:gridCol w:w="445"/>
        <w:gridCol w:w="115"/>
        <w:gridCol w:w="109"/>
        <w:gridCol w:w="109"/>
        <w:gridCol w:w="109"/>
        <w:gridCol w:w="238"/>
        <w:gridCol w:w="514"/>
        <w:gridCol w:w="134"/>
        <w:gridCol w:w="109"/>
        <w:gridCol w:w="109"/>
        <w:gridCol w:w="109"/>
        <w:gridCol w:w="226"/>
        <w:gridCol w:w="488"/>
        <w:gridCol w:w="127"/>
        <w:gridCol w:w="109"/>
        <w:gridCol w:w="109"/>
        <w:gridCol w:w="109"/>
        <w:gridCol w:w="211"/>
        <w:gridCol w:w="453"/>
        <w:gridCol w:w="117"/>
        <w:gridCol w:w="109"/>
        <w:gridCol w:w="109"/>
        <w:gridCol w:w="109"/>
        <w:gridCol w:w="207"/>
        <w:gridCol w:w="445"/>
        <w:gridCol w:w="115"/>
        <w:gridCol w:w="109"/>
        <w:gridCol w:w="109"/>
        <w:gridCol w:w="109"/>
        <w:gridCol w:w="238"/>
        <w:gridCol w:w="514"/>
        <w:gridCol w:w="134"/>
        <w:gridCol w:w="109"/>
        <w:gridCol w:w="109"/>
        <w:gridCol w:w="109"/>
        <w:gridCol w:w="225"/>
        <w:gridCol w:w="484"/>
        <w:gridCol w:w="189"/>
      </w:tblGrid>
      <w:tr>
        <w:trPr/>
        <w:tc>
          <w:tcPr>
            <w:tcW w:w="47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Three Months Ended</w:t>
            </w:r>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March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June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September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December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March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June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September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December 31, 2020</w:t>
            </w:r>
          </w:p>
        </w:tc>
      </w:tr>
      <w:tr>
        <w:trPr/>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(in thousands)</w:t>
            </w:r>
          </w:p>
        </w:tc>
      </w:tr>
      <w:tr>
        <w:trPr/>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Subscription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107 </w:t>
            </w:r>
          </w:p>
        </w:tc>
        <w:tc>
          <w:tcPr>
            <w:tcW w:w="18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Professional Services</w:t>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53 </w:t>
            </w:r>
          </w:p>
        </w:tc>
        <w:tc>
          <w:tcPr>
            <w:tcW w:w="18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Sales and Marketing expense</w:t>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18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amortization of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results of operations as a percentage of total revenue for each period presented above.</w:t>
      </w:r>
    </w:p>
    <w:tbl>
      <w:tblPr>
        <w:tblW w:w="10205" w:type="dxa"/>
        <w:jc w:val="left"/>
        <w:tblInd w:w="0" w:type="dxa"/>
        <w:tblCellMar>
          <w:top w:w="28" w:type="dxa"/>
          <w:left w:w="28" w:type="dxa"/>
          <w:bottom w:w="28" w:type="dxa"/>
          <w:right w:w="28" w:type="dxa"/>
        </w:tblCellMar>
      </w:tblPr>
      <w:tblGrid>
        <w:gridCol w:w="556"/>
        <w:gridCol w:w="395"/>
        <w:gridCol w:w="400"/>
        <w:gridCol w:w="248"/>
        <w:gridCol w:w="181"/>
        <w:gridCol w:w="304"/>
        <w:gridCol w:w="109"/>
        <w:gridCol w:w="109"/>
        <w:gridCol w:w="109"/>
        <w:gridCol w:w="227"/>
        <w:gridCol w:w="197"/>
        <w:gridCol w:w="288"/>
        <w:gridCol w:w="109"/>
        <w:gridCol w:w="109"/>
        <w:gridCol w:w="109"/>
        <w:gridCol w:w="247"/>
        <w:gridCol w:w="198"/>
        <w:gridCol w:w="466"/>
        <w:gridCol w:w="109"/>
        <w:gridCol w:w="109"/>
        <w:gridCol w:w="109"/>
        <w:gridCol w:w="255"/>
        <w:gridCol w:w="187"/>
        <w:gridCol w:w="444"/>
        <w:gridCol w:w="109"/>
        <w:gridCol w:w="109"/>
        <w:gridCol w:w="109"/>
        <w:gridCol w:w="248"/>
        <w:gridCol w:w="181"/>
        <w:gridCol w:w="304"/>
        <w:gridCol w:w="109"/>
        <w:gridCol w:w="109"/>
        <w:gridCol w:w="109"/>
        <w:gridCol w:w="227"/>
        <w:gridCol w:w="197"/>
        <w:gridCol w:w="288"/>
        <w:gridCol w:w="109"/>
        <w:gridCol w:w="109"/>
        <w:gridCol w:w="109"/>
        <w:gridCol w:w="247"/>
        <w:gridCol w:w="198"/>
        <w:gridCol w:w="466"/>
        <w:gridCol w:w="109"/>
        <w:gridCol w:w="109"/>
        <w:gridCol w:w="109"/>
        <w:gridCol w:w="271"/>
        <w:gridCol w:w="181"/>
        <w:gridCol w:w="515"/>
      </w:tblGrid>
      <w:tr>
        <w:trPr/>
        <w:tc>
          <w:tcPr>
            <w:tcW w:w="55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4"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Three Months Ended</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March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June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September 30,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December 31,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March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June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September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4"/>
              </w:rPr>
            </w:pPr>
            <w:r>
              <w:rPr>
                <w:rFonts w:ascii="Helvetica;sans-serif" w:hAnsi="Helvetica;sans-serif"/>
                <w:b/>
                <w:color w:val="000000"/>
                <w:sz w:val="14"/>
              </w:rPr>
              <w:t>December 31, 2020</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Revenue:</w:t>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Subscription</w:t>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Professional Services</w:t>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5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Subscription</w:t>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Professional Services</w:t>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5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 of revenue</w:t>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Gross profit</w:t>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Research and Development expense</w:t>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515"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Sales and Marketing expense</w:t>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 expense</w:t>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16 </w:t>
            </w:r>
          </w:p>
        </w:tc>
        <w:tc>
          <w:tcPr>
            <w:tcW w:w="515"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operating expenses</w:t>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(loss) profit</w:t>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Financial expenses (income), net</w:t>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96 </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Loss before provision for income taxes</w:t>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4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spacing w:before="0" w:after="180"/>
        <w:ind w:left="0" w:right="0" w:firstLine="360"/>
        <w:jc w:val="both"/>
        <w:rPr/>
      </w:pPr>
      <w:r>
        <w:rPr/>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Quarterly Revenue Trends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quarterly subscription revenue generally increased sequentially in the majority of the periods presented due to the growth from our existing customers and increases in revenue from new customers, with minor decreases in certain periods. These decreases were the result of one-time recognition of revenue from the sale of term licenses in the second and fourth quarters of 2019, which is recognized at the point in time in which the license is delivered to the customer. The majority of our subscription revenue is recognized ratably over the time of the subscription. Therefore, a substantial portion of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22250"/>
                <wp:effectExtent l="0" t="0" r="0" b="0"/>
                <wp:wrapNone/>
                <wp:docPr id="113" name="Frame10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revenue that we report in each period is attributable to the recognition of deferred revenue relating to sales we received during previous periods. Consequently, increases or decreases in renewals, customer expansion, or new sales in a period typically will not be fully reflected in our total subscription revenue for that period and will positively or negatively affect our revenue in future periods. Our quarterly professional services revenue generally increased for the periods presented, with minor decreases in certain periods as the timing for recognition of professional services revenue under certain of our arrangements occurs upon rendering the services.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Quarterly Cost of Revenue and Gross Margin Trends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quarterly cost of revenue increased sequentially in each of the periods presented in order to support growth in our subscription and professional services revenue. Our quarterly gross margins remained relatively flat for each of the periods presented in 2019. For the periods presented in 2020, gross margins decreased compared to the corresponding prior year periods and then remained relatively flat in 2020. Gross margins decreased in the periods presented in 2020 compared to the corresponding prior year periods primarily due to increased cloud-related costs and third-party solutions driven by higher consumption as a result of the COVID-19 pandemic and our migration to a public cloud infrastructure, as further described above under “—Components of our Results of Operations—Gross Margins.”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Quarterly Operating Expense Trends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quarterly operating expenses generally increased for the periods presented primarily due to increases in headcount and other personnel-related costs to support our growth. We experienced a decrease in total operating expenses during the second quarter of 2020 as compared to the first quarter of 2020 primarily as a result of a large one-time marketing event that took place during the first quarter of 2020. In addition, we also experienced lower costs resulting from temporary salary reductions, as well as lower costs related to facilities, marketing activities and business travel, all due to the COVID-19 pandemic. We also experienced a decrease in total operating expenses in the fourth quarter of 2020 as compared to the third quarter of 2020 primarily as a result of a one-time expense related to the abandonment of data center equipment, which was recorded in the third quarter of 2020. Excluding the first quarter of 2020 in which a one-time marketing event occurred, sales and marketing expenses remained relatively flat. In the fourth quarter of 2020, we began investing significantly in sales and marketing expenses to drive revenue growth, and we expect this trend to continue for the foreseeable future. We also intend to continue investing in research and development efforts for the foreseeable future as we focus on developing new features and enhancements to our product offerings. General and administrative expenses also increased in recent fiscal quarters due to increased costs related to preparing to be a public company, a trend we expect will continue for the foreseeable future.</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Quarterly Financial Expenses (Income), Net Trends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Excluding remeasurement of warrants to fair value, which occurred in the second quarter of 2019 and the first, second and fourth quarters of 2020, financial expenses remained relatively flat during the periods presented.</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Overview</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Since our inception, we have financed our operations primarily through net cash provided by operating activities, equity issuances, and borrowings under our long-term debt arrangements. Our primary requirements for liquidity and capital are to finance working capital, capital expenditures and general corporate purposes. Our principal sources of liquidity following this offering are expected to be our cash and borrowings available under our Revolving Credit Facility. As of December 31, 2020, we had cash of $27.7 million and no borrowings available under our Prior Revolving Credit Facility, which we refinanced in January of 2021.</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22250"/>
                <wp:effectExtent l="0" t="0" r="0" b="0"/>
                <wp:wrapNone/>
                <wp:docPr id="114" name="Frame11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“Risk Factors” and “—Key Factors Affecting Our Performance.”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Credit Facilities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February 2011, we entered into a loan and security agreement with a financial institution which, as of December 31, 2019, provided for a $20.0 million revolving credit facility (the “Prior Revolving Credit Facility”). The Prior Revolving Credit Facility was scheduled to mature on December 27, 2020 (which date was subsequently extended to January 17, 2021), and borrowings thereunder accrued interest at a floating rate per annum equal to the greater of (x) 0.5% above the prime rate, and (y) 4.75%, payable on a monthly basis. As of December 31, 2020, we had approximately $20.0 million of borrowings outstanding under the Prior Revolving Credit Facility and no unused borrowing availability. The interest rate then in effect was 4.75%.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April 2012, we entered into a loan and security agreement with an additional financial institution which, as subsequently amended and restated, provided for term loans in an aggregate principal amount of $30.0 million (the “Prior Term Loan Facility” and, together with the Prior Revolving Credit Facility, the “Prior Credit Facilities”). The Prior Term Loan Facility was scheduled to mature on October 31, 2023, and borrowings thereunder accrued interest at a rate per annum equal to the base rate (defined as the greater of (x) the highest prime rate in effect during the applicable month, and (y) 2.50% above the highest three-month LIBOR rate in effect during the applicable month) plus a margin of 4.50%, subject to a 9.50% floor and a 12.00% maximum, payable on a monthly basis. As of December 31, 2020, we had approximately $28.2 million outstanding under the Prior Term Loan Facility (net of unamortized issuance costs of $0.2 million), and the interest rate then in effect was 9.5%.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2021, we (i) repaid all amounts outstanding under our Prior Credit Facilities and terminated all outstanding commitments thereunder, and (ii) entered into a new credit agreement (the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The amount available for borrowing under the Revolving Credit Facility is limited to a borrowing base, which is equal to the product of (a) 600%, multiplied by (b) monthly Recurring Revenue for the most recently ended monthly period, multiplied by (c) the Retention Rate (in each case, as defined in the Credit Agreement). The Revolving Credit Facility includes a sub-facility for letters of credit in the aggregate availability amount of $10.0 million and a swingline sub-facility in the aggregate availability amount of $5.0 million, each of which reduces borrowing availability under the Revolving Credit Facility. We have the option to increase the commitments under the Revolving Credit Facility by up to $25.0 million, subject to certain conditions.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Borrowings under the Credit Facilities are subject to interest, determined as follows: (a) Eurodollar loans accrue interest at a rate per annum equal to the Eurodollar rate determined for such day plus a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22250"/>
                <wp:effectExtent l="0" t="0" r="0" b="0"/>
                <wp:wrapNone/>
                <wp:docPr id="115" name="Frame11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 In addition to paying interest on the principal amounts outstanding under the Credit Facilities, we are required to pay a commitment fee under the Revolving Credit Facility on unused amounts at a rate of 0.25% per annum. We are also required to pay customary letter of credit and agency fees.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Amounts outstanding under the Credit Facilities may be voluntarily prepaid at any time and from time to time, in whole or in part, without premium or penalty. All voluntary prepayments (other than ABR loans borrowed under the Revolving Credit Facility) must be accompanied by accrued and unpaid interest on the principal amount being prepaid and customary “breakage” costs, if any, with respect to prepayments of Eurodollar loans.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Facility is payable in consecutive quarterly installments on the last day of each fiscal quarter in an amount equal to (x) $250,000 for installments payable on March 31, 2021 through December 31, 2021, (y) $750,000 for installments payable on March 31, 2022 through December 31, 2022, and (z) $1.5 million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Credit Agreement contains a number of covenants that, among other things and subject to certain exceptions, restrict our ability, and the ability of our subsidiaries, to: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create, issue, incur, assume, become liable in respect of or suffer to exist any debt or liens;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consummate any merger, consolidation or amalgamation, or liquidate, wind up or dissolve, or dispose of all or substantially all of our or their respective property or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dispose of property or, in the case of our subsidiaries, issue or sell any shares of such subsidiary’s capital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repay, prepay, redeem, purchase, retire or defease subordinated debt;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declare or pay dividends or make certain other restricted payments;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make certain investments;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enter into transactions with affiliates;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enter into new lines of business; and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22250"/>
                <wp:effectExtent l="0" t="0" r="0" b="0"/>
                <wp:wrapNone/>
                <wp:docPr id="116" name="Frame11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make certain amendments to our or their respective organizational documents or certain material contracts.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Credit Agreement also contains certain financial covenants that require us to maintain a minimum amount of Annualized Recurring Revenue (as defined in the Credit Agreement) as of the last day of each fiscal quarter (which minimum amount increases through the fiscal quarter ending December 31, 2023), and Liquidity (as defined in the Credit Agreement) of at least $10 million as of the last day of any calendar month.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“Change of Control” is defined as (a) any “person” or “group” (as defined in Sections 13(d) and 14(d) of the Exchange Act) becoming the beneficial owner of 40% or more of the ordinary voting power for the election of our directors, (b) during any 24-month period, a majority of the members of our board of directors ceasing to be composed of individuals (i) who were members thereof on the first day of such period, (ii) whose election or nomination thereto was approved by individuals referred to in the foregoing clause constituting at least a majority of such board, or (iii) whose election or nomination thereto was approved by individuals referred to in the foregoing clauses (i) and (ii) constituting at least a majority of such board; or (c) at any time, if we cease to own and control 100% of each class of outstanding capital stock of each guarantor free and clear of all liens (other than certain permitted liens).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1, 2021, we had approximately $39.5 million of borrowings outstanding under the Term Loan Facility (net of $0.5 million of unamortized issuance costs), and the interest rate then in effect was 4.5%.</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1, 2021, we had approximately $9.9 million of borrowings outstanding under the Revolving Credit Facility (net of $0.1 million of unamortized issuance costs), and no additional borrowings available thereunder. The interest rate then in effect was 4.5%.</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foregoing summary describes the material provisions of our Credit Facilities, but may not contain all information that is important to you. We urge you to read the provisions of the Credit Agreement and the other agreements governing the Credit Facilities, which have been filed as exhibits to the registration statement of which this prospectus forms a part.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22250"/>
                <wp:effectExtent l="0" t="0" r="0" b="0"/>
                <wp:wrapNone/>
                <wp:docPr id="117" name="Frame11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v:rect>
            </w:pict>
          </mc:Fallback>
        </mc:AlternateConten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Cash Flows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presented:</w:t>
      </w:r>
    </w:p>
    <w:tbl>
      <w:tblPr>
        <w:tblW w:w="8822" w:type="dxa"/>
        <w:jc w:val="left"/>
        <w:tblInd w:w="0" w:type="dxa"/>
        <w:tblCellMar>
          <w:top w:w="28" w:type="dxa"/>
          <w:left w:w="28" w:type="dxa"/>
          <w:bottom w:w="28" w:type="dxa"/>
          <w:right w:w="28" w:type="dxa"/>
        </w:tblCellMar>
      </w:tblPr>
      <w:tblGrid>
        <w:gridCol w:w="2266"/>
        <w:gridCol w:w="1987"/>
        <w:gridCol w:w="2001"/>
        <w:gridCol w:w="211"/>
        <w:gridCol w:w="751"/>
        <w:gridCol w:w="109"/>
        <w:gridCol w:w="109"/>
        <w:gridCol w:w="109"/>
        <w:gridCol w:w="109"/>
        <w:gridCol w:w="221"/>
        <w:gridCol w:w="788"/>
        <w:gridCol w:w="161"/>
      </w:tblGrid>
      <w:tr>
        <w:trPr/>
        <w:tc>
          <w:tcPr>
            <w:tcW w:w="2266"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2020</w:t>
            </w:r>
            <w:r>
              <w:rPr>
                <w:rFonts w:ascii="Helvetica;sans-serif" w:hAnsi="Helvetica;sans-serif"/>
                <w:b/>
                <w:color w:val="000000"/>
                <w:sz w:val="10"/>
              </w:rPr>
              <w:t>(1)</w:t>
            </w:r>
          </w:p>
        </w:tc>
      </w:tr>
      <w:tr>
        <w:trPr/>
        <w:tc>
          <w:tcPr>
            <w:tcW w:w="6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6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5,804 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financing activities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(decrease) increase in cash, cash equivalents, and restricted cash</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at beginning of period</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27,144 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(1)Our consolidated financial statements have been restated. See Note 20 to our consolidated financial statements included elsewhere in this prospectus. </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Operating Activities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flows provided by operating activities increased by $5.4 million for the year ended December 31, 2020 as compared to the year ended December 31, 2019.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operating activities of $0.4 million for the year ended December 31, 2019 was primarily due to $15.6 million in incremental net loss, adjusted for non-cash charges of $12.5 million, and net cash inflows of $3.5 million provided by changes in our operating assets and liabilities. Non-cash charges primarily consisted of remeasurement of warrants to fair value of $5.3 million, depreciation and amortization of $4.5 million, and stock-based compensation expenses of $2.3 million. The main drivers of net cash inflows were derived from the changes in operating assets and liabilities and were related to a decrease in trade receivables of $6.2 million and an aggregate increase in trade payables and employees accruals of $3.5 million, partially offset by an addition to deferred contract acquisition costs of $3.3 million, a decrease in accrued expenses of $1.5 million and a decrease in deferred revenue of $1.3 million.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operating activities of $5.8 million for the year ended December 31, 2020 was primarily due to $58.8 million in incremental net loss, adjusted for non-cash charges of $54.6 million, and net cash inflows of $10.0 million provided by changes in our operating assets and liabilities. Non-cash charges primarily consisted of remeasurement of warrants to fair value of $41.5 million, depreciation, amortization and abandonment costs of $7.7 million, and stock-based compensation expenses of $5.1 million. The main drivers of net cash inflows were derived from the changes in operating assets and liabilities and were related to an increase in deferred revenue of $12.3 million and an aggregate increase in employees accruals, trade payables and accrued expenses and other liabilities of $13.5 million, partially offset by an addition to deferred contract acquisition costs of $8.7 million, an increase in trade receivables of $6.3 million and an increase in prepaid expenses and other assets of $0.9 million.</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Investing Activities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flows used in investing activities remained flat at $2.7 million for the years ended December 31, 2019 and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investing activities of $2.7 million for the year ended December 31, 2019 was related to capital expenditures of $2.2 million, capitalized internal-use software of $0.3 million, and a purchase of intangible assets of $0.2 million.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22250"/>
                <wp:effectExtent l="0" t="0" r="0" b="0"/>
                <wp:wrapNone/>
                <wp:docPr id="118" name="Frame11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investing activities of $2.7 million for the year ended December 31, 2020 was related to capitalized internal-use software of $1.8 million, capital expenditures of $1.1 million, and a purchase of intangible assets of $0.2 million, partially offset by net cash acquired in a business combination of $0.4 million.</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Financing Activities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cash flows provided by financing activities decreased by $2.1 million for the year ended December 31, 2020 as compared to the year ended December 31, 2019.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financing activities of $0.3 million for the year ended December 31, 2019 was primarily related to net proceeds from long-term loans of $3.0 million and proceeds from exercise of stock options of $0.1 million, partially offset by repayment of finance lease liabilities of $2.8 million.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financing activities of $1.8 million for the year ended December 31, 2020 was primarily related to repayment of finance lease liabilities of $2.3 million and payments of deferred offering costs of $0.1 million, partially offset by net proceeds from long-term loans of $0.3 million and proceeds from exercise of stock options of $0.3 million.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Contractual Obligations and Commitments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contractual obligations and commitments as of December 31, 2020:</w:t>
      </w:r>
    </w:p>
    <w:tbl>
      <w:tblPr>
        <w:tblW w:w="9944" w:type="dxa"/>
        <w:jc w:val="left"/>
        <w:tblInd w:w="0" w:type="dxa"/>
        <w:tblCellMar>
          <w:top w:w="28" w:type="dxa"/>
          <w:left w:w="28" w:type="dxa"/>
          <w:bottom w:w="28" w:type="dxa"/>
          <w:right w:w="28" w:type="dxa"/>
        </w:tblCellMar>
      </w:tblPr>
      <w:tblGrid>
        <w:gridCol w:w="956"/>
        <w:gridCol w:w="841"/>
        <w:gridCol w:w="843"/>
        <w:gridCol w:w="211"/>
        <w:gridCol w:w="856"/>
        <w:gridCol w:w="109"/>
        <w:gridCol w:w="109"/>
        <w:gridCol w:w="109"/>
        <w:gridCol w:w="109"/>
        <w:gridCol w:w="275"/>
        <w:gridCol w:w="978"/>
        <w:gridCol w:w="142"/>
        <w:gridCol w:w="109"/>
        <w:gridCol w:w="109"/>
        <w:gridCol w:w="109"/>
        <w:gridCol w:w="211"/>
        <w:gridCol w:w="751"/>
        <w:gridCol w:w="109"/>
        <w:gridCol w:w="109"/>
        <w:gridCol w:w="109"/>
        <w:gridCol w:w="109"/>
        <w:gridCol w:w="235"/>
        <w:gridCol w:w="453"/>
        <w:gridCol w:w="121"/>
        <w:gridCol w:w="109"/>
        <w:gridCol w:w="109"/>
        <w:gridCol w:w="109"/>
        <w:gridCol w:w="423"/>
        <w:gridCol w:w="814"/>
        <w:gridCol w:w="308"/>
      </w:tblGrid>
      <w:tr>
        <w:trPr/>
        <w:tc>
          <w:tcPr>
            <w:tcW w:w="95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Payments Due by Year</w:t>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More than 5 years</w:t>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Debt obligations</w:t>
            </w:r>
            <w:r>
              <w:rPr>
                <w:rFonts w:ascii="Helvetica;sans-serif" w:hAnsi="Helvetica;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52,334 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32,312 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20,022 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Operating lease obligations</w:t>
            </w:r>
            <w:r>
              <w:rPr>
                <w:rFonts w:ascii="Helvetica;sans-serif" w:hAnsi="Helvetica;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1,936 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Capital lease obligations</w:t>
            </w:r>
            <w:r>
              <w:rPr>
                <w:rFonts w:ascii="Helvetica;sans-serif" w:hAnsi="Helvetica;sans-serif"/>
                <w:b w:val="false"/>
                <w:color w:val="000000"/>
                <w:sz w:val="13"/>
              </w:rPr>
              <w:t>(3)</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Purchase obligations</w:t>
            </w:r>
            <w:r>
              <w:rPr>
                <w:rFonts w:ascii="Helvetica;sans-serif" w:hAnsi="Helvetica;sans-serif"/>
                <w:b w:val="false"/>
                <w:color w:val="000000"/>
                <w:sz w:val="13"/>
              </w:rPr>
              <w:t>(4)</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9,527 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35,189 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45,556 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(1)Represents borrowings outstanding under our Prior Credit Facilities as of December 31, 2020, together with estimated interest payments thereon based on the interest rates in effect for such indebtedness as of December 31, 2020. See “—Liquidity and Capital Resources—Credit Facilities.”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(2)Represents minimum lease payments under our non-cancelable operating leases for certain real property and equipment.</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(3)Represents minimum lease payments under capital leases together with estimated interest payments thereon based on the interest rates in effect as of December 31, 2020.</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(4)Includes $40.0 million of remaining non-cancelable contractual commitments as of December 31, 2020 related to one of our third-party cloud infrastructure agreements, under which we committed to spend an aggregate of at least $40.0 million between January 2021 and December 2024 with a minimum purchase commitment of $7.0 million during any year. Other purchase obligations represent total future minimum payments under contracts with marketing related activities and other vendors.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reported other liabilities of $3.9 million in our consolidated balance sheet at December 31, 2020, which principally consists of unrecognized tax benefits (see Note 15 to our consolidated financial statements included elsewhere in this prospectus). We have excluded these liabilities from the contractual obligations table above. A variety of factors could affect the timing of payments for the liabilities related to unrecognized tax benefits. Therefore, we cannot reasonably estimate the timing of such payments.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contractual commitment amounts in the table above are associated with agreements that are enforceable and legally binding. Obligations under contracts that we can cancel without a significant penalty are not included in the table above.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22250"/>
                <wp:effectExtent l="0" t="0" r="0" b="0"/>
                <wp:wrapNone/>
                <wp:docPr id="119" name="Frame11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subsequent to December 31, 2020, we (i) repaid all amounts outstanding under our Prior Credit Facilities and terminated all outstanding commitments thereunder, and (ii) entered into a new credit agreement with one of our existing lenders providing for the Term Loan Facility and the Revolving Credit Facility, as described above under “—Liquidity and Capital Resources—Credit Facilities.”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Off-Balance Sheet Arrangements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did not have any off-balance sheet arrangements as of December 31, 2020.</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Critical Accounting Policies and Estimates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audited consolidated financial statements included elsewhere in this prospectus for additional information regarding these and our other significant accounting policies.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Revenue recognition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1, 2019, we adopted ASU No. 2014-09, Revenue from Contracts with Customers (Topic 606), using the modified retrospective method applied to those contracts that were not completed as of January 1, 2019. Results for reporting periods beginning after January 1, 2019 are presented under ASU No. 2014-09.</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provide subscriptions to our Video Experience Cloud, which powers live, real-time and on-demand video experiences. We provide access to our platform either as a cloud-based service (“SaaS and PaaS”) or, less commonly, as On-Prem.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from post-contract services (“PCS”) included in On-Prem projects is recognized ratably over the time of the PCS.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some of our arrangements, professional services are accounted for as a separate performance obligation, and revenue will be recognized upon rendering the service. However, in some of our SaaS and PaaS arrangements we determined that the professional services are solely set up activities that do not transfer goods or services to the customer and therefore are not accounted for as a separate performance obligation.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we have elected to apply the practical expedient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22250"/>
                <wp:effectExtent l="0" t="0" r="0" b="0"/>
                <wp:wrapNone/>
                <wp:docPr id="120" name="Frame11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for financing component for transactions in which the difference between the payment date and the revenue recognition timing is up to 12 months.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applicable, we allocate the transaction price between the separate performance obligations according to their standalone selling price (“SSP”) which is based on the price at which the performance obligation is sold separately. If the SSP is not observable through past transactions, we estimate the SSP taking into account available information, including, but not limited to, pricing practices, market conditions and the economic life of the software.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receive payments from customers based upon contractual billing schedules, usually net 30 days from the invoice date.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record accounts receivable and related contract liabilities for non-cancelable contracts with customers when the right to consideration is unconditional.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Contract costs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Some of the sales commissions and bonuses earned by our employees and management are considered incremental and recoverable costs of obtaining a contract with a customer. Sales commissions and bonuses for new contracts are deferred and then amortized on a straight-line basis over a period of benefit that we have estimated to be five years. This period of benefit was determined by taking into consideration the technology's useful life and other factors. Sales bonuses for renewal contracts are deferred and then amortized on a straight-line basis over the related contractual renewal period. We classify deferred product costs as current or long-term based on the timing of when we expect to recognize the expense.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of sales commissions are consistent with the pattern of revenue recognition of each performance obligation and are included mainly in selling and marketing expenses in the consolidated statements of operations. We chose to apply the practical expedient in ASC Topic 606 to expense costs as incurred for sales commissions when the amortization period would have been one year or less.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capitalize costs incurred to fulfill its contracts when the costs relate directly to a contract and are expected to generate resources that will be used to satisfy the performance obligation under the contract and are expected to be recovered through revenue generated under the contract. Costs to fulfill contracts are expensed to cost of revenue on a straight-line basis over a period of five years.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Stock-based compensation</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Service-based 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account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our consolidated statements of comprehensive income.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selected the Black-Scholes option-pricing model as the most appropriate fair value method for its option awards. The option-pricing model requires a number of assumptions, of which the most significant are the fair value of our common stock, the expected stock price volatility, expected option term, risk-free interest rates and expected dividend yield.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fair value of common stock underlying the options has historically been determined by management and our board of directors. Because there has been no public market for our common stock, our board of directors has determined fair value of a share of common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common stock will be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22250"/>
                <wp:effectExtent l="0" t="0" r="0" b="0"/>
                <wp:wrapNone/>
                <wp:docPr id="121" name="Frame11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determined by our board of directors until such time as our common stock is listed on an established stock exchange. Our board of directors determined the fair value of our common stock based on valuations performed using the OPM for the year ended December 31,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recognize compensation cost for options and stock awards that have a graded vesting schedule on a straight-line basis over the requisite service period for the entire award.</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Market-based 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granted three of our executives stock options that vest only upon the satisfaction of market-based conditions. The market-based conditions reflect specific prices for our common stock, which must be exceeded for each tranche of the grant to vest.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market-based awards, we determine the grant date fair value utilizing a Monte Carlo simulation model, which incorporates various assumptions including expected stock price volatility, risk-free interest rates, expected exercise behavior for vested options, expected date of a qualifying event and expected form and timing of a liquidity event. We estimate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recognize compensation expenses for the value of our market-based awards based on the accelerated attribution method over the estimated requisite service period of each of the awards. We have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Common stock valuation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common stock was determined by our board of directors, with input from management, and taking into account the most recent valuation from an independent third-party valuation specialist. These valuations were determined in accordance with the guidelines outlined in the American Institute of Certified Public Accountants Accounting and Valuation Guide: Valuation of Privately-Held-Company Equity Securities Issued as Compensation. The assumptions we used in the valuation models were based on future expectations combined with management judgment. Numerous objective and subjective factors were considered in the determination of the fair value of our common stock as of the date of each option grant, including the following factors: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contemporaneous valuations performed at periodic intervals by an independent third-party specialist;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likelihood and timing of achieving a liquidity event, such as an initial public offering or sale;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liquidation preferences, rights, and privileges of our preferred stocks relative to our common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nature and history of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general economic conditions and our industry outlook;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overall financial condition;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22250"/>
                <wp:effectExtent l="0" t="0" r="0" b="0"/>
                <wp:wrapNone/>
                <wp:docPr id="122" name="Frame11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earning capacity;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dividend history;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existence of goodwill or other intangible value within our business;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prior sales of interests in the business and the size of the interest being valued;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market price of equity interest in companies engaged in the same or a similar lines of business;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adjustments necessary to recognize a lack of marketability of the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valuing our common stock, absent an arm’s-length current/recent round of financing, the fair value of our business, or equity value, was determined using both the income approach and market approach.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income approach estimates value based on the expectation of future cash flows that the company will generate. These future cash flows are discounted to their present values using a discount rate based on the capital rates of return for comparable publicly traded companies and are adjusted to reflect the risks inherent in the Company’s cash flows relative to those inherent in the companies utilized in the discount rate calculation.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 approach estimates value based on a comparison of the company to comparable public companies in a similar line of business. From the comparable companies, representative market value multiples are determined and then applied to the Company’s financial results to estimate the Company’s value.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resulting equity value was then allocated to each share class using an Option Pricing Model (“OPM”). Under the OPM, preferred and common stock are treated as a series of call options, with the preferred stocks having an exercise price based on the liquidation preference of the respective preferred share. The OPM operates through a series of Black-Scholes-Merton option pricing models, with the exercise prices of the options representing the upper and lower bounds of the proceed ranges that a security holder would receive upon a liquidity event. The strike prices occur at break points where the allocation of firm value changes among the various security holders. The common stock are presumed to have value only if funds available for distribution to shareholders exceed the value of the respective liquidation preferences at the time of a liquidity event.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July 2016, we used a hybrid approach whereby we used an OPM to model the proceeds to the various shares, options, and warrants in case of a sale. As preferred shares convert to common shares in case of an initial public offering, we used a fully-diluted share analysis, taking into account in-the-money options and warrants, to model the proceeds to the various securities in case of an initial public offering. In each period, we estimated the likelihood of a liquidity event taking the form of an initial public offering rather than a sale and weighted the results of the two analyses accordingly.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June 2019, we continued using a hybrid approach with a separate analysis for an initial public offering exit and sale exit. For the initial public offering analysis, we built a separate OPM, assuming the conversion of preferred shares and using breakpoints that reflected the expected exercise of options and warrants.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each valuation date, after the common stock value was determined, a discount for lack of marketability (“DLOM”) was applied to arrive at the fair value of the common stock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value. The discount for lack of marketability was determined using a put option as a proxy for measuring discounts for lack of marketability of securities.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22250"/>
                <wp:effectExtent l="0" t="0" r="0" b="0"/>
                <wp:wrapNone/>
                <wp:docPr id="123" name="Frame11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considered any secondary transactions involving our capital shares. In our evaluation of those transactions, we considered the facts and circumstances of each transaction to determine the extent to which they represented a fair value exchange. Factors considered include: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transaction volume;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proximity in time to other transactions as well as the valuation date;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frequency of similar transactions;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whether the transactions occurred between willing and unrelated parties;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whether the transactions involved parties with sufficient access to our financial; information from which to make an informed decision on price.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Application of these approaches involves the use of estimates, judgments, and assumptions that are highly complex and subjective, such as those regarding our expected future revenue, expenses,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December 24, 2020, our board of directors awarded options to purchase shares of our common stock (the “December Awards”). However, in light of the difference between the estimated price range for this offering and the fair value used for these stock options, in order to determine the appropriate stock-based compensation expense for these stock options for financial reporting purposes, we re-evaluated our initial estimate of the fair value of our common stock. As a result of our re-evaluation, we determined that, solely for financial reporting purposes, the fair value of our common stock was higher than the fair value of our common stock determined in good faith by our board of directors for the December Awards. We determined the fair value per share of our common stock for financial reporting purposes was $7.79 and $7.16 as of December 31, 2020 and December 24, 2020, respectively. Accordingly, we retrospectively adjusted the fair value per share of our common stock for financial reporting purposes as of the date of the December Awards. Accordingly, the stock-based compensation expense related to these options will result in material increases in our operating expenses in future periods. For additional information regarding the re-evaluation of the December Awards, see Notes 2v, 14 and 20 to our consolidated financial statements included elsewhere in this prospectus.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Upon the closing of this offering, our common stock will be publicly traded, and we will rely on the closing price of our common stock as reported on the date of grant to determine the fair value of our common stock.</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Recent Accounting Pronouncements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Please see Note 2 to our audited consolidated financial statements included elsewhere in this prospectus for information regarding recent accounting pronouncements.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Jumpstart Our Business Startups Act of 2012</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22250"/>
                <wp:effectExtent l="0" t="0" r="0" b="0"/>
                <wp:wrapNone/>
                <wp:docPr id="124" name="Frame12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and the reported results of operations contained therein may not be directly comparable to those of other public companies.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Quantitative and Qualitative Disclosures about Market Risk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Foreign Currency and Exchange Risk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 This foreign currency exposure gives rise to market risk associated with exchange rate movements of the U.S. dollar against the NIS and Euros. Furthermore, we anticipate that a significant portion of our expenses will continue to be denominated in NIS. We do not hedge against currency risk. A hypothetical 10% change in foreign currency exchange rates applicable to our business would have had an impact on our results due to NIS of $5.0 million and $6.1 million and due to Euros of $2.7 million and $2.8 million for the years ended December 31, 2019 and 2020, respectively.</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Interest Rate Risk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2019 and 2020, we had outstanding floating rate debt obligations of $48.0 million and $48.3 million, respectively (consisting, in each case, of the outstanding principal balance under our credit facilities). Accordingly, fluctuations in market interest rates my increase or decrease our interest expense which will, in turn, increase or decrease our net income and cash flow. We seek to manage exposure to adverse interest rate changes through our normal operating and financing activities. At this time, we do not use derivative instruments to mitigate our interest rate risk. A hypothetical 10% change in interest rates during the years presented would have resulted in a change to annual interest expense of $0.4 million for each of the years ended December 31, 2019 and 2020.</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Impact of Inflation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22250"/>
                <wp:effectExtent l="0" t="0" r="0" b="0"/>
                <wp:wrapNone/>
                <wp:docPr id="125" name="Frame12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A LETTER FROM RON YEKUTIEL</w: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Dear prospective investors,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Thank you for considering an investment in Kaltura. You’ll find an overview of our business and its financial results in this prospectus, yet it is my strong belief that the drive and motivation behind the company, as well as its values and culture, are as important when deciding to invest. For this reason I’d like to share with you my personal perspective of who we are, what inspires and motivates us, and why I believe Kaltura represents an exciting investment opportunity.</w:t>
      </w:r>
    </w:p>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Kaltura - Open, Flexible, and Collaborative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late 2006 Dr. Shay David, Eran Etam, Dr. Michal Tsur, and I embarked on a quest to build a meaningful and impactful business together. It was the time when Amazon gave birth to Cloud Computing and Apple unveiled the iPhone. Information Technology was just starting its transition from powering large corporations through server rooms and clunky computers, to boosting all organizations, straight from the cloud to the growing proliferation of smart devices.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Having each founded trailblazing startups prior to Kaltura, we were all very excited and passionate about harnessing the huge potential in what we felt would become a massive digital transformation. But even before deciding on which sector we should enter and which products we would build, we all agreed that we should embark on a mission that would promote access for all, democratization, and pluralism. Our first action therefore was to define, pledge and commit to a set of founding values that would represent this quest. After careful thought, we chose Openness, Flexibility, and Collaboration to act as our north star.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So that we always remember to stay true to these principles, we called our new company “Kaltura” - a word which resembles the word Culture in many languages, and we gave it a colorful sunny logo that also represented to us our ideals of diversity and inclusion. With our quest defined and with founding values in place, we then turned to think about what our company would actually do.</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Fourteen years later, I am proud to say that we, alongside hundreds of fellow Kalturians, have created an incredible company which is powering digital transformation for leading organizations all around the world, and are propelling and promoting access, democratization, and pluralism for millions of people at work, home, and school. We have stayed true and focused on our founding values of openness, flexibility, and collaboration. These values are written on the walls of our offices around the world and they underpin our products, technology architecture, and go-to-market strategy, and are at the heart of our HR practices and outspoken commitment for inclusion, diversity, equality and of doing good while doing well.</w:t>
      </w:r>
    </w:p>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Powering Any Video Experience, For Any Organization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But let’s go back to the fall of 2006. YouTube was acquired by Google after becoming the world’s fastest growing website, delivering 100 million video views per day. The online video revolution was afoot, and the four of us were immediately inspired and intrigued by the potential of this new and exciting medium to support our quest of promoting access for all, democratization, and pluralism.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were certain that online video would rapidly advance beyond its initial use for short-form entertainment and user-generated-content. We believed wholeheartedly that, with the rise of cloud computing and smart devices, it would not be long before organizations around the world would embrace a ‘video-first’ strategy for engaging internal and external constituents, making video the main medium used for onboarding, training, communication, collaboration, marketing, sales, and customer care. We envisioned video powering mission-critical services across a multitude of industry solutions, including internet-powered television, online education, remote healthcare, branchless banking, e-commerce, smart cities and much more.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22250"/>
                <wp:effectExtent l="0" t="0" r="0" b="0"/>
                <wp:wrapNone/>
                <wp:docPr id="126" name="Frame12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question was then ignited in our minds – what could we do to help turn this ‘videofied world’ vision into reality?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quickly understood that the full promise of online video would NOT be realized by the mere launch of discrete, stand-alone, monolithic point solutions for organizations, but rather, by treating video as a new horizontal data type and enabling it to be easily and flexibly inserted into any product or workflow. We believed that what could be perceived as very different video products would actually rely on a similar set of core video capabilities, such as video creation, ingestion, transcoding, management, distribution, security, publishing, engaging, and analytics. We were also convinced that it was imperative for video to flow seamlessly across different products while minimizing content and metadata silos and disjointed workflows. We felt it was paramount for innovation coming from the wide array of video-tech providers to be integrated to seamlessly work together. Lastly, we envisaged live, on-demand, and real-time video converging together harmoniously to yield online experiences that would be hyper-engaging, interactive, and personalized. </w:t>
      </w:r>
    </w:p>
    <w:p>
      <w:pPr>
        <w:pStyle w:val="TextBody"/>
        <w:spacing w:lineRule="auto" w:line="288" w:before="0" w:after="180"/>
        <w:ind w:left="0" w:right="0" w:firstLine="360"/>
        <w:jc w:val="both"/>
        <w:rPr/>
      </w:pPr>
      <w:r>
        <w:rPr>
          <w:rFonts w:ascii="Helvetica;sans-serif" w:hAnsi="Helvetica;sans-serif"/>
          <w:b w:val="false"/>
          <w:color w:val="000000"/>
          <w:sz w:val="20"/>
        </w:rPr>
        <w:t>It came down to a clear, deeply rooted realization: what organizations needed was a single horizontal video platform that would flexibly cater to all their video products and workflows - a video Lego</w:t>
      </w:r>
      <w:r>
        <w:rPr>
          <w:rFonts w:ascii="Helvetica;sans-serif" w:hAnsi="Helvetica;sans-serif"/>
          <w:b w:val="false"/>
          <w:color w:val="000000"/>
          <w:sz w:val="13"/>
        </w:rPr>
        <w:t>TM</w:t>
      </w:r>
      <w:r>
        <w:rPr>
          <w:color w:val="000000"/>
        </w:rPr>
        <w:t xml:space="preserve"> </w:t>
      </w:r>
      <w:r>
        <w:rPr>
          <w:rFonts w:ascii="Helvetica;sans-serif" w:hAnsi="Helvetica;sans-serif"/>
          <w:b w:val="false"/>
          <w:color w:val="000000"/>
          <w:sz w:val="20"/>
        </w:rPr>
        <w:t>kit of sort. Such platform should be based on a wide range of media services built upon APIs covering the entire on-demand, live, and real-time video life cycle and enable developers to easily build any video experience. It should also include a large set of flexible cross-industry products and industry-specific solutions that would be assembled atop of these media services, and enable easy customization and integration. Lastly it should include an independent software vendor marketplace that would allow it to easily integrate and be interoperable with third party video technology offerings.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decided to build such a platform, which we called the Kaltura Video Experience Cloud, and set sail on our inspiring mission to Power Any Video Experience, for Any Organization.</w:t>
      </w:r>
    </w:p>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Video Today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I write this letter to you, video has undoubtedly become mission-critical to people and organizations alike. It is ubiquitous, turning individuals into broadcasters, making every company a media company, enabling companies to utilize its power internally with employees, externally with customers, and very often also within its very own products and services. </w:t>
      </w:r>
    </w:p>
    <w:p>
      <w:pPr>
        <w:pStyle w:val="TextBody"/>
        <w:spacing w:lineRule="auto" w:line="288" w:before="0" w:after="180"/>
        <w:ind w:left="0" w:right="0" w:firstLine="360"/>
        <w:jc w:val="both"/>
        <w:rPr/>
      </w:pPr>
      <w:r>
        <w:rPr>
          <w:rFonts w:ascii="Helvetica;sans-serif" w:hAnsi="Helvetica;sans-serif"/>
          <w:b w:val="false"/>
          <w:color w:val="000000"/>
          <w:sz w:val="20"/>
        </w:rPr>
        <w:t>In the fourteen years since we set out to build Kaltura, broadband, smartphones, cloud computing, and enterprise digital transformation have fueled video growth, bringing video close to a staggering 80% of total internet traffic</w:t>
      </w:r>
      <w:r>
        <w:rPr>
          <w:rFonts w:ascii="Helvetica;sans-serif" w:hAnsi="Helvetica;sans-serif"/>
          <w:b w:val="false"/>
          <w:color w:val="000000"/>
          <w:sz w:val="13"/>
        </w:rPr>
        <w:t>1</w:t>
      </w:r>
      <w:r>
        <w:rPr>
          <w:rFonts w:ascii="Helvetica;sans-serif" w:hAnsi="Helvetica;sans-serif"/>
          <w:b w:val="false"/>
          <w:color w:val="000000"/>
          <w:sz w:val="20"/>
        </w:rPr>
        <w:t xml:space="preserve">. And little could we have anticipated that in 2020, as the COVID-19 pandemic hit the world, video would become the essential communication tool for people and companies alike across sectors, geographies, and platforms. Video has become the glue that keeps companies working; it ensures employees can do their jobs even in challenging times; it keeps students in school – helping to secure their future; it enables news information to travel across countries; and powers physicians to collaborate and to provide medical services remotely. It facilitates a dialog, provides a foundation for communities’ liveliness, and presents endless opportunities for the future. </w:t>
      </w:r>
    </w:p>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Kaltura Today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Over the last decade we have been sharing the journey shoulder to shoulder with talented, dedicated, resilient, optimistic, and extremely hard working Kalturians who are immensely committed to, and excited about, proliferating the use of video while advancing our shared core values of openness, flexibility, and collaboration.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built our Kaltura video Lego™ kit piece by piece, patiently and thoughtfully. It now consists of hundreds of APIs governing live, on-demand, and real-time video. We provide them for companies to build their very own video experiences and have also used them ourselves to build our ten leading </w:t>
      </w:r>
    </w:p>
    <w:p>
      <w:pPr>
        <w:pStyle w:val="TextBody"/>
        <w:spacing w:lineRule="auto" w:line="288"/>
        <w:jc w:val="both"/>
        <w:rPr/>
      </w:pPr>
      <w:r>
        <w:rPr>
          <w:rFonts w:ascii="Helvetica;sans-serif" w:hAnsi="Helvetica;sans-serif"/>
          <w:b w:val="false"/>
          <w:color w:val="000000"/>
          <w:sz w:val="13"/>
        </w:rPr>
        <w:t>1</w:t>
      </w:r>
      <w:r>
        <w:rPr>
          <w:color w:val="000000"/>
        </w:rPr>
        <w:t xml:space="preserve"> </w:t>
      </w:r>
      <w:r>
        <w:rPr>
          <w:rFonts w:ascii="Helvetica;sans-serif" w:hAnsi="Helvetica;sans-serif"/>
          <w:b w:val="false"/>
          <w:color w:val="000000"/>
          <w:sz w:val="20"/>
        </w:rPr>
        <w:t>According to Cisco’s Visual Networking Index.</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22250"/>
                <wp:effectExtent l="0" t="0" r="0" b="0"/>
                <wp:wrapNone/>
                <wp:docPr id="127" name="Frame12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products and industry solutions – and are already planning our next set of products and new industry solutions.</w:t>
      </w:r>
    </w:p>
    <w:p>
      <w:pPr>
        <w:pStyle w:val="TextBody"/>
        <w:spacing w:lineRule="auto" w:line="288" w:before="0" w:after="180"/>
        <w:ind w:left="0" w:right="0" w:firstLine="360"/>
        <w:jc w:val="both"/>
        <w:rPr/>
      </w:pPr>
      <w:r>
        <w:rPr>
          <w:rFonts w:ascii="Helvetica;sans-serif" w:hAnsi="Helvetica;sans-serif"/>
          <w:b w:val="false"/>
          <w:color w:val="000000"/>
          <w:sz w:val="20"/>
        </w:rPr>
        <w:t>We are extremely proud to power over 1,000 organizations around the world and to be recognized as a leader by market research firms. Our customers and partners engage over 15 million</w:t>
      </w:r>
      <w:r>
        <w:rPr>
          <w:rFonts w:ascii="Helvetica;sans-serif" w:hAnsi="Helvetica;sans-serif"/>
          <w:b w:val="false"/>
          <w:color w:val="000000"/>
          <w:sz w:val="13"/>
        </w:rPr>
        <w:t>2</w:t>
      </w:r>
      <w:r>
        <w:rPr>
          <w:color w:val="000000"/>
        </w:rPr>
        <w:t xml:space="preserve"> </w:t>
      </w:r>
      <w:r>
        <w:rPr>
          <w:rFonts w:ascii="Helvetica;sans-serif" w:hAnsi="Helvetica;sans-serif"/>
          <w:b w:val="false"/>
          <w:color w:val="000000"/>
          <w:sz w:val="20"/>
        </w:rPr>
        <w:t>authenticated users at home, work, and school, catering to a multitude of use cases that boost collaboration, communication, sales, marketing, customer care, teaching &amp; learning, and TV viewership and monetization. It is an honor and a great pleasure to cater to such a diversified set of leading customers that includes</w:t>
      </w:r>
      <w:r>
        <w:rPr>
          <w:rFonts w:ascii="Helvetica;sans-serif" w:hAnsi="Helvetica;sans-serif"/>
          <w:b w:val="false"/>
          <w:color w:val="000000"/>
          <w:sz w:val="13"/>
        </w:rPr>
        <w:t>3</w:t>
      </w:r>
      <w:r>
        <w:rPr>
          <w:color w:val="000000"/>
        </w:rPr>
        <w:t xml:space="preserve"> </w:t>
      </w:r>
      <w:r>
        <w:rPr>
          <w:rFonts w:ascii="Helvetica;sans-serif" w:hAnsi="Helvetica;sans-serif"/>
          <w:b w:val="false"/>
          <w:color w:val="000000"/>
          <w:sz w:val="20"/>
        </w:rPr>
        <w:t>25% of the US Fortune 100, over 50% of the top US research universities, including 7 of the 8 ivy league schools, and we power more than 15 major Cloud TV initiatives for large media and telecom companies around the world.</w:t>
      </w:r>
    </w:p>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What’s Next?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horizontal platform with a multitude of possible applications and a vast market to which we can cater, this is just the beginning! Many of our customers are growing organically through increased adoption and usage. We are also finally accelerating our investment in sales and marketing on the heels of already establishing market leadership across several large markets, and we are doing so with very attractive unit economics and proven operational efficiency. We recently started commercializing our new and exciting products and solutions from 2020 (Webinars, Virtual Events, Meetings, Virtual Classroom and TV Solution), and plan to follow with much more innovation (e.g., develop advanced video AI tools, as well as new industry solutions for telehealth, retail, government, and smart cities, among others). We are also planning to go down-market and cater to smaller customers including SMEs with new self-serve and low-touch products for companies and developers, and to do so with the support of new channel distribution partners. The opportunities for growth are bountiful!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 am honored and privileged to have led Kaltura since its inception and am very excited about what the future holds. I would like to personally invite you to join us on our open, flexible, and collaborative journey to power any video experience for any organization and by doing so, also promote access, democratization, and pluralism around the world.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Onward and upward!</w:t>
      </w:r>
    </w:p>
    <w:p>
      <w:pPr>
        <w:pStyle w:val="TextBody"/>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Ron Yekutiel</w:t>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Cofounder, Chairman &amp; CEO</w:t>
      </w:r>
    </w:p>
    <w:p>
      <w:pPr>
        <w:pStyle w:val="TextBody"/>
        <w:spacing w:lineRule="auto" w:line="288" w:before="0" w:after="0"/>
        <w:jc w:val="both"/>
        <w:rPr/>
      </w:pPr>
      <w:r>
        <w:rPr>
          <w:rFonts w:ascii="Helvetica;sans-serif" w:hAnsi="Helvetica;sans-serif"/>
          <w:b w:val="false"/>
          <w:color w:val="000000"/>
          <w:sz w:val="13"/>
        </w:rPr>
        <w:t>2</w:t>
      </w:r>
      <w:r>
        <w:rPr>
          <w:color w:val="000000"/>
        </w:rPr>
        <w:t xml:space="preserve"> </w:t>
      </w:r>
      <w:r>
        <w:rPr>
          <w:rFonts w:ascii="Helvetica;sans-serif" w:hAnsi="Helvetica;sans-serif"/>
          <w:b w:val="false"/>
          <w:color w:val="000000"/>
          <w:sz w:val="20"/>
        </w:rPr>
        <w:t>For the year ended December 31, 2020.</w:t>
      </w:r>
    </w:p>
    <w:p>
      <w:pPr>
        <w:pStyle w:val="TextBody"/>
        <w:spacing w:lineRule="auto" w:line="288" w:before="0" w:after="0"/>
        <w:jc w:val="both"/>
        <w:rPr/>
      </w:pPr>
      <w:r>
        <w:rPr>
          <w:rFonts w:ascii="Helvetica;sans-serif" w:hAnsi="Helvetica;sans-serif"/>
          <w:b w:val="false"/>
          <w:color w:val="000000"/>
          <w:sz w:val="13"/>
        </w:rPr>
        <w:t>3</w:t>
      </w:r>
      <w:r>
        <w:rPr>
          <w:color w:val="000000"/>
        </w:rPr>
        <w:t xml:space="preserve"> </w:t>
      </w:r>
      <w:r>
        <w:rPr>
          <w:rFonts w:ascii="Helvetica;sans-serif" w:hAnsi="Helvetica;sans-serif"/>
          <w:b w:val="false"/>
          <w:color w:val="000000"/>
          <w:sz w:val="20"/>
        </w:rPr>
        <w:t>As of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22250"/>
                <wp:effectExtent l="0" t="0" r="0" b="0"/>
                <wp:wrapNone/>
                <wp:docPr id="128" name="Frame12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BUSINESS</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20. In addition, certain statements in this prospectus include forward-looking information that is subject to risks and uncertainties. See “Cautionary Note Regarding Forward-Looking Statements.” </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 this prospectus, unless the context otherwise requires or where otherwise indicated, the terms “we,” “us,” “our,” the “Company” and “Kaltura” refer to Kaltura, Inc., together with its consolidated subsidiaries as a combined entity.</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Overview</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mission is to power any video experience, for any organization. Our Video Experience Cloud offers live, real-time,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the year ended December 31, 2020, more than 15 million authenticated users interacted with our products and solutions at home, at work and at school. As of December 31, 2020, we had grown our repository of media assets to over 100 million.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22250"/>
                <wp:effectExtent l="0" t="0" r="0" b="0"/>
                <wp:wrapNone/>
                <wp:docPr id="129" name="Frame12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Video Experience Cloud powers a wide array of video applications across industries and use cases. Our core offerings consist of various Software-as-a-Service (“SaaS”) products and solutions and a Platform-as-a-Service (“PaaS”) offering, including:</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Products</w:t>
      </w:r>
      <w:r>
        <w:rPr>
          <w:color w:val="000000"/>
        </w:rPr>
        <w:t xml:space="preserve"> – </w:t>
      </w:r>
      <w:r>
        <w:rPr>
          <w:rFonts w:ascii="Helvetica;sans-serif" w:hAnsi="Helvetica;sans-serif"/>
          <w:b w:val="false"/>
          <w:color w:val="000000"/>
          <w:sz w:val="20"/>
        </w:rPr>
        <w:t>Video Portal, Town Halls, Video Messaging, Webinars, Virtual Events and Meetings. Customers leverage these products for video-based communication, collaboration, training, and customer experience (marketing, sales, and customer care).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Industry Solutions</w:t>
      </w:r>
      <w:r>
        <w:rPr>
          <w:color w:val="000000"/>
        </w:rPr>
        <w:t xml:space="preserve"> – </w:t>
      </w:r>
      <w:r>
        <w:rPr>
          <w:rFonts w:ascii="Helvetica;sans-serif" w:hAnsi="Helvetica;sans-serif"/>
          <w:b w:val="false"/>
          <w:color w:val="000000"/>
          <w:sz w:val="20"/>
        </w:rPr>
        <w:t xml:space="preserve">LMS Video (Learning Management System), Lecture Capture and Virtual Classroom for educational institutions to support and enhance in-class and remote teaching and learning. We also offer a TV Solution for media companies and telecom operators, allowing them to provide OTT advertising and subscription-based live and on-demand TV services for entertainment experiences.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Media Services</w:t>
      </w:r>
      <w:r>
        <w:rPr>
          <w:color w:val="000000"/>
        </w:rPr>
        <w:t xml:space="preserve"> – </w:t>
      </w:r>
      <w:r>
        <w:rPr>
          <w:rFonts w:ascii="Helvetica;sans-serif" w:hAnsi="Helvetica;sans-serif"/>
          <w:b w:val="false"/>
          <w:color w:val="000000"/>
          <w:sz w:val="20"/>
        </w:rPr>
        <w:t xml:space="preserve">Live, real-time, and on-demand video APIs, SDKs, and Experience Components as well as Video and TV Content Management Systems that govern the entire lifecycle of video, enabling customers to build any video experience and workflow. Our Media Services also serve as a foundation for our products and industry solutions. Our APIs and SDKs address: media ingestion, creation, editing, files transcoding, live transcoding, real-time video, publishing, streaming, distribution, recording and scheduling, video enrichment, search, management, monitoring, engagement, video and image transformation, access control, user management, analytics, multi-tenancy, security, digital rights management, and media repurposing at scale. Our Experience Components include video player, video editor, video accessibility tools, video capture tools, large files upload SDKs, interactive video editor, quizzing, hot-spots, polling, native mobile and TV SDKs, video applications framework, embedded live stream app, and embedded WebRTC meeting components.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we had approximately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This subset of customers accounted for approximately 39% of our revenue for the year ended December 31, 2020. Most of our top customers leverage several Kaltura products for a range of use cases across their organization. Between December 31, 2018 and December 31, 2020, we expanded our base of customers with ARR greater than $100,000 from 178 to 235, and the number of customers with ARR greater than $1.0 million from 4 to 12. As of December 31, 2020, 50% of our customers had purchased three or more of our offerings (including our Media Services, Products, and Industry Solutions).</w:t>
      </w:r>
    </w:p>
    <w:p>
      <w:pPr>
        <w:pStyle w:val="TextBody"/>
        <w:spacing w:lineRule="auto" w:line="288" w:before="0" w:after="180"/>
        <w:ind w:left="0" w:right="0" w:firstLine="360"/>
        <w:jc w:val="both"/>
        <w:rPr/>
      </w:pPr>
      <w:r>
        <w:rPr>
          <w:rFonts w:ascii="Helvetica;sans-serif" w:hAnsi="Helvetica;sans-serif"/>
          <w:b w:val="false"/>
          <w:color w:val="000000"/>
          <w:sz w:val="20"/>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Helvetica;sans-serif" w:hAnsi="Helvetica;sans-serif"/>
          <w:b w:val="false"/>
          <w:color w:val="000000"/>
          <w:sz w:val="13"/>
        </w:rPr>
        <w:t>TM</w:t>
      </w:r>
      <w:r>
        <w:rPr>
          <w:rFonts w:ascii="Helvetica;sans-serif" w:hAnsi="Helvetica;sans-serif"/>
          <w:b w:val="false"/>
          <w:color w:val="000000"/>
          <w:sz w:val="20"/>
        </w:rPr>
        <w:t>: Online Video Platforms for Sales and Marketing, Q4, 2016.</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 date, we have invested primarily in increasing the scope and depth of our offerings. At the same time, we have accelerated our year-over-year revenue growth from 12% in 2018 to 18% in 2019 and 24% in 2020, and from 23% in the fourth quarter of 2019 (unaudited) to 30% in the fourth quarter of 2020 (unaudited). We have accomplished this growth without materially increasing our sales and marketing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22250"/>
                <wp:effectExtent l="0" t="0" r="0" b="0"/>
                <wp:wrapNone/>
                <wp:docPr id="130" name="Frame12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spend over the same period. Additionally, for the years ended December 31, 2019 and 2020, we generated net losses of $15.6 million and $58.8 million, respectively, and had Adjusted EBITDA of $4.0 million and $4.3 million, respectively, following negative Adjusted EBITDA in both 2017 and 2018. See “Prospectus Summary—Summary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 December 31, 2018, 2019 and 2020, the lifetime value of our customers exceeded five, seven and eleven times the cost of acquiring them, respectively. See “Management’s Discussion and Analysis of Financial Condition and Results of Operations—Overview” for additional information on how we calculate the lifetime value of our customers and the cost of acquiring them.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Key Trends Impacting the Video Market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nature of video consumption has transformed in recent years. Several major trends have played a role in this evolution:</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Availability of Broadband</w:t>
      </w:r>
      <w:r>
        <w:rPr>
          <w:rFonts w:ascii="Helvetica;sans-serif" w:hAnsi="Helvetica;sans-serif"/>
          <w:b w:val="false"/>
          <w:color w:val="000000"/>
          <w:sz w:val="20"/>
        </w:rPr>
        <w:t xml:space="preserve">: The availability of internet-based services has increased in recent years, with global telecom operators increasing investment in next-generation mobile networks to reach previously underpenetrated regions and enhance performance in existing ones. This, coupled with the decreasing price of broadband, has accelerated the use of internet-based services such as video across a global audience.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Broad Penetration of Smartphones</w:t>
      </w:r>
      <w:r>
        <w:rPr>
          <w:rFonts w:ascii="Helvetica;sans-serif" w:hAnsi="Helvetica;sans-serif"/>
          <w:b w:val="false"/>
          <w:color w:val="000000"/>
          <w:sz w:val="20"/>
        </w:rPr>
        <w:t>: Billions of people around the world use smartphones today, equipped with sophisticated technology which allow them to create, watch, and transmit video anytime and anywhere.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Rise of OTT and Cloud Technologies</w:t>
      </w:r>
      <w:r>
        <w:rPr>
          <w:rFonts w:ascii="Helvetica;sans-serif" w:hAnsi="Helvetica;sans-serif"/>
          <w:b w:val="false"/>
          <w:color w:val="000000"/>
          <w:sz w:val="20"/>
        </w:rPr>
        <w:t>: Television has left its original home within cable and satellite networks and TV set-top boxes and is now being delivered from the cloud as an internet-based service to any device. OTT video technology has enabled content providers to bypass the traditional distribution value chain and reach consumers directly without relying on network owners as the middleman.</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Consumerization of Enterprise Technology</w:t>
      </w:r>
      <w:r>
        <w:rPr>
          <w:rFonts w:ascii="Helvetica;sans-serif" w:hAnsi="Helvetica;sans-serif"/>
          <w:b w:val="false"/>
          <w:color w:val="000000"/>
          <w:sz w:val="20"/>
        </w:rPr>
        <w:t>: Employees in today’s businesses expect consumer-like experiences with enterprise technology, expanding their use case of technology at work from simply exchanging information and data, to interacting, socializing, and learning. This has accelerated the use of video for both internal and external use cases, including for example the use of Video Portal, Town Halls, Video Messaging, Webinars, Virtual Events and Meetings.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Elevation of Video to Strategic and Mission-Critical Use Cases</w:t>
      </w:r>
      <w:r>
        <w:rPr>
          <w:rFonts w:ascii="Helvetica;sans-serif" w:hAnsi="Helvetica;sans-serif"/>
          <w:b w:val="false"/>
          <w:color w:val="000000"/>
          <w:sz w:val="20"/>
        </w:rPr>
        <w:t xml:space="preserve">: Video has transcended its initial use for entertainment to become a mission-critical tool leveraged by organizations across all industries. This includes companies adding video experiences to their own products and services. For example, healthcare providers are increasingly turning to video to engage with patients, prescribe medications, and deliver treatments.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Heightened Focus on Customer and Employee Engagement</w:t>
      </w:r>
      <w:r>
        <w:rPr>
          <w:rFonts w:ascii="Helvetica;sans-serif" w:hAnsi="Helvetica;sans-serif"/>
          <w:b w:val="false"/>
          <w:color w:val="000000"/>
          <w:sz w:val="20"/>
        </w:rPr>
        <w:t xml:space="preserve">: Businesses today are focused on finding new and creative ways to connect with their customers and employees. Management teams are pushing to develop new applications and services which maximize the use of data and analytics to create interactive, personalized solutions and drive engagement. According to a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22250"/>
                <wp:effectExtent l="0" t="0" r="0" b="0"/>
                <wp:wrapNone/>
                <wp:docPr id="131" name="Frame12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v:rect>
            </w:pict>
          </mc:Fallback>
        </mc:AlternateConten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survey performed by Hubspot in 2017, video on landing pages is capable of increasing conversion rates by over 80%, and 90% of customers say videos help them make buying decisions.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COVID-19 Pandemic Accelerating Preexisting Trends</w:t>
      </w:r>
      <w:r>
        <w:rPr>
          <w:rFonts w:ascii="Helvetica;sans-serif" w:hAnsi="Helvetica;sans-serif"/>
          <w:b w:val="false"/>
          <w:color w:val="000000"/>
          <w:sz w:val="20"/>
        </w:rPr>
        <w:t xml:space="preserve">: We believe the COVID-19 pandemic has accelerated the use of video for numerous use cases, including remote learning, remote work, virtual events, remote healthcare, consumer communication, e-commerce and online entertainment. According to a survey performed by McKinsey in July-August 2020, the amount of revenue attributable to video-related interactions has increased by 69% since April 2020. We believe that the COVID-19 pandemic has accelerated preexisting trends, with video experiences poised to be a key element of online interactions for decades to come.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Limitations of Existing Video Solutions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Discrete Point Solutions</w:t>
      </w:r>
      <w:r>
        <w:rPr>
          <w:rFonts w:ascii="Helvetica;sans-serif" w:hAnsi="Helvetica;sans-serif"/>
          <w:b w:val="false"/>
          <w:color w:val="000000"/>
          <w:sz w:val="20"/>
        </w:rPr>
        <w:t>: Most existing video solution providers lack a complete and unified platform for all video solutions across technologies (live, real-time and on-demand), devices, and use cases. As a result, businesses are faced with the complexity of working with multiple vendors to meet their video needs, often leading to a lack of cohesiveness across offerings, silos of content and disjointed workflows, and security and monitoring concerns. This further limits their applicability for use cases which would benefit from combined workflows.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Inflexible Offerings</w:t>
      </w:r>
      <w:r>
        <w:rPr>
          <w:rFonts w:ascii="Helvetica;sans-serif" w:hAnsi="Helvetica;sans-serif"/>
          <w:b w:val="false"/>
          <w:color w:val="000000"/>
          <w:sz w:val="20"/>
        </w:rPr>
        <w:t xml:space="preserve">: Many existing video solutions are turnkey applications that provide little by way of integration and 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Limited Integration with Ecosystem</w:t>
      </w:r>
      <w:r>
        <w:rPr>
          <w:rFonts w:ascii="Helvetica;sans-serif" w:hAnsi="Helvetica;sans-serif"/>
          <w:b w:val="false"/>
          <w:color w:val="000000"/>
          <w:sz w:val="20"/>
        </w:rPr>
        <w:t xml:space="preserve">: Most existing video solution providers have few integrations with third-party platforms, and therefore offer limited interoperability and a non-streamlined and disjointed end-user experience.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Limited Analytics Capabilities</w:t>
      </w:r>
      <w:r>
        <w:rPr>
          <w:rFonts w:ascii="Helvetica;sans-serif" w:hAnsi="Helvetica;sans-serif"/>
          <w:b w:val="false"/>
          <w:color w:val="000000"/>
          <w:sz w:val="20"/>
        </w:rPr>
        <w:t>: Existing solutions often lack the robust analytics tools that enable interactivity and personalization. This limits the ability of businesses to make data-driven business decisions, further translating to limited end user engagement and a lower return on investment.</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Not Optimized for End Users</w:t>
      </w:r>
      <w:r>
        <w:rPr>
          <w:rFonts w:ascii="Helvetica;sans-serif" w:hAnsi="Helvetica;sans-serif"/>
          <w:b w:val="false"/>
          <w:color w:val="000000"/>
          <w:sz w:val="20"/>
        </w:rPr>
        <w:t xml:space="preserve">: The interfaces of existing solutions are often not intuitive, and do not generate an immersive and engaging end-user experience across devices.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Not Built for the Cloud</w:t>
      </w:r>
      <w:r>
        <w:rPr>
          <w:rFonts w:ascii="Helvetica;sans-serif" w:hAnsi="Helvetica;sans-serif"/>
          <w:b w:val="false"/>
          <w:color w:val="000000"/>
          <w:sz w:val="20"/>
        </w:rPr>
        <w:t xml:space="preserve">: Many existing offerings are not cloud-native and instead rely on legacy on-premise deployments to deliver their solutions, limiting their ability to innovate quickly and provide video seamlessly across devices. This also creates operational complexities for customers managing multiple video solutions and limits their ability to leverage economies of scale.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Insufficient Support of Enterprise Standards</w:t>
      </w:r>
      <w:r>
        <w:rPr>
          <w:rFonts w:ascii="Helvetica;sans-serif" w:hAnsi="Helvetica;sans-serif"/>
          <w:b w:val="false"/>
          <w:color w:val="000000"/>
          <w:sz w:val="20"/>
        </w:rPr>
        <w:t>: Many existing offerings lack the scale, security, and compliance needed by today’s enterprises, and also lack the development, contribution, and support for industry standards that promote openness, interoperability, and accessibility. This creates a growing risk for businesses that are using video for mission-critical use cases at scale.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22250"/>
                <wp:effectExtent l="0" t="0" r="0" b="0"/>
                <wp:wrapNone/>
                <wp:docPr id="132" name="Frame12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Unnecessary Costs</w:t>
      </w:r>
      <w:r>
        <w:rPr>
          <w:rFonts w:ascii="Helvetica;sans-serif" w:hAnsi="Helvetica;sans-serif"/>
          <w:b w:val="false"/>
          <w:color w:val="000000"/>
          <w:sz w:val="20"/>
        </w:rPr>
        <w:t xml:space="preserve">: Existing solutions frequently require extensive implementation, hardware maintenance and custom integrations with other video solutions and adjacent tools, often resulting in excess costs for the customer.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Kaltura’s Video Experience Cloud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Single Platform for All Video Experiences</w:t>
      </w:r>
      <w:r>
        <w:rPr>
          <w:rFonts w:ascii="Helvetica;sans-serif" w:hAnsi="Helvetica;sans-serif"/>
          <w:b w:val="false"/>
          <w:color w:val="000000"/>
          <w:sz w:val="20"/>
        </w:rPr>
        <w:t xml:space="preserve">: Our horizontal Video Experience Cloud acts as a “one stop shop” for video experiences 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Open, Flexible Architecture</w:t>
      </w:r>
      <w:r>
        <w:rPr>
          <w:rFonts w:ascii="Helvetica;sans-serif" w:hAnsi="Helvetica;sans-serif"/>
          <w:b w:val="false"/>
          <w:color w:val="000000"/>
          <w:sz w:val="20"/>
        </w:rPr>
        <w:t xml:space="preserve">: Our products and solutions are interoperable and can be easily customized, extended and connected to other platforms and third-party offerings, allowing our customers to leverage external innovation as well. This also allows us to innovate efficiently and quickly and be a pioneer in the industry with many features, products and solutions. Since our founding in 2006, we have expanded the breadth and depth of our offerings from a limited set of Media Services and a Video Content Management System, to a leading platform spanning across most live, real-time, and on-demand video experiences today.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Ecosystem</w:t>
      </w:r>
      <w:r>
        <w:rPr>
          <w:rFonts w:ascii="Helvetica;sans-serif" w:hAnsi="Helvetica;sans-serif"/>
          <w:b w:val="false"/>
          <w:color w:val="000000"/>
          <w:sz w:val="20"/>
        </w:rPr>
        <w:t>: We have built a rich ecosystem of over 125 technology partners, extending our experiences with AI, video creation, and network optimization, among others.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Analytics</w:t>
      </w:r>
      <w:r>
        <w:rPr>
          <w:rFonts w:ascii="Helvetica;sans-serif" w:hAnsi="Helvetica;sans-serif"/>
          <w:b w:val="false"/>
          <w:color w:val="000000"/>
          <w:sz w:val="20"/>
        </w:rPr>
        <w:t>: Our platform offers powerful analytics across multiple dimensions, including insights related to engagement, time and seasonality comparisons, bottleneck identification, and congestion detection. These features help companies maximize the use of the data they are gathering across video channels, and better guide workflows associated with subscription. They also enable us to generate a significant amount of valuable data, which, when coupled with our proprietary AI/ML-powered analytics capabilities, drives further usage of our platform, creating a powerful virtuous cycle.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Significant Benefits to End Users</w:t>
      </w:r>
      <w:r>
        <w:rPr>
          <w:rFonts w:ascii="Helvetica;sans-serif" w:hAnsi="Helvetica;sans-serif"/>
          <w:b w:val="false"/>
          <w:color w:val="000000"/>
          <w:sz w:val="20"/>
        </w:rPr>
        <w:t>: Our customers’ use of our offerings provides several benefits to their end users at home, at work, and at school, including: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immersive, interactive and engaging experiences;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intuitive and consistent user interface across devices;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personalization driven by insightful and rich analytics;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customization and integration with other workflows enabling consolidated and seamless user experiences;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quality of service, security, and compliance;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flexibility for developers to build customized solutions incorporating video technology.</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22250"/>
                <wp:effectExtent l="0" t="0" r="0" b="0"/>
                <wp:wrapNone/>
                <wp:docPr id="133" name="Frame12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Cloud-Agnostic</w:t>
      </w:r>
      <w:r>
        <w:rPr>
          <w:rFonts w:ascii="Helvetica;sans-serif" w:hAnsi="Helvetica;sans-serif"/>
          <w:b w:val="false"/>
          <w:color w:val="000000"/>
          <w:sz w:val="20"/>
        </w:rPr>
        <w:t xml:space="preserve">: While most of our customers use our public cloud products and solutions, our solutions can be deployed across any private, public, or hybrid cloud environment, as well as on-premise, providing our customers with complete flexibility around their deployment.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Enterprise-Grade</w:t>
      </w:r>
      <w:r>
        <w:rPr>
          <w:rFonts w:ascii="Helvetica;sans-serif" w:hAnsi="Helvetica;sans-serif"/>
          <w:b w:val="false"/>
          <w:color w:val="000000"/>
          <w:sz w:val="20"/>
        </w:rPr>
        <w:t>: Our platform offers enterprise-grade reliability, security, and scalability, allowing us to support mission-critical workflows for experiences of any scale. We also offer proactive monitoring and various tiers of customer support. For customers that rely on Kaltura to power TV experiences, we offer service availability commitments of up to 99.995%, the highest industry benchmark required by major media and telecom customers. Additionally, we are a leader in the market with the development, contribution, and support for industry standards such as MPEG-DASH, LTI, Caliper and Open Video Capture standards by IMS Global Learning Consortium. We maintain compliance with accessibility standards, such as 508, CVAA, and WCAG 2.0 AA, and issued a self-disclosing Voluntary Product Accessibility Template (“VPAT”) to ensure we adhere to the highest standards.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Cost Efficiency</w:t>
      </w:r>
      <w:r>
        <w:rPr>
          <w:rFonts w:ascii="Helvetica;sans-serif" w:hAnsi="Helvetica;sans-serif"/>
          <w:b w:val="false"/>
          <w:color w:val="000000"/>
          <w:sz w:val="20"/>
        </w:rPr>
        <w:t xml:space="preserve">: Our horizontal flexible, scalable, and extendable platform is cost-efficient to deploy, operate, maintain, and to keep abreast of emerging trends and needs.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Our Opportunity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address a global market which includes on-demand, live, and real-time video experiences. We estimate our total addressable market in 2020 is approximately $55 billion, including approximately $39 billion from the real-time-conferencing market, which we entered in 2020 with the addition of real-time-conferencing capabilities into our Media Services and the launch of our Webinars, Virtual Events and Meetings products and our Virtual Classroom industry solution.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 calculate these figures, for our Enterprise and Technology addressable market, we first identify the number of enterprises (defined as businesses that generate revenue of at least $1 billion) and mid-market businesses (defined as those that generate revenue of greater than $50 million and less than $1 billion) in each major geography. For our Education addressable market, we estimate the total number of higher education and K-12 institutions in each major geography. For our Media &amp; Telecom addressable market, we estimate the total number of telecom operators and media companies in each major geography. For each addressable market, we multiply the total number of customers in each major geography by our estimate for the average annualized recurring revenue per customer in that major geography after having achieved broad implementation of our offerings, using internal company data and estimates. We then sum the total opportunity across each of these addressable markets.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Over time, we expect our market opportunity to grow, driven by increased global spend on video software solutions and our expansion into additional technologies and industries, such as telehealth, retail, smart cities, and government.</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Growth Strategies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intend to drive significant growth by executing on the following key strategies: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Acquire New Customers</w:t>
      </w:r>
      <w:r>
        <w:rPr>
          <w:rFonts w:ascii="Helvetica;sans-serif" w:hAnsi="Helvetica;sans-serif"/>
          <w:b w:val="false"/>
          <w:color w:val="000000"/>
          <w:sz w:val="20"/>
        </w:rPr>
        <w:t xml:space="preserve">: We believe we have a significant opportunity to expand our presence with Fortune Global 2000 companies and other global enterprises. Going forward, we plan to increase our investment in sales and marketing to capitalize on our significant market opportunity and on the strong sales efficiency unit economics that we have demonstrated. We intend to grow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22250"/>
                <wp:effectExtent l="0" t="0" r="0" b="0"/>
                <wp:wrapNone/>
                <wp:docPr id="134" name="Frame13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v:rect>
            </w:pict>
          </mc:Fallback>
        </mc:AlternateConten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our base of field sales representatives and customer success managers, which we believe will drive both geographic and vertical expansion. Additionally, we are investing for the first time in inside sales, self-serve offerings, and distribution channels. We believe this will enable us to expand our presence across all industries – beyond enterprises into SMBs, beyond universities into K-12 schools, beyond tier 1 media and telecom companies to tier 2 and 3 media and telecom companies, and beyond providing Media Services to large technology companies to also addressing smaller technology firms and startups.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Extend Product Leadership</w:t>
      </w:r>
      <w:r>
        <w:rPr>
          <w:rFonts w:ascii="Helvetica;sans-serif" w:hAnsi="Helvetica;sans-serif"/>
          <w:b w:val="false"/>
          <w:color w:val="000000"/>
          <w:sz w:val="20"/>
        </w:rPr>
        <w:t>: We believe our platform is ideally suited for expansion across products, solutions, industries, and use cases. We will continue to invest in new technologies and harness existing ones. We intend to continue to invest in our solutions across multiple dimensions: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Recent Product and Solution Introductions</w:t>
      </w:r>
      <w:r>
        <w:rPr>
          <w:rFonts w:ascii="Helvetica;sans-serif" w:hAnsi="Helvetica;sans-serif"/>
          <w:b w:val="false"/>
          <w:color w:val="000000"/>
          <w:sz w:val="20"/>
        </w:rPr>
        <w:t xml:space="preserve">: In 2020, we entered the real-time-conferencing market with the 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New Offerings</w:t>
      </w:r>
      <w:r>
        <w:rPr>
          <w:rFonts w:ascii="Helvetica;sans-serif" w:hAnsi="Helvetica;sans-serif"/>
          <w:b w:val="false"/>
          <w:color w:val="000000"/>
          <w:sz w:val="20"/>
        </w:rPr>
        <w:t>, including:</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Products</w:t>
      </w:r>
      <w:r>
        <w:rPr>
          <w:rFonts w:ascii="Helvetica;sans-serif" w:hAnsi="Helvetica;sans-serif"/>
          <w:b w:val="false"/>
          <w:color w:val="000000"/>
          <w:sz w:val="20"/>
        </w:rPr>
        <w:t>: We will continue to invest in new video products for training, communication and collaboration, marketing, sales and customer care.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Industry Solutions</w:t>
      </w:r>
      <w:r>
        <w:rPr>
          <w:rFonts w:ascii="Helvetica;sans-serif" w:hAnsi="Helvetica;sans-serif"/>
          <w:b w:val="false"/>
          <w:color w:val="000000"/>
          <w:sz w:val="20"/>
        </w:rPr>
        <w:t xml:space="preserve">: We believe there is a significant opportunity to extend our platform into more industries. Following the success of our media &amp; telecom and education applications, we intend to launch applications for industries such as telehealth, retail, government, and smart cities, among others.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Media Services</w:t>
      </w:r>
      <w:r>
        <w:rPr>
          <w:rFonts w:ascii="Helvetica;sans-serif" w:hAnsi="Helvetica;sans-serif"/>
          <w:b w:val="false"/>
          <w:color w:val="000000"/>
          <w:sz w:val="20"/>
        </w:rPr>
        <w:t>: We intend to enhance our Media Services offerings with additional core capabilities and invest in areas such as content creation, personalization and interactivity, content aggregation and syndication, AI and smart monetization. We also intend to add these capabilities into our existing and new products and industry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w:t>
      </w:r>
      <w:r>
        <w:rPr>
          <w:rFonts w:ascii="Helvetica;sans-serif" w:hAnsi="Helvetica;sans-serif"/>
          <w:b/>
          <w:i/>
          <w:color w:val="000000"/>
          <w:sz w:val="20"/>
        </w:rPr>
        <w:t>ncrease Revenue from Existing Customers</w:t>
      </w:r>
      <w:r>
        <w:rPr>
          <w:rFonts w:ascii="Helvetica;sans-serif" w:hAnsi="Helvetica;sans-serif"/>
          <w:b w:val="false"/>
          <w:color w:val="000000"/>
          <w:sz w:val="20"/>
        </w:rPr>
        <w:t xml:space="preserve">: We plan to continue to increase sales within our existing customer base through increased usage of our platform and the cross-selling of additional products and solutions. For the year ended December 31, 2020, our Net Dollar Retention Rate was 107%, demonstrating our ability to expand within our existing customer base.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Augment our Platform Offering through Partnerships and Opportunistic M&amp;A</w:t>
      </w:r>
      <w:r>
        <w:rPr>
          <w:rFonts w:ascii="Helvetica;sans-serif" w:hAnsi="Helvetica;sans-serif"/>
          <w:b w:val="false"/>
          <w:color w:val="000000"/>
          <w:sz w:val="20"/>
        </w:rPr>
        <w:t>: We plan to increase the breadth of partnerships with our technology partners, further allowing us to provide the most comprehensive video solutions to our customers. Additionally, we intend to continue to explore potential transactions that could enhance our capabilities or increase the scope of our technology footprint.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22250"/>
                <wp:effectExtent l="0" t="0" r="0" b="0"/>
                <wp:wrapNone/>
                <wp:docPr id="135" name="Frame13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v:textbox>
              </v:rect>
            </w:pict>
          </mc:Fallback>
        </mc:AlternateConten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Kaltura Video Experience Cloud </w:t>
      </w:r>
    </w:p>
    <w:p>
      <w:pPr>
        <w:pStyle w:val="TextBody"/>
        <w:spacing w:before="120" w:after="180"/>
        <w:jc w:val="center"/>
        <w:rPr/>
      </w:pPr>
      <w:r>
        <w:rPr/>
        <w:drawing>
          <wp:inline distT="0" distB="63500" distL="0" distR="0">
            <wp:extent cx="5943600" cy="3467100"/>
            <wp:effectExtent l="0" t="0" r="0" b="0"/>
            <wp:docPr id="1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 descr=""/>
                    <pic:cNvPicPr>
                      <a:picLocks noChangeAspect="1" noChangeArrowheads="1"/>
                    </pic:cNvPicPr>
                  </pic:nvPicPr>
                  <pic:blipFill>
                    <a:blip r:embed="rId6"/>
                    <a:stretch>
                      <a:fillRect/>
                    </a:stretch>
                  </pic:blipFill>
                  <pic:spPr bwMode="auto">
                    <a:xfrm>
                      <a:off x="0" y="0"/>
                      <a:ext cx="5943600" cy="3467100"/>
                    </a:xfrm>
                    <a:prstGeom prst="rect">
                      <a:avLst/>
                    </a:prstGeom>
                  </pic:spPr>
                </pic:pic>
              </a:graphicData>
            </a:graphic>
          </wp:inline>
        </w:drawing>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Video experiences are the driving force for online interactions, at home, at work and at school. Our Video Experience Cloud powers all types of video experiences: live, real-time, and on-demand, engaging millions of end users daily. We designed our Video Experience Cloud from the ground up using API-based building blocks which govern the entire video lifecycle and provide the foundation for our video applications.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Media Services, which include our Video and TV Content Management Systems and our video APIs, underpin our products and industry solutions, addressing all Media Services required for creation, transcoding, management, security, distribution, publishing, and analytics across live, real-time, and on demand video experiences. We believe this offering sets us apart by enabling ease of integration and customization, and by allowing us to innovate at a very high pace. Our Media Services are also offered to technology companies and developers in the form of a PaaS that includes APIs, SDKs, and Experience Components.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Companies across all industries use our Video Portal, Town Halls, Video Messaging, Webinars, Virtual Events and Meetings products for communication, collaboration, training, and customer experience (marketing, sales, and customer care). Our industry solutions are used by educational institutions for in-class and remote teaching and learning, and by media and telecom companies to power TV and entertainment experiences.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Kaltura Media Services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APIs, SDKs, and Experience Components</w:t>
      </w:r>
      <w:r>
        <w:rPr>
          <w:rFonts w:ascii="Helvetica;sans-serif" w:hAnsi="Helvetica;sans-serif"/>
          <w:b w:val="false"/>
          <w:color w:val="000000"/>
          <w:sz w:val="20"/>
        </w:rPr>
        <w:t xml:space="preserve">: These offerings include a comprehensive set of cloud video services addressing creation, ingestion, transcoding, management, security, editing, distribution, publishing, engagement, monetization, monitoring, multi-tenancy, and analyzing of video, audio, and images at scale. We also offer SDKs and Experience Components (a cluster of APIs that together form a software component with a front-end experience, such as a video player, live Q&amp;A widget, online video editor, or polling tool) for fast development of advanced experiences, such as for video creation, capture, playback, webcasting, conferencing. or editing.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22250"/>
                <wp:effectExtent l="0" t="0" r="0" b="0"/>
                <wp:wrapNone/>
                <wp:docPr id="137" name="Frame13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v:rect>
            </w:pict>
          </mc:Fallback>
        </mc:AlternateConten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These offerings not only serve as the video engine and experience layer of our own products and industry solutions, but are also offered to our customers to enable them to build their own video workflows and products. Our Media Services also serve technology partners within our marketplace who build plugins to our platform and enable our and their customers to leverage their value-add services such as for advanced media creation, AI, transcription, and delivery. Our Media Services are used today primarily by technology and healthcare companies; however, we believe they have potential applications across all industries.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and TV Content Management Systems</w:t>
      </w:r>
      <w:r>
        <w:rPr>
          <w:rFonts w:ascii="Helvetica;sans-serif" w:hAnsi="Helvetica;sans-serif"/>
          <w:b w:val="false"/>
          <w:color w:val="000000"/>
          <w:sz w:val="20"/>
        </w:rPr>
        <w:t>: Kaltura Video and TV Content Management Systems are a market leading multi-tenant media content management systems (“CMS”). Our Video CMS offers integrations with social business applications, learning management systems, marketing automation systems, content management systems, and video conferencing solutions. It also provides users with a Video Player Studio to design and configure lightweight, fast, and customizable video players for optimal viewing experiences on any device. Furthermore, it offers video AI and enrichment tools for captions, translations, and auto-chaptering. Our Video CMS also offers deep analytics built in, as well as support for Caliper and xAPI along with reporting APIs. Users can leverage our Video CMS’ extensible service framework for connecting third-party video enrichment services, as well as a centralized dashboard to manage workflows and budgets across services and departments. Our TV CMS serves as the administration console for our full-service offering which enables the launch and operation of a robust and scalable end-to-end, full-feature TV service. It enables Pay-TV and content providers to manage offers, content catalogs, users, devices and payments, handle marketing campaigns, and collect business intelligence to initiate data-driven decisions to optimize the business outcomes of their TV service. It also offers users a consistent and continuous viewing experience across devices, with TV apps available on Android TV streamers, Android TV STB, Apple TV, Web browsers, iOS, and Android mobile devices and tablets, as well as LG and Samsung Smart TVs.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Kaltura Video Products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Portal</w:t>
      </w:r>
      <w:r>
        <w:rPr>
          <w:rFonts w:ascii="Helvetica;sans-serif" w:hAnsi="Helvetica;sans-serif"/>
          <w:b w:val="false"/>
          <w:color w:val="000000"/>
          <w:sz w:val="20"/>
        </w:rPr>
        <w:t xml:space="preserve">: Kaltura Video Portal is a market-leading enterprise video portal for watching, searching, creating, and engaging with live, real-time, and on-demand rich media content. This customizable portal can be used for learning and development, knowledge sharing and collaboration, as well as internal and external communication. It allows users, based on their permissions, to create, upload, share, search, browse, respond to quizzes, and watch live, real-time, and on-demand videos, video presentations, screencasts, conferencing recordings, and other rich media content, with full user management and moderation capabilities that enforce compliance and governance.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Town Halls</w:t>
      </w:r>
      <w:r>
        <w:rPr>
          <w:rFonts w:ascii="Helvetica;sans-serif" w:hAnsi="Helvetica;sans-serif"/>
          <w:b w:val="false"/>
          <w:color w:val="000000"/>
          <w:sz w:val="20"/>
        </w:rPr>
        <w:t>: Kaltura Town Halls enables customers to easily broadcast with confidence any event of any size, whether for departmental meetings, town halls, and executive communication. Users can go live from their studio or directly from their desktop or video conferencing solutions. Customers choose whether to use external encoders and studio production, or self-serve broadcasting to reduce production overhead and scale their live events. Users can also optimize bandwidth usage with flexible network delivery options including eCDN, P2P, dual-delivery, and more. Kaltura Town Halls also enables customers to broadcast video conferencing sessions via integrations with WebEx, Zoom, Skype for Business and others, while leveraging Kaltura Town Halls’ capabilities for achieving scale, network optimization, engagement, and analytics.</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Video Messaging</w:t>
      </w:r>
      <w:r>
        <w:rPr>
          <w:rFonts w:ascii="Helvetica;sans-serif" w:hAnsi="Helvetica;sans-serif"/>
          <w:b w:val="false"/>
          <w:color w:val="000000"/>
          <w:sz w:val="20"/>
        </w:rPr>
        <w:t xml:space="preserve">: Kaltura Video Messaging empowers customers to easily create personalized video messages that can be more effective at getting recipients’ attention. Our Video Messaging allows senders to track exactly when their recipients watch their videos. Customers use video messages for sales emails to increase conversions, for internal communications that change behavior, and for executive messaging that truly connects with employees.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22250"/>
                <wp:effectExtent l="0" t="0" r="0" b="0"/>
                <wp:wrapNone/>
                <wp:docPr id="138" name="Frame13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Webinars</w:t>
      </w:r>
      <w:r>
        <w:rPr>
          <w:rFonts w:ascii="Helvetica;sans-serif" w:hAnsi="Helvetica;sans-serif"/>
          <w:b w:val="false"/>
          <w:color w:val="000000"/>
          <w:sz w:val="20"/>
        </w:rPr>
        <w:t xml:space="preserve">: Kaltura Webinars offers branded webinars with interactive tools to engage audiences. It provides customers with a brandable solution to ensure consistent brand messaging and customizable management to fit different needs. Additionally, Webinars offers interactive tools with rich video playback, polls, and other features, as well as integrated, advanced analytics to track engagement and connect to marketing automation workflows. Furthermore, via Kaltura Webinars, users can scale to any audience with live broadcast, without the need to plan or incur more cost, and its rich media recordings are immediately ready for reuse in embeddable galleries and for distribution to social channels.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Virtual Events</w:t>
      </w:r>
      <w:r>
        <w:rPr>
          <w:rFonts w:ascii="Helvetica;sans-serif" w:hAnsi="Helvetica;sans-serif"/>
          <w:b w:val="false"/>
          <w:color w:val="000000"/>
          <w:sz w:val="20"/>
        </w:rPr>
        <w:t xml:space="preserve">: Kaltura Virtual Events is a fully customizable virtual events platform designed to support differentiated experiences at scale, supporting live, simulated live, real-time, and on-demand experiences, with unique networking and engagement functionality. Kaltura Virtual Events supports any event size and type, creating dedicated journeys for all attendee types, flexible sponsor packages, and robust analytics. </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Meetings</w:t>
      </w:r>
      <w:r>
        <w:rPr>
          <w:rFonts w:ascii="Helvetica;sans-serif" w:hAnsi="Helvetica;sans-serif"/>
          <w:b w:val="false"/>
          <w:color w:val="000000"/>
          <w:sz w:val="20"/>
        </w:rPr>
        <w:t>: Kaltura Meetings allows customers to launch engaging collaboration spaces with one click. It is used across various internal and external use cases, including internal brainstorming sessions, meetings with customers, and more. Kaltura Meetings features various tools that enable efficiency and productivity, including an interactive whiteboard, shared notes, chat, and shared content playlist.</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Kaltura Industry Solutions – Education</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LMS Video</w:t>
      </w:r>
      <w:r>
        <w:rPr>
          <w:rFonts w:ascii="Helvetica;sans-serif" w:hAnsi="Helvetica;sans-serif"/>
          <w:b w:val="false"/>
          <w:color w:val="000000"/>
          <w:sz w:val="20"/>
        </w:rPr>
        <w:t>: Kaltura Learning Management Systems (“LMS”) Video allows customers to experience rich media as a native part of their LMS workflows by embedding video creation, publishing, search, playback, editing, captioning, analytics, and quizzing anywhere within the learning environment (course content, assignments, discussions, and more). These products enable customers to organize media repositories within course media galleries, personal user spaces, and instructor repositories for collaboration, reuse, and sharing of content. Quiz results and video engagement metrics can be seamlessly integrated into LMS gradebooks or analytics features. Kaltura LMS Video is available for various systems, including Moodle, Blackboard, Sakai, Canvas, and Brightspace.</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Lecture Capture</w:t>
      </w:r>
      <w:r>
        <w:rPr>
          <w:rFonts w:ascii="Helvetica;sans-serif" w:hAnsi="Helvetica;sans-serif"/>
          <w:b w:val="false"/>
          <w:color w:val="000000"/>
          <w:sz w:val="20"/>
        </w:rPr>
        <w:t>: Kaltura Lecture Capture is a capture tool to record lectures and classrooms and make recordings available to students via Kaltura’s platform. Lectures and classes can be captured from multiple different devices. Kaltura Lecture Capture allows users to automatically publish course capture recordings to LMS courses, and videos can be enriched with captioning, interactive video quizzes, and advanced metadata. Users can leverage advanced analytics on viewership with user-level heatmaps, insights on engagement, and comparative analysis. Furthermore, they can use learning tools such as video quizzes, dynamic layers, hotspots, and interactive video paths to increase engagement. Customers can also leverage Lecture Capture for automated transcription, editing, advanced analytics, and metadata extraction.</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Virtual Classroom</w:t>
      </w:r>
      <w:r>
        <w:rPr>
          <w:rFonts w:ascii="Helvetica;sans-serif" w:hAnsi="Helvetica;sans-serif"/>
          <w:b w:val="false"/>
          <w:color w:val="000000"/>
          <w:sz w:val="20"/>
        </w:rPr>
        <w:t xml:space="preserve">: Kaltura Virtual Classroom offers a persistent virtual learning environment focused on engagement, interaction, and analytics. It enables users to join virtual classrooms with one click where participants interact face-to-face from any device, with no downloads or installations required. Kaltura Virtual Classroom offers collaboration and moderation tools, including whiteboard, quizzes, breakout rooms, and Q&amp;A. Furthermore, Kaltura Virtual Classroom includes integrations to all leading LMS platforms and provides a white-label solution that can be customized to match each instructor’s class management style.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Kaltura Industry Solutions – Media &amp; Telecom</w:t>
      </w:r>
    </w:p>
    <w:p>
      <w:pPr>
        <w:pStyle w:val="TextBody"/>
        <w:spacing w:lineRule="auto" w:line="288" w:before="120" w:after="180"/>
        <w:ind w:left="0" w:right="0" w:hanging="360"/>
        <w:jc w:val="both"/>
        <w:rPr/>
      </w:pPr>
      <w:r>
        <w:rPr>
          <w:color w:val="000000"/>
        </w:rPr>
        <w:t>•</w:t>
      </w:r>
      <w:r>
        <w:rPr>
          <w:rFonts w:ascii="Helvetica;sans-serif" w:hAnsi="Helvetica;sans-serif"/>
          <w:b/>
          <w:i/>
          <w:color w:val="000000"/>
          <w:sz w:val="20"/>
        </w:rPr>
        <w:t>TV Solution</w:t>
      </w:r>
      <w:r>
        <w:rPr>
          <w:rFonts w:ascii="Helvetica;sans-serif" w:hAnsi="Helvetica;sans-serif"/>
          <w:b w:val="false"/>
          <w:color w:val="000000"/>
          <w:sz w:val="20"/>
        </w:rPr>
        <w:t xml:space="preserve">: Our TV Solution is a turn-key solution powering TV operators to maximize their revenues, drive conversion and increase customer retention while providing the ability to conduct experiments and evaluate new monetization techniques. Geared towards medium-size media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22250"/>
                <wp:effectExtent l="0" t="0" r="0" b="0"/>
                <wp:wrapNone/>
                <wp:docPr id="139" name="Frame13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v:textbox>
              </v:rect>
            </w:pict>
          </mc:Fallback>
        </mc:AlternateConten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companies and operators, who do not need the level of customization required by tier-1 companies, Kaltura TV Solution contains all the required modules out-of-the-box to manage the TV service offering: content packages, pricing, discounts and coupons (in multiple currencies), support for free trials, seasonal pass and Pay-Per-View, box sets, Electronic-Sell-Through, and Advertising, Subscription, and Transactional offerings, as well as the user interface and apps for consumers.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Customers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we served approximately 1,000 customers, including several of the world’s leading brands across multiple industries, including financial services, high technology, healthcare, education, public sector, media and telecommunications. We serve 25 of the US Fortune 100, and more than 50% of U.S. R1 educational institutions, including seven of the eight Ivy League schools. Additionally, our solutions power 15 major global TV initiatives.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customers are global, spanning 48 countries, and during the year ended December 31, 2020, our technology reached end users in over 150 countries. For the year ended December 31, 2020, approximately 61% of our revenue was generated from customers in the Americas, 31% from customers in EMEA and 8% from customers in APAC. We have sold our products to customers of all sizes, selling to large global enterprises as well as more recently to SMBs.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representative list of our customers is set forth below:</w:t>
      </w:r>
    </w:p>
    <w:p>
      <w:pPr>
        <w:pStyle w:val="TextBody"/>
        <w:spacing w:lineRule="auto" w:line="288" w:before="0" w:after="180"/>
        <w:ind w:left="0" w:right="0" w:firstLine="360"/>
        <w:jc w:val="both"/>
        <w:rPr/>
      </w:pPr>
      <w:r>
        <w:rPr>
          <w:color w:val="000000"/>
        </w:rPr>
        <w:t>•</w:t>
      </w:r>
      <w:r>
        <w:rPr>
          <w:rFonts w:ascii="Helvetica;sans-serif" w:hAnsi="Helvetica;sans-serif"/>
          <w:b w:val="false"/>
          <w:i/>
          <w:color w:val="000000"/>
          <w:sz w:val="20"/>
          <w:u w:val="single"/>
        </w:rPr>
        <w:t>Technology</w:t>
      </w:r>
      <w:r>
        <w:rPr>
          <w:rFonts w:ascii="Helvetica;sans-serif" w:hAnsi="Helvetica;sans-serif"/>
          <w:b w:val="false"/>
          <w:color w:val="000000"/>
          <w:sz w:val="20"/>
        </w:rPr>
        <w:t>: Oracle, Berlitz, Chegg, Stride, Powtoon, HealthStream</w:t>
      </w:r>
    </w:p>
    <w:p>
      <w:pPr>
        <w:pStyle w:val="TextBody"/>
        <w:spacing w:lineRule="auto" w:line="288" w:before="120" w:after="180"/>
        <w:ind w:left="0" w:right="0" w:firstLine="360"/>
        <w:jc w:val="both"/>
        <w:rPr/>
      </w:pPr>
      <w:r>
        <w:rPr>
          <w:color w:val="000000"/>
        </w:rPr>
        <w:t>•</w:t>
      </w:r>
      <w:r>
        <w:rPr>
          <w:rFonts w:ascii="Helvetica;sans-serif" w:hAnsi="Helvetica;sans-serif"/>
          <w:b w:val="false"/>
          <w:i/>
          <w:color w:val="000000"/>
          <w:sz w:val="20"/>
          <w:u w:val="single"/>
        </w:rPr>
        <w:t>Financial</w:t>
      </w:r>
      <w:r>
        <w:rPr>
          <w:rFonts w:ascii="Helvetica;sans-serif" w:hAnsi="Helvetica;sans-serif"/>
          <w:b w:val="false"/>
          <w:color w:val="000000"/>
          <w:sz w:val="20"/>
        </w:rPr>
        <w:t>: Goldman Sachs, Wells Fargo, Bloomberg, Standard Chartered</w:t>
      </w:r>
    </w:p>
    <w:p>
      <w:pPr>
        <w:pStyle w:val="TextBody"/>
        <w:spacing w:lineRule="auto" w:line="288" w:before="120" w:after="180"/>
        <w:ind w:left="0" w:right="0" w:hanging="360"/>
        <w:jc w:val="both"/>
        <w:rPr/>
      </w:pPr>
      <w:r>
        <w:rPr>
          <w:color w:val="000000"/>
        </w:rPr>
        <w:t>•</w:t>
      </w:r>
      <w:r>
        <w:rPr>
          <w:rFonts w:ascii="Helvetica;sans-serif" w:hAnsi="Helvetica;sans-serif"/>
          <w:b w:val="false"/>
          <w:i/>
          <w:color w:val="000000"/>
          <w:sz w:val="20"/>
          <w:u w:val="single"/>
        </w:rPr>
        <w:t>Education</w:t>
      </w:r>
      <w:r>
        <w:rPr>
          <w:rFonts w:ascii="Helvetica;sans-serif" w:hAnsi="Helvetica;sans-serif"/>
          <w:b w:val="false"/>
          <w:color w:val="000000"/>
          <w:sz w:val="20"/>
        </w:rPr>
        <w:t>: University of Indiana, Utah Education Network, Regents of the University of Minnesota (through its Office of Information Technology), Houston Community College, Cornell, Oregon State University, Purdue University</w:t>
      </w:r>
    </w:p>
    <w:p>
      <w:pPr>
        <w:pStyle w:val="TextBody"/>
        <w:spacing w:lineRule="auto" w:line="288" w:before="120" w:after="180"/>
        <w:ind w:left="0" w:right="0" w:hanging="360"/>
        <w:jc w:val="both"/>
        <w:rPr/>
      </w:pPr>
      <w:r>
        <w:rPr>
          <w:color w:val="000000"/>
        </w:rPr>
        <w:t>•</w:t>
      </w:r>
      <w:r>
        <w:rPr>
          <w:rFonts w:ascii="Helvetica;sans-serif" w:hAnsi="Helvetica;sans-serif"/>
          <w:b w:val="false"/>
          <w:i/>
          <w:color w:val="000000"/>
          <w:sz w:val="20"/>
          <w:u w:val="single"/>
        </w:rPr>
        <w:t>Media &amp; Telecom</w:t>
      </w:r>
      <w:r>
        <w:rPr>
          <w:rFonts w:ascii="Helvetica;sans-serif" w:hAnsi="Helvetica;sans-serif"/>
          <w:b w:val="false"/>
          <w:color w:val="000000"/>
          <w:sz w:val="20"/>
        </w:rPr>
        <w:t>: Vodafone, Flipkart, YLE, Zee Entertainment Enterprises Limited, O’Reilly Media, Watch Brasil, EYZ Media</w:t>
      </w:r>
    </w:p>
    <w:p>
      <w:pPr>
        <w:pStyle w:val="TextBody"/>
        <w:spacing w:lineRule="auto" w:line="288" w:before="0" w:after="180"/>
        <w:ind w:left="0" w:right="0" w:firstLine="360"/>
        <w:jc w:val="both"/>
        <w:rPr/>
      </w:pPr>
      <w:r>
        <w:rPr>
          <w:color w:val="000000"/>
        </w:rPr>
        <w:t>•</w:t>
      </w:r>
      <w:r>
        <w:rPr>
          <w:rFonts w:ascii="Helvetica;sans-serif" w:hAnsi="Helvetica;sans-serif"/>
          <w:b w:val="false"/>
          <w:i/>
          <w:color w:val="000000"/>
          <w:sz w:val="20"/>
          <w:u w:val="single"/>
        </w:rPr>
        <w:t>Automotive and Manufacturing</w:t>
      </w:r>
      <w:r>
        <w:rPr>
          <w:rFonts w:ascii="Helvetica;sans-serif" w:hAnsi="Helvetica;sans-serif"/>
          <w:b w:val="false"/>
          <w:color w:val="000000"/>
          <w:sz w:val="20"/>
        </w:rPr>
        <w:t>: BOSCH, General Motors</w:t>
      </w:r>
    </w:p>
    <w:p>
      <w:pPr>
        <w:pStyle w:val="TextBody"/>
        <w:spacing w:lineRule="auto" w:line="288" w:before="0" w:after="180"/>
        <w:ind w:left="0" w:right="0" w:firstLine="360"/>
        <w:jc w:val="both"/>
        <w:rPr/>
      </w:pPr>
      <w:r>
        <w:rPr>
          <w:color w:val="000000"/>
        </w:rPr>
        <w:t>•</w:t>
      </w:r>
      <w:r>
        <w:rPr>
          <w:rFonts w:ascii="Helvetica;sans-serif" w:hAnsi="Helvetica;sans-serif"/>
          <w:b w:val="false"/>
          <w:i/>
          <w:color w:val="000000"/>
          <w:sz w:val="20"/>
          <w:u w:val="single"/>
        </w:rPr>
        <w:t>Professional Services &amp; Consulting</w:t>
      </w:r>
      <w:r>
        <w:rPr>
          <w:rFonts w:ascii="Helvetica;sans-serif" w:hAnsi="Helvetica;sans-serif"/>
          <w:b w:val="false"/>
          <w:color w:val="000000"/>
          <w:sz w:val="20"/>
          <w:u w:val="single"/>
        </w:rPr>
        <w:t>:</w:t>
      </w:r>
      <w:r>
        <w:rPr>
          <w:color w:val="000000"/>
        </w:rPr>
        <w:t xml:space="preserve"> </w:t>
      </w:r>
      <w:r>
        <w:rPr>
          <w:rFonts w:ascii="Helvetica;sans-serif" w:hAnsi="Helvetica;sans-serif"/>
          <w:b w:val="false"/>
          <w:color w:val="000000"/>
          <w:sz w:val="20"/>
        </w:rPr>
        <w:t>Accenture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Case Studies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are representative examples of how some of our customers have benefited from adopting Kaltura:</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Oracle</w:t>
      </w:r>
    </w:p>
    <w:p>
      <w:pPr>
        <w:pStyle w:val="TextBody"/>
        <w:spacing w:lineRule="auto" w:line="288" w:before="0" w:after="180"/>
        <w:ind w:left="0" w:right="0" w:firstLine="360"/>
        <w:jc w:val="both"/>
        <w:rPr/>
      </w:pPr>
      <w:r>
        <w:rPr>
          <w:rFonts w:ascii="Helvetica;sans-serif" w:hAnsi="Helvetica;sans-serif"/>
          <w:b/>
          <w:i/>
          <w:color w:val="000000"/>
          <w:sz w:val="20"/>
        </w:rPr>
        <w:t>Situation</w:t>
      </w:r>
      <w:r>
        <w:rPr>
          <w:rFonts w:ascii="Helvetica;sans-serif" w:hAnsi="Helvetica;sans-serif"/>
          <w:b w:val="false"/>
          <w:color w:val="000000"/>
          <w:sz w:val="20"/>
        </w:rPr>
        <w:t>: Oracle is a leading technology company with more than 130,000 global employees. Oracle needed a video collaboration space to allow easy creation, sharing, search and management of video and rich media content. Furthermore, Oracle needed an external facing video hub, to share customer and partner video-based knowledge, as well as allow partners to easily contribute video content. Also, Oracle, as a leading SaaS company, was interested in amplifying its intelligent content platform with support for video as a data type.</w:t>
      </w:r>
    </w:p>
    <w:p>
      <w:pPr>
        <w:pStyle w:val="TextBody"/>
        <w:spacing w:lineRule="auto" w:line="288" w:before="0" w:after="180"/>
        <w:ind w:left="0" w:right="0" w:firstLine="360"/>
        <w:jc w:val="both"/>
        <w:rPr/>
      </w:pPr>
      <w:r>
        <w:rPr>
          <w:rFonts w:ascii="Helvetica;sans-serif" w:hAnsi="Helvetica;sans-serif"/>
          <w:b/>
          <w:i/>
          <w:color w:val="000000"/>
          <w:sz w:val="20"/>
        </w:rPr>
        <w:t>Solution</w:t>
      </w:r>
      <w:r>
        <w:rPr>
          <w:rFonts w:ascii="Helvetica;sans-serif" w:hAnsi="Helvetica;sans-serif"/>
          <w:b w:val="false"/>
          <w:color w:val="000000"/>
          <w:sz w:val="20"/>
        </w:rPr>
        <w:t>: Oracle selected Kaltura and launched a branded video portal dubbed OTube for all global employees, as well as an external-facing VideoHub for partners and customers. Additionally, Oracle signed a strategic Media Services deal with Kaltura to power video in OCE’s Intelligent Content Platform.</w:t>
      </w:r>
    </w:p>
    <w:p>
      <w:pPr>
        <w:pStyle w:val="TextBody"/>
        <w:spacing w:lineRule="auto" w:line="288" w:before="0" w:after="180"/>
        <w:ind w:left="0" w:right="0" w:firstLine="360"/>
        <w:jc w:val="both"/>
        <w:rPr/>
      </w:pPr>
      <w:r>
        <w:rPr>
          <w:rFonts w:ascii="Helvetica;sans-serif" w:hAnsi="Helvetica;sans-serif"/>
          <w:b/>
          <w:i/>
          <w:color w:val="000000"/>
          <w:sz w:val="20"/>
        </w:rPr>
        <w:t>Benefits</w:t>
      </w:r>
      <w:r>
        <w:rPr>
          <w:rFonts w:ascii="Helvetica;sans-serif" w:hAnsi="Helvetica;sans-serif"/>
          <w:b w:val="false"/>
          <w:color w:val="000000"/>
          <w:sz w:val="20"/>
        </w:rPr>
        <w:t xml:space="preserve">: As a result of using Kaltura across a wide range of use cases, Oracle experienced increased collaboration across teams, higher satisfaction from Partners, and the ability to reach over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22250"/>
                <wp:effectExtent l="0" t="0" r="0" b="0"/>
                <wp:wrapNone/>
                <wp:docPr id="140" name="Frame13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130,000 employees around the globe with executive messaging in a more personal and approachable way.</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Vodafone</w:t>
      </w:r>
    </w:p>
    <w:p>
      <w:pPr>
        <w:pStyle w:val="TextBody"/>
        <w:spacing w:lineRule="auto" w:line="288" w:before="0" w:after="180"/>
        <w:ind w:left="0" w:right="0" w:firstLine="360"/>
        <w:jc w:val="both"/>
        <w:rPr/>
      </w:pPr>
      <w:r>
        <w:rPr>
          <w:rFonts w:ascii="Helvetica;sans-serif" w:hAnsi="Helvetica;sans-serif"/>
          <w:b/>
          <w:i/>
          <w:color w:val="000000"/>
          <w:sz w:val="20"/>
        </w:rPr>
        <w:t>Situation</w:t>
      </w:r>
      <w:r>
        <w:rPr>
          <w:rFonts w:ascii="Helvetica;sans-serif" w:hAnsi="Helvetica;sans-serif"/>
          <w:b w:val="false"/>
          <w:color w:val="000000"/>
          <w:sz w:val="20"/>
        </w:rPr>
        <w:t xml:space="preserve">: Vodafone operates mobile and fixed networks in 21 countries and partners with mobile networks in 48 more. As of September 30, 2020, Vodafone had over 300 million mobile customers, more than 27 million fixed broadband customers, over 22 million TV customers, and connected more than 112 million internet of things devices.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Vodafone was looking to deliver advanced super-aggregation multi-screen TV experiences across all its global footprint. Their vision was to operate a multi-country TV service that relies on a single common cloud-based platform, while maintaining carrier-grade service availability and improving business outcomes. To accomplish this goal, Vodafone had to undergo multiple migrations from diverse on-prem legacy systems. </w:t>
      </w:r>
    </w:p>
    <w:p>
      <w:pPr>
        <w:pStyle w:val="TextBody"/>
        <w:spacing w:lineRule="auto" w:line="288" w:before="0" w:after="180"/>
        <w:ind w:left="0" w:right="0" w:firstLine="360"/>
        <w:jc w:val="both"/>
        <w:rPr/>
      </w:pPr>
      <w:r>
        <w:rPr>
          <w:rFonts w:ascii="Helvetica;sans-serif" w:hAnsi="Helvetica;sans-serif"/>
          <w:b/>
          <w:i/>
          <w:color w:val="000000"/>
          <w:sz w:val="20"/>
        </w:rPr>
        <w:t>Solution</w:t>
      </w:r>
      <w:r>
        <w:rPr>
          <w:rFonts w:ascii="Helvetica;sans-serif" w:hAnsi="Helvetica;sans-serif"/>
          <w:b w:val="false"/>
          <w:i/>
          <w:color w:val="000000"/>
          <w:sz w:val="20"/>
        </w:rPr>
        <w:t>:</w:t>
      </w:r>
      <w:r>
        <w:rPr>
          <w:color w:val="000000"/>
        </w:rPr>
        <w:t xml:space="preserve"> </w:t>
      </w:r>
      <w:r>
        <w:rPr>
          <w:rFonts w:ascii="Helvetica;sans-serif" w:hAnsi="Helvetica;sans-serif"/>
          <w:b w:val="false"/>
          <w:color w:val="000000"/>
          <w:sz w:val="20"/>
        </w:rPr>
        <w:t xml:space="preserve">Vodafone partnered with Kaltura to deliver its global TV services, utilizing private cloud infrastructure. Kaltura-powered services are live in 9 countries, with additional markets being under deployment. Vodafone TV (“VTV”) relies on Kaltura’s single common cloud-based platform, that enables it to reduce time-to-market by 60% and launch VTV in a new country in seven months. </w:t>
      </w:r>
    </w:p>
    <w:p>
      <w:pPr>
        <w:pStyle w:val="TextBody"/>
        <w:spacing w:lineRule="auto" w:line="288" w:before="0" w:after="180"/>
        <w:ind w:left="0" w:right="0" w:firstLine="360"/>
        <w:jc w:val="both"/>
        <w:rPr/>
      </w:pPr>
      <w:r>
        <w:rPr>
          <w:rFonts w:ascii="Helvetica;sans-serif" w:hAnsi="Helvetica;sans-serif"/>
          <w:b/>
          <w:i/>
          <w:color w:val="000000"/>
          <w:sz w:val="20"/>
        </w:rPr>
        <w:t>Benefits</w:t>
      </w:r>
      <w:r>
        <w:rPr>
          <w:rFonts w:ascii="Helvetica;sans-serif" w:hAnsi="Helvetica;sans-serif"/>
          <w:b w:val="false"/>
          <w:color w:val="000000"/>
          <w:sz w:val="20"/>
        </w:rPr>
        <w:t>:</w:t>
      </w:r>
      <w:r>
        <w:rPr>
          <w:color w:val="000000"/>
        </w:rPr>
        <w:t xml:space="preserve"> </w:t>
      </w:r>
      <w:r>
        <w:rPr>
          <w:rFonts w:ascii="Helvetica;sans-serif" w:hAnsi="Helvetica;sans-serif"/>
          <w:b w:val="false"/>
          <w:color w:val="000000"/>
          <w:sz w:val="20"/>
        </w:rPr>
        <w:t>Kaltura transformed VTV, from a monolithic and hardware-centric architecture, with expensive on-prem deployments and CPE that varies per market, into an elastic multi-tenant SaaS operation, lowering the costs per subscriber by 50%. This transformation included multiple migrations of legacy TV systems. Kaltura enabled Vodafone to offer personalized cross-device experiences, combined with time-shifted viewing and Cloud TV super aggregation, that blends together local live and on-demand content with a broad variety of OTT services, which results in increase of their subscribers NPS and average revenue per user.</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Berlitz</w:t>
      </w:r>
    </w:p>
    <w:p>
      <w:pPr>
        <w:pStyle w:val="TextBody"/>
        <w:spacing w:lineRule="auto" w:line="288" w:before="0" w:after="180"/>
        <w:ind w:left="0" w:right="0" w:firstLine="360"/>
        <w:jc w:val="both"/>
        <w:rPr/>
      </w:pPr>
      <w:r>
        <w:rPr>
          <w:rFonts w:ascii="Helvetica;sans-serif" w:hAnsi="Helvetica;sans-serif"/>
          <w:b/>
          <w:i/>
          <w:color w:val="000000"/>
          <w:sz w:val="20"/>
        </w:rPr>
        <w:t>Situation</w:t>
      </w:r>
      <w:r>
        <w:rPr>
          <w:rFonts w:ascii="Helvetica;sans-serif" w:hAnsi="Helvetica;sans-serif"/>
          <w:b w:val="false"/>
          <w:color w:val="000000"/>
          <w:sz w:val="20"/>
        </w:rPr>
        <w:t xml:space="preserve">: Catering worldwide language-tutoring for B2C and B2B for over 140 years, Berlitz was looking to add an online and virtual platform to its face-to-face learning centers and mode of operation. They were looking for a platform that would be easy to use, tailored to their needs and would scale. It would also have to integrate into their new digital learning infrastructure, including their LMS. </w:t>
      </w:r>
    </w:p>
    <w:p>
      <w:pPr>
        <w:pStyle w:val="TextBody"/>
        <w:spacing w:lineRule="auto" w:line="288" w:before="0" w:after="180"/>
        <w:ind w:left="0" w:right="0" w:firstLine="360"/>
        <w:jc w:val="both"/>
        <w:rPr/>
      </w:pPr>
      <w:r>
        <w:rPr>
          <w:rFonts w:ascii="Helvetica;sans-serif" w:hAnsi="Helvetica;sans-serif"/>
          <w:b/>
          <w:i/>
          <w:color w:val="000000"/>
          <w:sz w:val="20"/>
        </w:rPr>
        <w:t>Solution</w:t>
      </w:r>
      <w:r>
        <w:rPr>
          <w:rFonts w:ascii="Helvetica;sans-serif" w:hAnsi="Helvetica;sans-serif"/>
          <w:b w:val="false"/>
          <w:color w:val="000000"/>
          <w:sz w:val="20"/>
        </w:rPr>
        <w:t xml:space="preserve">: Berlitz integrated Kaltura Virtual Classrooms into its ecosystem. Berlitz offers its users virtual classrooms with all Kaltura interactive tools, such as the digital whiteboard, intimate breakout rooms, and quizzes. Teachers can also record lessons, share screen, and display any content, whether web, in the-cloud or stored locally, without leaving the classroom. </w:t>
      </w:r>
    </w:p>
    <w:p>
      <w:pPr>
        <w:pStyle w:val="TextBody"/>
        <w:spacing w:lineRule="auto" w:line="288" w:before="0" w:after="180"/>
        <w:ind w:left="0" w:right="0" w:firstLine="360"/>
        <w:jc w:val="both"/>
        <w:rPr/>
      </w:pPr>
      <w:r>
        <w:rPr>
          <w:rFonts w:ascii="Helvetica;sans-serif" w:hAnsi="Helvetica;sans-serif"/>
          <w:b/>
          <w:i/>
          <w:color w:val="000000"/>
          <w:sz w:val="20"/>
        </w:rPr>
        <w:t>Benefits</w:t>
      </w:r>
      <w:r>
        <w:rPr>
          <w:rFonts w:ascii="Helvetica;sans-serif" w:hAnsi="Helvetica;sans-serif"/>
          <w:b w:val="false"/>
          <w:color w:val="000000"/>
          <w:sz w:val="20"/>
        </w:rPr>
        <w:t>: Berlitz launched in rather short time-to-market with an integrated solution, saving them a significant amount of time and effort, while benefiting from the engaging and interactive features designed especially for education in the Kaltura Virtual Classroom product, further contributing to its product and experience leadership in the market.</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 xml:space="preserve">Indiana University </w:t>
      </w:r>
    </w:p>
    <w:p>
      <w:pPr>
        <w:pStyle w:val="TextBody"/>
        <w:spacing w:lineRule="auto" w:line="288" w:before="0" w:after="180"/>
        <w:ind w:left="0" w:right="0" w:firstLine="360"/>
        <w:jc w:val="both"/>
        <w:rPr/>
      </w:pPr>
      <w:r>
        <w:rPr>
          <w:rFonts w:ascii="Helvetica;sans-serif" w:hAnsi="Helvetica;sans-serif"/>
          <w:b/>
          <w:i/>
          <w:color w:val="000000"/>
          <w:sz w:val="20"/>
        </w:rPr>
        <w:t>Situation</w:t>
      </w:r>
      <w:r>
        <w:rPr>
          <w:rFonts w:ascii="Helvetica;sans-serif" w:hAnsi="Helvetica;sans-serif"/>
          <w:b w:val="false"/>
          <w:color w:val="000000"/>
          <w:sz w:val="20"/>
        </w:rPr>
        <w:t xml:space="preserve">: Indiana University is a top U.S. university with over 114,000 students and 9,000 faculty in nine U.S. campuses (plus five more international gateway offices). The university was looking for a video platform to power their online learning programs and resources, as well as an automatic lecture recording tool that would be hassle-free for their busy professors. </w:t>
      </w:r>
    </w:p>
    <w:p>
      <w:pPr>
        <w:pStyle w:val="TextBody"/>
        <w:spacing w:lineRule="auto" w:line="288" w:before="0" w:after="180"/>
        <w:ind w:left="0" w:right="0" w:firstLine="360"/>
        <w:jc w:val="both"/>
        <w:rPr/>
      </w:pPr>
      <w:r>
        <w:rPr>
          <w:rFonts w:ascii="Helvetica;sans-serif" w:hAnsi="Helvetica;sans-serif"/>
          <w:b/>
          <w:i/>
          <w:color w:val="000000"/>
          <w:sz w:val="20"/>
        </w:rPr>
        <w:t>Solution</w:t>
      </w:r>
      <w:r>
        <w:rPr>
          <w:rFonts w:ascii="Helvetica;sans-serif" w:hAnsi="Helvetica;sans-serif"/>
          <w:b w:val="false"/>
          <w:color w:val="000000"/>
          <w:sz w:val="20"/>
        </w:rPr>
        <w:t xml:space="preserve">: Indiana University deployed the Kaltura video portal, lecture capture and LMS video products, which can be found in more than 850 classrooms and are used by over 85,000 students. Indiana University also leverages Kaltura for automated captioning, transcoding, and publishing for easy content discoverability and accessibility.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22250"/>
                <wp:effectExtent l="0" t="0" r="0" b="0"/>
                <wp:wrapNone/>
                <wp:docPr id="141" name="Frame13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v:textbox>
              </v:rect>
            </w:pict>
          </mc:Fallback>
        </mc:AlternateContent>
      </w:r>
    </w:p>
    <w:p>
      <w:pPr>
        <w:pStyle w:val="TextBody"/>
        <w:spacing w:lineRule="auto" w:line="288" w:before="0" w:after="180"/>
        <w:ind w:left="0" w:right="0" w:firstLine="360"/>
        <w:jc w:val="both"/>
        <w:rPr/>
      </w:pPr>
      <w:r>
        <w:rPr>
          <w:rFonts w:ascii="Helvetica;sans-serif" w:hAnsi="Helvetica;sans-serif"/>
          <w:b/>
          <w:i/>
          <w:color w:val="000000"/>
          <w:sz w:val="20"/>
        </w:rPr>
        <w:t>Benefits</w:t>
      </w:r>
      <w:r>
        <w:rPr>
          <w:rFonts w:ascii="Helvetica;sans-serif" w:hAnsi="Helvetica;sans-serif"/>
          <w:b w:val="false"/>
          <w:color w:val="000000"/>
          <w:sz w:val="20"/>
        </w:rPr>
        <w:t>: Indiana University enjoys the benefit of Kaltura video both on campus and off, with integrated lecture capture workflows in classrooms, as well as video in the Canvas LMS for remote teaching and learning, all video is ingested into Indiana’s centralized repository for automated captioning, transcoding, publishing, and management, driving better learning results, higher student satisfaction and retention.</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 xml:space="preserve">Stride (Formerly K12) </w:t>
      </w:r>
    </w:p>
    <w:p>
      <w:pPr>
        <w:pStyle w:val="TextBody"/>
        <w:spacing w:lineRule="auto" w:line="288" w:before="0" w:after="180"/>
        <w:ind w:left="0" w:right="0" w:firstLine="360"/>
        <w:jc w:val="both"/>
        <w:rPr/>
      </w:pPr>
      <w:r>
        <w:rPr>
          <w:rFonts w:ascii="Helvetica;sans-serif" w:hAnsi="Helvetica;sans-serif"/>
          <w:b/>
          <w:i/>
          <w:color w:val="000000"/>
          <w:sz w:val="20"/>
        </w:rPr>
        <w:t>Situation</w:t>
      </w:r>
      <w:r>
        <w:rPr>
          <w:rFonts w:ascii="Helvetica;sans-serif" w:hAnsi="Helvetica;sans-serif"/>
          <w:b w:val="false"/>
          <w:color w:val="000000"/>
          <w:sz w:val="20"/>
        </w:rPr>
        <w:t xml:space="preserve">: Stride is a premier provider of K-12 education for students, schools, and districts, including career learning services through middle and high school curriculum. Providing a solution to the widening skills gap in the workplace and student loan crisis, Stride equips students with real world skills for in-demand jobs with career learning. For adult learners, Stride delivers professional skills training in healthcare and technology, as well as staffing and talent development for Fortune 500 companies. Stride was looking to integrate a virtual classroom experience into its digital learning infrastructure, including its LMS and portal. </w:t>
      </w:r>
    </w:p>
    <w:p>
      <w:pPr>
        <w:pStyle w:val="TextBody"/>
        <w:spacing w:lineRule="auto" w:line="288" w:before="0" w:after="180"/>
        <w:ind w:left="0" w:right="0" w:firstLine="360"/>
        <w:jc w:val="both"/>
        <w:rPr/>
      </w:pPr>
      <w:r>
        <w:rPr>
          <w:rFonts w:ascii="Helvetica;sans-serif" w:hAnsi="Helvetica;sans-serif"/>
          <w:b/>
          <w:i/>
          <w:color w:val="000000"/>
          <w:sz w:val="20"/>
        </w:rPr>
        <w:t>Solution</w:t>
      </w:r>
      <w:r>
        <w:rPr>
          <w:rFonts w:ascii="Helvetica;sans-serif" w:hAnsi="Helvetica;sans-serif"/>
          <w:b w:val="false"/>
          <w:color w:val="000000"/>
          <w:sz w:val="20"/>
        </w:rPr>
        <w:t xml:space="preserve">: Stride integrated Kaltura Virtual Classrooms into its leading remote education service. Stride offers its users virtual classrooms with all Kaltura interactive learning tools, such as digital whiteboards, breakout rooms, quizzes, polls, video playback, presentation and screen-sharing, and more. </w:t>
      </w:r>
    </w:p>
    <w:p>
      <w:pPr>
        <w:pStyle w:val="TextBody"/>
        <w:spacing w:lineRule="auto" w:line="288" w:before="0" w:after="180"/>
        <w:ind w:left="0" w:right="0" w:firstLine="360"/>
        <w:jc w:val="both"/>
        <w:rPr/>
      </w:pPr>
      <w:r>
        <w:rPr>
          <w:rFonts w:ascii="Helvetica;sans-serif" w:hAnsi="Helvetica;sans-serif"/>
          <w:b/>
          <w:i/>
          <w:color w:val="000000"/>
          <w:sz w:val="20"/>
        </w:rPr>
        <w:t>Benefits</w:t>
      </w:r>
      <w:r>
        <w:rPr>
          <w:rFonts w:ascii="Helvetica;sans-serif" w:hAnsi="Helvetica;sans-serif"/>
          <w:b w:val="false"/>
          <w:color w:val="000000"/>
          <w:sz w:val="20"/>
        </w:rPr>
        <w:t>: Stride benefits from the engaging and interactive features designed especially for education in the Kaltura Virtual Classroom product, further contributing to its learning experiences and leadership in the market.</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Powtoon</w:t>
      </w:r>
    </w:p>
    <w:p>
      <w:pPr>
        <w:pStyle w:val="TextBody"/>
        <w:spacing w:lineRule="auto" w:line="288" w:before="0" w:after="180"/>
        <w:ind w:left="0" w:right="0" w:firstLine="360"/>
        <w:jc w:val="both"/>
        <w:rPr/>
      </w:pPr>
      <w:r>
        <w:rPr>
          <w:rFonts w:ascii="Helvetica;sans-serif" w:hAnsi="Helvetica;sans-serif"/>
          <w:b/>
          <w:i/>
          <w:color w:val="000000"/>
          <w:sz w:val="20"/>
        </w:rPr>
        <w:t>Situation</w:t>
      </w:r>
      <w:r>
        <w:rPr>
          <w:rFonts w:ascii="Helvetica;sans-serif" w:hAnsi="Helvetica;sans-serif"/>
          <w:b w:val="false"/>
          <w:color w:val="000000"/>
          <w:sz w:val="20"/>
        </w:rPr>
        <w:t xml:space="preserve">: Powtoon is a leading visual communication platform used by over 30 million people, including thousands of SMBs worldwide, top-rated and Ivy League universities, and 96% of Fortune 500 companies. You can find their animations, presentations and videos in product launches, digital and broadcast ads, tutorials, educational resources, and more. Powtoon adds a spark of awesomeness to everyday communications by turning content into materials that people want to watch and engage with. </w:t>
      </w:r>
    </w:p>
    <w:p>
      <w:pPr>
        <w:pStyle w:val="TextBody"/>
        <w:spacing w:lineRule="auto" w:line="288" w:before="0" w:after="180"/>
        <w:ind w:left="0" w:right="0" w:firstLine="360"/>
        <w:jc w:val="both"/>
        <w:rPr/>
      </w:pPr>
      <w:r>
        <w:rPr>
          <w:rFonts w:ascii="Helvetica;sans-serif" w:hAnsi="Helvetica;sans-serif"/>
          <w:b/>
          <w:i/>
          <w:color w:val="000000"/>
          <w:sz w:val="20"/>
        </w:rPr>
        <w:t>Solution</w:t>
      </w:r>
      <w:r>
        <w:rPr>
          <w:rFonts w:ascii="Helvetica;sans-serif" w:hAnsi="Helvetica;sans-serif"/>
          <w:b w:val="false"/>
          <w:color w:val="000000"/>
          <w:sz w:val="20"/>
        </w:rPr>
        <w:t xml:space="preserve">: Powtoon uses Kaltura's Media Services to support its rapid growth - evident in new users, videos created, and adoption by enterprises and universities - to power hosting, collaboration, publishing, and analytics across different use cases. Powtoon is also a Kaltura Premier Partner, bringing video, slides, and animation creation tools to Kaltura's Enterprise &amp; Education customers through our platform. </w:t>
      </w:r>
    </w:p>
    <w:p>
      <w:pPr>
        <w:pStyle w:val="TextBody"/>
        <w:spacing w:lineRule="auto" w:line="288" w:before="0" w:after="180"/>
        <w:ind w:left="0" w:right="0" w:firstLine="360"/>
        <w:jc w:val="both"/>
        <w:rPr/>
      </w:pPr>
      <w:r>
        <w:rPr>
          <w:rFonts w:ascii="Helvetica;sans-serif" w:hAnsi="Helvetica;sans-serif"/>
          <w:b/>
          <w:i/>
          <w:color w:val="000000"/>
          <w:sz w:val="20"/>
        </w:rPr>
        <w:t>Benefits</w:t>
      </w:r>
      <w:r>
        <w:rPr>
          <w:rFonts w:ascii="Helvetica;sans-serif" w:hAnsi="Helvetica;sans-serif"/>
          <w:b w:val="false"/>
          <w:color w:val="000000"/>
          <w:sz w:val="20"/>
        </w:rPr>
        <w:t xml:space="preserve">: Thanks to the deep partnership with Kaltura, Powtoon managed to deliver advanced enterprise-grade video capabilities to their visual communications suite, paving the way for rapid growth and innovation.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Sales &amp; Marketing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sales organization is primarily comprised of direct sales and account teams that focus mainly on acquisition, retention, and growth of large customers, including Fortune Global 2000 organizations. We currently have four direct sales and account teams, as noted below. Each of our teams sells the following offerings: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M&amp;T team, which sells our Media Services and TV Solution to media and telecom companies.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Education team, which sells our Media Services, Video Products and specialized education industry solutions to universities and K-12 institutions.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Technology team, which sells our Media Services and Video Products to technology companies who want to integrate our offerings into their own video workflows and products.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22250"/>
                <wp:effectExtent l="0" t="0" r="0" b="0"/>
                <wp:wrapNone/>
                <wp:docPr id="142" name="Frame13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All Other Enterprises” team, which sells our Media Services and Video Products to all other customers (as well as sells our Video Products to our M&amp;T customers).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we leverage reseller relationships globally to help market and sell our products to customers worldwide, especially in areas in which we have a limited presence.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investing in initiatives to more efficiently reach new customers and expand our partnerships with existing ones. For example, we recently launched the option to purchase our Webinars, Meetings and Virtual Classroom offerings directly from our website, allowing us to reduce our cost of customer acquisition, drive additional opportunities to our direct sales team, reach smaller customers, and broaden our target market.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marketing efforts are focused on creating preference for our brand, and driving leads to Kaltura through thought leadership, participation in industry events, analyst and press coverage, customer referrals, community work, customer user groups, and our customer event “Kaltura Connect.” We also leverage digital campaigns and make free trials available for many of our products to drive engagement and conversion.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Research &amp; Development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business has been driven by constant innovation, anticipating trends ahead of other participants in the market. We believe we are one of the first organizations to recognize the importance and mission-critical nature of video experiences, and the subsequent need for Media Services that allow both us and our customers to support any video experience and workflow. Our ability to be a leader in our target markets and rapidly introduce new applications depends on the constant expansion of our Media Services, and the development of new products and industry solutions that rely on them.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work closely with our customers to address their growing needs for video experiences across all areas of operation. Our engineers aim to stay on the cutting edge of video experiences and have released over 100 new and enhanced features a year, on average for the last several years. We estimate that our research and development employees dedicate at least 25% of their time to addressing customer-requested features that would be valuable across our customer base.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main research and development facility is located near Tel Aviv, Israel, which we believe is a strategic advantage for us, allowing us to leverage a talented pool of engineers and product experts.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Technology &amp;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our unique specialized Video Experience Cloud and technology enable a high level of reliability, scalability, performance, and security. Our cloud platform was specifically designed to address the entire lifecycle of video, addressing the need for intense computing resources for encoding, processing, synchronization, and delivery, as well as a higher level of bandwidth and network utilization and performance. We have addressed this in our platform design and development from the start. Our SaaS and PaaS offerings are deployed on AWS across several regions, including in Virginia, Oregon, Canada, Ireland, Frankfurt, Singapore, and Australia. In each region we are deployed on several availability zones for improved availability and resilience.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technology and platform are cloud agnostic, allowing us to also offer private cloud, on-premise, and hybrid deployment options. While the great majority of our customers are deployed on our AWS public cloud infrastructure, some customers are hosted on separate and dedicated AWS private cloud environments that are also managed by us. Some customers have a hybrid cloud deployment, running our platform from the public cloud alongside a locally hosted Kaltura Enterprise CDN service or with locally hosted content storage. We also cater to self-hosted on-premise customers that deploy the same Kaltura Video Experience Cloud fully on their own infrastructure, and manage it for themselves.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22250"/>
                <wp:effectExtent l="0" t="0" r="0" b="0"/>
                <wp:wrapNone/>
                <wp:docPr id="143" name="Frame13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cloud operation teams are responsible for maintaining and upgrading our production environments, and for our system availability service-level agreements which vary from 99.9% to 99.995% (depending on the service).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customer care teams are located around the world and operate on a “follow-the-sun” model, providing 24/7 service and ensuring that issues with our products and platform are addressed quickly, and according to our service level agreements.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Video Operations Center (“VOC”) is responsible for monitoring our applications and services 24/7, responding to system alerts, and managing incidents.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Partner Ecosystem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built an ecosystem consisting of over 125 partners that have integrated with our solutions, and extend our products and platform capabilities with creation, AI, transcripts, and delivery capabilities.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 It also allows us to test new experiences and components with our customers and determine which of the partnerships or technologies are strategic to our business.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leverage a network of value-add resellers that add additional services or integrations to our products, helping us drive the acquisition of new customers around the world, notably those in regions in which we do not have significant presence.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maintain relationships with cloud partners, most notably Amazon Web Services (“AWS”). We are an AWS Technology Partner and certified as an AWS competency partner in Education and Digital Workspace, with validated qualifications in Public Sector. Additionally, our offerings are available in the AWS marketplace.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Employees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we had 584 employees operating across 22 countries on five continents.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average employee tenure is three years. Nearly 50% of new hires are employee referrals, and 97% of employees state that they understand how their jobs contribute to our overall goals, showing high engagement with the firm.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committed to ensuring a culture of diversity, equality, and inclusion. Our culture embraces our employees’ differences in age, race, gender and gender identity, sexual orientation, and nationality.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employees are not represented by a labor union in respect to their employment or covered by a collective bargaining agreement. We have not experienced any work stoppages and largely consider our relationship with our employees to be good and mutually beneficial.</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Competition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our technology positions us well to compete with other video solution providers. Our key competitors vary based on market and industry.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main competitors for </w:t>
      </w:r>
      <w:r>
        <w:rPr>
          <w:rFonts w:ascii="Helvetica;sans-serif" w:hAnsi="Helvetica;sans-serif"/>
          <w:b/>
          <w:color w:val="000000"/>
          <w:sz w:val="20"/>
        </w:rPr>
        <w:t>Kaltura Media Services</w:t>
      </w:r>
      <w:r>
        <w:rPr>
          <w:color w:val="000000"/>
        </w:rPr>
        <w:t xml:space="preserve"> </w:t>
      </w:r>
      <w:r>
        <w:rPr>
          <w:rFonts w:ascii="Helvetica;sans-serif" w:hAnsi="Helvetica;sans-serif"/>
          <w:b w:val="false"/>
          <w:color w:val="000000"/>
          <w:sz w:val="20"/>
        </w:rPr>
        <w:t xml:space="preserve">(including Kaltura </w:t>
      </w:r>
      <w:r>
        <w:rPr>
          <w:rFonts w:ascii="Helvetica;sans-serif" w:hAnsi="Helvetica;sans-serif"/>
          <w:b/>
          <w:color w:val="000000"/>
          <w:sz w:val="20"/>
        </w:rPr>
        <w:t>Video Content Management System</w:t>
      </w:r>
      <w:r>
        <w:rPr>
          <w:rFonts w:ascii="Helvetica;sans-serif" w:hAnsi="Helvetica;sans-serif"/>
          <w:b w:val="false"/>
          <w:color w:val="000000"/>
          <w:sz w:val="20"/>
        </w:rPr>
        <w:t xml:space="preserve">) are Microsoft/Azure Media Services, Amazon/AWS Media Services, and Twilio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main competitors for </w:t>
      </w:r>
      <w:r>
        <w:rPr>
          <w:rFonts w:ascii="Helvetica;sans-serif" w:hAnsi="Helvetica;sans-serif"/>
          <w:b/>
          <w:color w:val="000000"/>
          <w:sz w:val="20"/>
        </w:rPr>
        <w:t>Kaltura Video Portal, Town Halls, and Video Messaging</w:t>
      </w:r>
      <w:r>
        <w:rPr>
          <w:color w:val="000000"/>
        </w:rPr>
        <w:t xml:space="preserve"> </w:t>
      </w:r>
      <w:r>
        <w:rPr>
          <w:rFonts w:ascii="Helvetica;sans-serif" w:hAnsi="Helvetica;sans-serif"/>
          <w:b w:val="false"/>
          <w:color w:val="000000"/>
          <w:sz w:val="20"/>
        </w:rPr>
        <w:t>are Microsoft Teams and Cisco (through their partnership with Vbrick)</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22250"/>
                <wp:effectExtent l="0" t="0" r="0" b="0"/>
                <wp:wrapNone/>
                <wp:docPr id="144" name="Frame13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main competitors for Kaltura </w:t>
      </w:r>
      <w:r>
        <w:rPr>
          <w:rFonts w:ascii="Helvetica;sans-serif" w:hAnsi="Helvetica;sans-serif"/>
          <w:b/>
          <w:color w:val="000000"/>
          <w:sz w:val="20"/>
        </w:rPr>
        <w:t>Webinars and Meetings</w:t>
      </w:r>
      <w:r>
        <w:rPr>
          <w:color w:val="000000"/>
        </w:rPr>
        <w:t xml:space="preserve"> </w:t>
      </w:r>
      <w:r>
        <w:rPr>
          <w:rFonts w:ascii="Helvetica;sans-serif" w:hAnsi="Helvetica;sans-serif"/>
          <w:b w:val="false"/>
          <w:color w:val="000000"/>
          <w:sz w:val="20"/>
        </w:rPr>
        <w:t xml:space="preserve">are Zoom, Cisco/Webex, and Adobe/Connect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main competitors for </w:t>
      </w:r>
      <w:r>
        <w:rPr>
          <w:rFonts w:ascii="Helvetica;sans-serif" w:hAnsi="Helvetica;sans-serif"/>
          <w:b/>
          <w:color w:val="000000"/>
          <w:sz w:val="20"/>
        </w:rPr>
        <w:t>Kaltura Virtual Events</w:t>
      </w:r>
      <w:r>
        <w:rPr>
          <w:color w:val="000000"/>
        </w:rPr>
        <w:t xml:space="preserve"> </w:t>
      </w:r>
      <w:r>
        <w:rPr>
          <w:rFonts w:ascii="Helvetica;sans-serif" w:hAnsi="Helvetica;sans-serif"/>
          <w:b w:val="false"/>
          <w:color w:val="000000"/>
          <w:sz w:val="20"/>
        </w:rPr>
        <w:t xml:space="preserve">are Intrado, and Hopin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main competitors for our </w:t>
      </w:r>
      <w:r>
        <w:rPr>
          <w:rFonts w:ascii="Helvetica;sans-serif" w:hAnsi="Helvetica;sans-serif"/>
          <w:b/>
          <w:color w:val="000000"/>
          <w:sz w:val="20"/>
        </w:rPr>
        <w:t>Education Solutions (Kaltura LMS Video, Lecture Capture, and Virtual Classroom</w:t>
      </w:r>
      <w:r>
        <w:rPr>
          <w:rFonts w:ascii="Helvetica;sans-serif" w:hAnsi="Helvetica;sans-serif"/>
          <w:b w:val="false"/>
          <w:color w:val="000000"/>
          <w:sz w:val="20"/>
        </w:rPr>
        <w:t>) are Zoom, Microsoft/Teams, and Cisco/Webex</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main competitors for our </w:t>
      </w:r>
      <w:r>
        <w:rPr>
          <w:rFonts w:ascii="Helvetica;sans-serif" w:hAnsi="Helvetica;sans-serif"/>
          <w:b/>
          <w:color w:val="000000"/>
          <w:sz w:val="20"/>
        </w:rPr>
        <w:t>Media &amp; Telecom Solution (Kaltura TV Content Management System and TV Solution)</w:t>
      </w:r>
      <w:r>
        <w:rPr>
          <w:color w:val="000000"/>
        </w:rPr>
        <w:t xml:space="preserve"> </w:t>
      </w:r>
      <w:r>
        <w:rPr>
          <w:rFonts w:ascii="Helvetica;sans-serif" w:hAnsi="Helvetica;sans-serif"/>
          <w:b w:val="false"/>
          <w:color w:val="000000"/>
          <w:sz w:val="20"/>
        </w:rPr>
        <w:t>are Synamedia (formerly under Cisco), MediaKind (formerly under Ericsson), and Comcast Technology Solutions (part of Comcast)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the principal competitive factors in our markets include, but are not limited to: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breadth and scale of products, solutions, and Media Services;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ability to provide a cross-organization video platform with multiple interoperable video solutions;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ability to support converging experiences across live, real time, and on-demand video;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flexibility to build and support custom workflows using video technology;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ease of customization and integration with other products;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quality of service and customer satisfaction;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flexibility of deployment options;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ability to innovate quickly;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data capabilities, including advanced analytics and AI;</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enterprise-grade reliability, security, and scalability;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cost of implementation and ongoing use;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brand recognition;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corporate culture.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larger and more mature intellectual property portfolios; and more established relationships in the industry than we do. Furthermore, new entrants not currently considered to be competitors may enter the market through acquisitions, partnerships, or strategic relationships. See “Risk Factors—Risks Related to Our Business and Industry—The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Intellectual Property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Intellectual property is an important aspect of our business and we seek protection for our intellectual property rights as appropriate. To establish and protect our proprietary rights, we rely on a combination of patent, copyright, trade secret and trademark laws, know-how and continuing innovation, and contractual restrictions such as confidentiality agreements, licenses, and intellectual property assignment agreements.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22250"/>
                <wp:effectExtent l="0" t="0" r="0" b="0"/>
                <wp:wrapNone/>
                <wp:docPr id="145" name="Frame14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we owned nine issued U.S. patents and eleven non-U.S. patents and patent applications. The issued U.S. patents are expected to expire between 2028 and 2035.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pursue the registration of our domain names, trademarks and service marks in the United States and in certain locations outside the United States. To protect our brand, we file trademark registrations in the United States and in some other jurisdictions. As of December 31, 2020, we owned five registered trademarks in the United States and three registered trademarks in foreign jurisdictions, including the European Union and Brazil, that we consider material to the marketing of our products, including the “Kaltura” name and logo.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generally seek to enter into confidentiality agreements and proprietary rights agreements with our employees and consultants and to control access to, and distribution of, our proprietary information. However, we cannot guarantee that all applicable parties have executed such agreements. Such agreements can also be breached, and we may not have adequate remedies for such breach.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Intellectual property laws, procedures, and restrictions provide only limited protection, and any of our intellectual property rights may be challenged, invalidated, circumvented, infringed, misappropriated or otherwise violated. Furthermore, the laws of certain countries do not protect intellectual property and proprietary rights to the same extent as the laws of the United States, and we therefore may be unable to protect our proprietary technology in certain jurisdictions. Moreover, our platform and many of our products and services incorporate software components licensed to the general public under open-source software licenses. We obtain some components from software developed and released by contributors to independent open-source components of our platform. Open-source licenses grant licensees broad permissions to use, copy, modify and redistribute certain components of our platform. As a result, open-source development and licensing practices can limit the value of our proprietary software assets.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Despite our efforts to protect our proprietary rights, unauthorized parties may attempt to copy or obtain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For more information regarding the risks relating to intellectual property, see “Risk Factors—Risks Related to Information Technology, Intellectual Property and Data Security and Privacy.”</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Facilities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headquarters are located in New York, NY, where we lease approximately 11,683 square feet of office space pursuant to a sublease expiring in March 2022. We also lease approximately 3,860 square meters (approximately 41,549 square feet) of office space in Ramat Gan, Israel, where our primary research and development, human resources, and certain other finance and administrative activities are based. The lease for our research and development center expires in May 2022. We also subscribe for co-working office spaces in St. Louis, Memphis, Sydney, Singapore, London, Lisbon, and Jerusalem. We lease all our facilities and do not own real estate property. We believe that our current facilities are adequate to meet our current needs for the immediate future.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Legal Proceedings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22250"/>
                <wp:effectExtent l="0" t="0" r="0" b="0"/>
                <wp:wrapNone/>
                <wp:docPr id="146" name="Frame14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MANAGEMENT</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Executive Officers and Directors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information regarding our executive officers and directors as of the date of this prospectus. </w:t>
      </w:r>
    </w:p>
    <w:tbl>
      <w:tblPr>
        <w:tblW w:w="10089" w:type="dxa"/>
        <w:jc w:val="left"/>
        <w:tblInd w:w="0" w:type="dxa"/>
        <w:tblCellMar>
          <w:top w:w="28" w:type="dxa"/>
          <w:left w:w="28" w:type="dxa"/>
          <w:bottom w:w="28" w:type="dxa"/>
          <w:right w:w="28" w:type="dxa"/>
        </w:tblCellMar>
      </w:tblPr>
      <w:tblGrid>
        <w:gridCol w:w="810"/>
        <w:gridCol w:w="708"/>
        <w:gridCol w:w="716"/>
        <w:gridCol w:w="109"/>
        <w:gridCol w:w="109"/>
        <w:gridCol w:w="109"/>
        <w:gridCol w:w="140"/>
        <w:gridCol w:w="140"/>
        <w:gridCol w:w="141"/>
        <w:gridCol w:w="109"/>
        <w:gridCol w:w="109"/>
        <w:gridCol w:w="109"/>
        <w:gridCol w:w="1983"/>
        <w:gridCol w:w="1983"/>
        <w:gridCol w:w="2814"/>
      </w:tblGrid>
      <w:tr>
        <w:trPr/>
        <w:tc>
          <w:tcPr>
            <w:tcW w:w="81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814"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Position with Company</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Ron Yekutiel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Chairman, Chief Executive Officer and Director</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Yaron Garmazi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Financial Officer</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Michal Tsur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President, Chief Marketing Officer and General Manager, Technology Sector</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Sergei Liakhovetsky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Technology Officer</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Non-Employee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Narendra K. Gupta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Director </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Richard Levandov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Director </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Shay David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Ronen Faier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 Nominee*</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Naama Halevi Davidov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 Nominee*</w:t>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*To be elected to our board of directors effective upon the effectiveness of the registration statement of which this prospectus forms a part.</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Executive Officers </w:t>
      </w:r>
    </w:p>
    <w:p>
      <w:pPr>
        <w:pStyle w:val="TextBody"/>
        <w:spacing w:lineRule="auto" w:line="288" w:before="120" w:after="180"/>
        <w:ind w:left="0" w:right="0" w:firstLine="450"/>
        <w:jc w:val="both"/>
        <w:rPr/>
      </w:pPr>
      <w:r>
        <w:rPr>
          <w:rFonts w:ascii="Helvetica;sans-serif" w:hAnsi="Helvetica;sans-serif"/>
          <w:b/>
          <w:i/>
          <w:color w:val="000000"/>
          <w:sz w:val="20"/>
        </w:rPr>
        <w:t>Ron Yekutiel</w:t>
      </w:r>
      <w:r>
        <w:rPr>
          <w:color w:val="000000"/>
        </w:rPr>
        <w:t xml:space="preserve"> </w:t>
      </w:r>
      <w:r>
        <w:rPr>
          <w:rFonts w:ascii="Helvetica;sans-serif" w:hAnsi="Helvetica;sans-serif"/>
          <w:b w:val="false"/>
          <w:color w:val="000000"/>
          <w:sz w:val="20"/>
        </w:rPr>
        <w:t>is one of our co-founders and has served as our Chief Executive Officer and as Chairman of our board of directors since October 2006.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was selected to serve on our board of directors because of the perspective and experience he provides as our co-founder and Chief Executive Officer, as well as his extensive experience with technology companies.</w:t>
      </w:r>
    </w:p>
    <w:p>
      <w:pPr>
        <w:pStyle w:val="TextBody"/>
        <w:spacing w:lineRule="auto" w:line="288" w:before="0" w:after="180"/>
        <w:ind w:left="0" w:right="0" w:firstLine="360"/>
        <w:jc w:val="both"/>
        <w:rPr/>
      </w:pPr>
      <w:r>
        <w:rPr>
          <w:rFonts w:ascii="Helvetica;sans-serif" w:hAnsi="Helvetica;sans-serif"/>
          <w:b/>
          <w:i/>
          <w:color w:val="000000"/>
          <w:sz w:val="20"/>
        </w:rPr>
        <w:t>Yaron Garmazi</w:t>
      </w:r>
      <w:r>
        <w:rPr>
          <w:color w:val="000000"/>
        </w:rPr>
        <w:t> </w:t>
      </w:r>
      <w:r>
        <w:rPr>
          <w:rFonts w:ascii="Helvetica;sans-serif" w:hAnsi="Helvetica;sans-serif"/>
          <w:b w:val="false"/>
          <w:color w:val="000000"/>
          <w:sz w:val="20"/>
        </w:rPr>
        <w:t>has served as our Chief Financial Officer since May 2017. Prior to joining Kaltura, Mr. Garmazi served as the Chief Executive Officer of Milestone Sport Ltd., a sports technology company, from 2016 to 2017, and as the Chief Financial Officer of Kontera, an online advertising company, from 2007 to 2011. He is a Certified Public Accountant (ISR) and received a Bachelor of Arts in Accounting and Business Management from the Tel Aviv College of Management in 1993.</w:t>
      </w:r>
    </w:p>
    <w:p>
      <w:pPr>
        <w:pStyle w:val="TextBody"/>
        <w:spacing w:lineRule="auto" w:line="288" w:before="0" w:after="180"/>
        <w:ind w:left="0" w:right="0" w:firstLine="360"/>
        <w:jc w:val="both"/>
        <w:rPr/>
      </w:pPr>
      <w:r>
        <w:rPr>
          <w:rFonts w:ascii="Helvetica;sans-serif" w:hAnsi="Helvetica;sans-serif"/>
          <w:b/>
          <w:i/>
          <w:color w:val="000000"/>
          <w:sz w:val="20"/>
        </w:rPr>
        <w:t>Michal Tsur</w:t>
      </w:r>
      <w:r>
        <w:rPr>
          <w:color w:val="000000"/>
        </w:rPr>
        <w:t xml:space="preserve"> </w:t>
      </w:r>
      <w:r>
        <w:rPr>
          <w:rFonts w:ascii="Helvetica;sans-serif" w:hAnsi="Helvetica;sans-serif"/>
          <w:b w:val="false"/>
          <w:color w:val="000000"/>
          <w:sz w:val="20"/>
        </w:rPr>
        <w:t>is one of our co-founders and has served as our President and Chief Marketing Officer since 2006 and as our General Manager, Technology Sector since 2016. Prior to Kaltura, Dr. Tsur was a co-founder and Vice President of Cyota, Inc., an online security and anti-fraud solutions company, from 1999 to 2005. Dr. Tsur was a post-doctoral fellow at Yale Law School from 2005 to 2006, and received a Doctoral degree from New York University in 2005 and a Bachelor of Arts in Law and Economics from the Hebrew University of Jerusalem in 1996.</w:t>
      </w:r>
    </w:p>
    <w:p>
      <w:pPr>
        <w:pStyle w:val="TextBody"/>
        <w:spacing w:lineRule="auto" w:line="288" w:before="0" w:after="180"/>
        <w:ind w:left="0" w:right="0" w:firstLine="360"/>
        <w:jc w:val="both"/>
        <w:rPr/>
      </w:pPr>
      <w:r>
        <w:rPr>
          <w:rFonts w:ascii="Helvetica;sans-serif" w:hAnsi="Helvetica;sans-serif"/>
          <w:b/>
          <w:i/>
          <w:color w:val="000000"/>
          <w:sz w:val="20"/>
        </w:rPr>
        <w:t>Sergei Liakhovetsky</w:t>
      </w:r>
      <w:r>
        <w:rPr>
          <w:color w:val="000000"/>
        </w:rPr>
        <w:t xml:space="preserve"> </w:t>
      </w:r>
      <w:r>
        <w:rPr>
          <w:rFonts w:ascii="Helvetica;sans-serif" w:hAnsi="Helvetica;sans-serif"/>
          <w:b w:val="false"/>
          <w:color w:val="000000"/>
          <w:sz w:val="20"/>
        </w:rPr>
        <w:t xml:space="preserve">has served as our Chief Technology Officer since May 2019. Prior to joining Kaltura, Mr. Liakhovetsky spent twenty years at Amdocs Inc., a telecommunication software and services company, where he held various roles, including Head of Open Networks Business Unit, Technology and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22250"/>
                <wp:effectExtent l="0" t="0" r="0" b="0"/>
                <wp:wrapNone/>
                <wp:docPr id="147" name="Frame14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Vice President of Software Engineering, Open Networks. He received a Bachelor of Arts in Computer Science from the Academic College of Tel-Aviv-Yafo in 1997.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Non-Employee Directors</w:t>
      </w:r>
    </w:p>
    <w:p>
      <w:pPr>
        <w:pStyle w:val="TextBody"/>
        <w:spacing w:lineRule="auto" w:line="288" w:before="0" w:after="180"/>
        <w:ind w:left="0" w:right="0" w:firstLine="360"/>
        <w:jc w:val="both"/>
        <w:rPr/>
      </w:pPr>
      <w:r>
        <w:rPr>
          <w:rFonts w:ascii="Helvetica;sans-serif" w:hAnsi="Helvetica;sans-serif"/>
          <w:b/>
          <w:i/>
          <w:color w:val="000000"/>
          <w:sz w:val="20"/>
        </w:rPr>
        <w:t>Narendra K. Gupta</w:t>
      </w:r>
      <w:r>
        <w:rPr>
          <w:color w:val="000000"/>
        </w:rPr>
        <w:t xml:space="preserve"> </w:t>
      </w:r>
      <w:r>
        <w:rPr>
          <w:rFonts w:ascii="Helvetica;sans-serif" w:hAnsi="Helvetica;sans-serif"/>
          <w:b w:val="false"/>
          <w:color w:val="000000"/>
          <w:sz w:val="20"/>
        </w:rPr>
        <w:t>has served as a member of our board of directors since September 2010. Mr. Gupta co-founded Nexus Venture Partners, a venture capital fund focused on investments in the United States and India, in 2006 and has served as Managing Director since its founding. Before Nexus Venture Partners, Mr. Gupta served in various executive positions, including founder, President, CEO and Chairman of Integrated Systems Inc., an information technology services company, from 1980 to 2000. Mr. Gupta currently serves as a member of the board of directors of Pubmatic, Inc., a cloud infrastructure company, and previously served on the boards of directors of Red Hat Inc., an open source software solutions company, Wind River Systems, Inc., a software company, and Tibco Software Inc., an enterprise software company. He also serves as a member of the Board of Trustees of the California Institute of Technology. Mr. Gupta received a Ph.D. in Engineering from Stanford University in 1974, a Master of Science in Engineering from the California Institute of Technology in 1970 and a Bachelor of Technology in Engineering from the Indian Institute of Technology, Delhi in 1969. Mr. Gupta was selected to serve on our board of directors because of his experience as a current and former executive and board member of a number of technology-related public companies and as an investor in global companies, his global expertise, industry and public company board experience, as well as his science and technology expertise.</w:t>
      </w:r>
    </w:p>
    <w:p>
      <w:pPr>
        <w:pStyle w:val="TextBody"/>
        <w:spacing w:lineRule="auto" w:line="288" w:before="120" w:after="180"/>
        <w:ind w:left="0" w:right="0" w:firstLine="450"/>
        <w:jc w:val="both"/>
        <w:rPr/>
      </w:pPr>
      <w:r>
        <w:rPr>
          <w:rFonts w:ascii="Helvetica;sans-serif" w:hAnsi="Helvetica;sans-serif"/>
          <w:b/>
          <w:i/>
          <w:color w:val="000000"/>
          <w:sz w:val="20"/>
        </w:rPr>
        <w:t>Richard Levandov</w:t>
      </w:r>
      <w:r>
        <w:rPr>
          <w:color w:val="000000"/>
        </w:rPr>
        <w:t xml:space="preserve"> </w:t>
      </w:r>
      <w:r>
        <w:rPr>
          <w:rFonts w:ascii="Helvetica;sans-serif" w:hAnsi="Helvetica;sans-serif"/>
          <w:b w:val="false"/>
          <w:color w:val="000000"/>
          <w:sz w:val="20"/>
        </w:rPr>
        <w:t xml:space="preserve">has served as a member of our board of directors since 2007. Mr. Levandov has also served as a general partner at Avalon Ventures, a venture capital firm, since 2007 and as a general partner at Masthead Venture Partners, a venture capital firm, since 1999. Mr. Levandov currently sits on the board of directors of both Avalon Ventures and Masthead Venture Partners. He received a Bachelor of Science in Management from Binghamton University in 1976. Mr. Levandov was selected to serve on our board of directors because of his extensive experience in the venture capital industry. </w:t>
      </w:r>
    </w:p>
    <w:p>
      <w:pPr>
        <w:pStyle w:val="TextBody"/>
        <w:spacing w:lineRule="auto" w:line="288" w:before="120" w:after="180"/>
        <w:ind w:left="0" w:right="0" w:firstLine="450"/>
        <w:jc w:val="both"/>
        <w:rPr/>
      </w:pPr>
      <w:r>
        <w:rPr>
          <w:rFonts w:ascii="Helvetica;sans-serif" w:hAnsi="Helvetica;sans-serif"/>
          <w:b/>
          <w:i/>
          <w:color w:val="000000"/>
          <w:sz w:val="20"/>
        </w:rPr>
        <w:t>Shay David</w:t>
      </w:r>
      <w:r>
        <w:rPr>
          <w:color w:val="000000"/>
        </w:rPr>
        <w:t xml:space="preserve"> </w:t>
      </w:r>
      <w:r>
        <w:rPr>
          <w:rFonts w:ascii="Helvetica;sans-serif" w:hAnsi="Helvetica;sans-serif"/>
          <w:b w:val="false"/>
          <w:color w:val="000000"/>
          <w:sz w:val="20"/>
        </w:rPr>
        <w:t>is one of our co-founders and has served as a member of our board of directors since October 2006. Dr. David previously 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Dr. David also currently serves on the board of directors of King Alfred School Society, a co-educational independent day school.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w:t>
      </w:r>
    </w:p>
    <w:p>
      <w:pPr>
        <w:pStyle w:val="TextBody"/>
        <w:spacing w:lineRule="auto" w:line="288" w:before="120" w:after="180"/>
        <w:ind w:left="0" w:right="0" w:firstLine="450"/>
        <w:jc w:val="both"/>
        <w:rPr/>
      </w:pPr>
      <w:r>
        <w:rPr>
          <w:rFonts w:ascii="Helvetica;sans-serif" w:hAnsi="Helvetica;sans-serif"/>
          <w:b/>
          <w:i/>
          <w:color w:val="000000"/>
          <w:sz w:val="20"/>
        </w:rPr>
        <w:t>Ronen Faier</w:t>
      </w:r>
      <w:r>
        <w:rPr>
          <w:color w:val="000000"/>
        </w:rPr>
        <w:t xml:space="preserve"> </w:t>
      </w:r>
      <w:r>
        <w:rPr>
          <w:rFonts w:ascii="Helvetica;sans-serif" w:hAnsi="Helvetica;sans-serif"/>
          <w:b w:val="false"/>
          <w:color w:val="000000"/>
          <w:sz w:val="20"/>
        </w:rPr>
        <w:t xml:space="preserve">has been nominated to serve on our board of directors. Mr. Faier has served as the Chief Financial Officer of SolarEdge Technologies, Inc., an energy management company, since January 2011. Prior to his role at SolarEdge, Mr. Faier has served in various executive positions at publicly traded companies such as SanDisk Corporation, a manufacturing company, VocalTec Communications, Inc., a telecom equipment provider, and msystems Ltd., a flash storage device company. Mr. Faier is a Certified Public Accountant in Israel. He received a Master’s of Business Administration from Tel Aviv University in 2000 and a Bachelor of Arts in Accounting and Economics from the Hebrew University of Jerusalem in 1996. Mr. Faier was selected to serve on our board of directors because of his extensive financial and public company experience. </w:t>
      </w:r>
    </w:p>
    <w:p>
      <w:pPr>
        <w:pStyle w:val="TextBody"/>
        <w:spacing w:lineRule="auto" w:line="288" w:before="0" w:after="180"/>
        <w:ind w:left="0" w:right="0" w:firstLine="360"/>
        <w:jc w:val="both"/>
        <w:rPr/>
      </w:pPr>
      <w:r>
        <w:rPr>
          <w:rFonts w:ascii="Helvetica;sans-serif" w:hAnsi="Helvetica;sans-serif"/>
          <w:b/>
          <w:i/>
          <w:color w:val="000000"/>
          <w:sz w:val="20"/>
        </w:rPr>
        <w:t>Naama Halevi Davidov</w:t>
      </w:r>
      <w:r>
        <w:rPr>
          <w:color w:val="000000"/>
        </w:rPr>
        <w:t xml:space="preserve"> </w:t>
      </w:r>
      <w:r>
        <w:rPr>
          <w:rFonts w:ascii="Helvetica;sans-serif" w:hAnsi="Helvetica;sans-serif"/>
          <w:b w:val="false"/>
          <w:color w:val="000000"/>
          <w:sz w:val="20"/>
        </w:rPr>
        <w:t xml:space="preserve">has been nominated to serve on our board of directors. Dr. Halevi Davidov has served as a Financial Advisor to Healthy IO Ltd., a manufacturer and marketer of medical equipment, since March 2019 and to Gloat Ltd., a talent marketplace platform, since March 2020. Prior to that, Dr. Halevi Davidov served as our Chief Financial Officer from November 2012 to August 2017. Dr. Halevi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22250"/>
                <wp:effectExtent l="0" t="0" r="0" b="0"/>
                <wp:wrapNone/>
                <wp:docPr id="148" name="Frame14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Davidov has also served on the board of our subsidiary, Kaltura Asia Pte Ltd. since February 2015. Dr. Halevi Davidov is a Certified Public Accountant in Israel. She received a Ph.D. in Strategy from Tel Aviv University in 2012, a Master’s in Business Administration from Tel Aviv University in 2002 and Bachelor of Arts in Accounting and Economics from Tel Aviv University in 2000. Dr. Halevi Davidov was selected to serve on our board of directors because of her extensive knowledge of and experience with corporate financial strategy.</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Family Relationships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are no family relationships among any of our directors or executive officers.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Board Composition and Election of Directors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existing members of our board of directors were elected pursuant to the provisions of the sixth amended and restated voting agreement (the “Voting Agreement”), dated as of July 22, 2016, by and among us and certain of our stockholders, pursuant to which the stockholders party thereto agreed to vote all of their respective shares of common stock, convertible preferred stock, redeemable convertible preferred stock or other voting securities, as the case may be, so as to elect the individuals designated from time to time by certain of our stockholders. In accordance with the Voting Agreement, Dr. Halevi Davidov was designated by Point 406 Ventures I, L.P., Mr. Faier was designated by Sapphire Ventures Fund II, L.P., Mr. Gupta was designated by Nexus India Capital II, LP, Mr. Levandov was designated by Avalon Ventures VII, L.P., and Mr. Yekutiel and Dr. David were designated by holders of a majority of the issued and outstanding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provisions of the Voting Agreement described above will no longer be in effect upon the closing of this offering, and there will be no other contractual obligations regarding the election of our directors. Each of our current directors will continue to serve until the election and qualification of his or her successor, or his or her earlier death, resignation or removal.</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Classified Board of Directors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Upon the closing of this offering, our board of directors will be composed of six members. In accordance with our Post-IPO Certificate of Incorporation, which will be in effect upon the closing of this offering, our board of directors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Class I directors will be Narendra K Gupta and Ron Yekutiel, and their terms will expire at our first annual meeting of stockholders following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Class II directors will be Ronen Faier and Richard Levandov, and their terms will expire at our second annual meeting of stockholders following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Class III directors will be Shay David and Naama Halevi Davidov, and their terms will expire at our third annual meeting of stockholders following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Post-IPO Certificate of Incorporation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See the section of this prospectus captioned “Description of Capital Stock—Anti-takeover Provisions—Post-IPO Certificate of Incorporation and Post-IPO Bylaws” for a discussion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22250"/>
                <wp:effectExtent l="0" t="0" r="0" b="0"/>
                <wp:wrapNone/>
                <wp:docPr id="149" name="Frame14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these and other anti-takeover provisions found in our Post-IPO Certificate of Incorporation and Post-IPO Bylaws, which will be in effect upon the closing of this offering.</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Director Independence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common stock has been approved for listing on the Nasdaq Global Select Market. Under the listing rules of The Nasdaq Stock Market LLC (the “Nasdaq rules”), independent directors must comprise a majority of a listed company’s board of directors within one year following the listing date of the company’s securities. Under the Nasdaq rules, a director will only qualify as an “independent director” if that company’s board of directors affirmatively determines that such person does not have a relationship with the company that would interfere with the exercise of independent judgment in carrying out the responsibilities of a director.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this offering, 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Naama Halevi Davidov, Ronen Faier, Narendra K. Gupta and Richard Levandov, representing four of our six directors, has a relationship that would interfere with the exercise of independent judgment in carrying out the responsibilities of a director and that each of these directors is “independent” as that term is defined under the Nasdaq rules. In making this determination, our board of directors considered the relationships that each non-employee director has with us and all other facts and circumstances our board of directors deemed relevant in determining their independence, including the beneficial ownership of our common stock, convertible preferred stock and/or redeemable convertible preferred stock by certain non-employee directors and the relationships of certain non-employee directors with certain of our significant stockholders.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Board Committees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board of directors has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 </w:t>
      </w:r>
    </w:p>
    <w:p>
      <w:pPr>
        <w:pStyle w:val="TextBody"/>
        <w:spacing w:lineRule="auto" w:line="288" w:before="0" w:after="180"/>
        <w:ind w:left="0" w:right="0" w:firstLine="360"/>
        <w:jc w:val="both"/>
        <w:rPr/>
      </w:pPr>
      <w:r>
        <w:rPr>
          <w:rFonts w:ascii="Helvetica;sans-serif" w:hAnsi="Helvetica;sans-serif"/>
          <w:b w:val="false"/>
          <w:color w:val="000000"/>
          <w:sz w:val="20"/>
        </w:rPr>
        <w:t xml:space="preserve">Each of the audit committee, the compensation committee and the nominating and corporate governance committee will operate under a written charter that will be approved by our board of directors in connection with this offering. A copy of each of the audit committee, the compensation committee and the nominating and corporate governance committee charters will be available on our corporate website at </w:t>
      </w:r>
      <w:r>
        <w:rPr>
          <w:rFonts w:ascii="Helvetica;sans-serif" w:hAnsi="Helvetica;sans-serif"/>
          <w:b w:val="false"/>
          <w:i/>
          <w:color w:val="000000"/>
          <w:sz w:val="20"/>
        </w:rPr>
        <w:t>www.kaltura.com</w:t>
      </w:r>
      <w:r>
        <w:rPr>
          <w:color w:val="000000"/>
        </w:rPr>
        <w:t xml:space="preserve"> </w:t>
      </w:r>
      <w:r>
        <w:rPr>
          <w:rFonts w:ascii="Helvetica;sans-serif" w:hAnsi="Helvetica;sans-serif"/>
          <w:b w:val="false"/>
          <w:color w:val="000000"/>
          <w:sz w:val="20"/>
        </w:rPr>
        <w:t>upon the closing of this offering. The information contained on or that can be accessed through our website is not incorporated by reference into this prospectus, and you should not consider such information to be part of this prospectus.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Audit Committee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audit committee oversees our corporate accounting and financial reporting process and assists our board of directors in monitoring our financial systems. Our audit committee will be responsible for, among other things: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appointing, compensating, retaining and overseeing the work of our independent auditor and any other registered public accounting firm engaged for the purpose of preparing or issuing an audit report or related work or performing other audit, review or attest services for us;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discussing with our independent auditor any audit problems or difficulties and management’s response;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22250"/>
                <wp:effectExtent l="0" t="0" r="0" b="0"/>
                <wp:wrapNone/>
                <wp:docPr id="150" name="Frame14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pre-approving all audit and non-audit services provided to us by our independent auditor (other than those provided pursuant to appropriate preapproval policies established by the committee or exempt from such requirement under SEC rules);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reviewing and discussing our annual and quarterly financial statements with management and our independent auditor;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discussing and overseeing our policies with respect to risk assessment and risk management;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Effective at the time of effectiveness of the registration statement of which this prospectus forms a part, our audit committee will consist of Messrs. Faier and Levandov and Dr. Halevi Davidov, with Mr. Faier serving as chair. All members of our audit committee meet the requirements for financial literacy under the applicable rules and regulations of the SEC and the Nasdaq rules. Our board of directors has affirmatively determined that Messrs. Faier and Levandov and Dr. Halevi Davidov meet the definition of “independent director” under Rule 10A-3 of the Exchange Act and the Nasdaq rules for purposes of serving on the audit committee. In addition, our board of directors has determined that Messrs. Faier and Levandov and Dr. Halevi Davidov will qualify as an “audit committee financial expert,” as such term is defined in Item 407(d)(5) of Regulation S-K and have the requisite accounting or related financial management expertise and financial sophistication under the applicable rules and regulations of the Nasdaq.</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Compensation Committee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compensation committee oversees our compensation policies, plans and benefits programs. Our compensation committee will be responsible for, among other things: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reviewing and approving, or recommending for approval by our board of directors, the compensation of our Chief Executive Officer and our other executive officers;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reviewing and making recommendations to our board of directors regarding director compensation;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reviewing and approving or making recommendations to our board of directors regarding our incentive compensation and equity-based plans and arrangements;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appointing and overseeing any compensation consultants.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Effective at the time of effectiveness of the registration statement of which this prospectus forms a part, our compensation committee will consist of Messrs. Gupta and Faier and Dr. Halevi Davidov , with Mr. Gupta serving as chair. Our board of directors has determined that Messrs. Gupta and Faier and Dr. Halevi Davidov meet the definition of “independent director” under the applicable Nasdaq rules for purposes of serving on the compensation committee, and are “non-employee directors” as defined in Section 16b-3 of the Exchange Act.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22250"/>
                <wp:effectExtent l="0" t="0" r="0" b="0"/>
                <wp:wrapNone/>
                <wp:docPr id="151" name="Frame14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v:textbox>
              </v:rect>
            </w:pict>
          </mc:Fallback>
        </mc:AlternateConten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Nominating and Corporate Governance Committee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nominating and corporate governance committee oversees and assists our board of directors in reviewing and recommending nominees for election as directors. Our nominating and corporate governance committee will be responsible for, among other things: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identifying individuals qualified to become members of our board of directors, consistent with criteria approved by our board of directors;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recommending to our board of directors the nominees for election to our board of directors at annual meetings of our stockholders;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overseeing the periodic self-evaluations of our board of directors;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developing and recommending to our board of directors a set of corporate governance guidelines and principles.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Effective at the time of effectiveness of the registration statement of which this prospectus forms a part, our nominating and corporate governance committee will consist of Messrs. Gupta and Levandov with Mr. Gupta serving as chair. Our board of directors has determined that Messrs. Gupta and Levandov meet the definition of “independent director” under applicable Nasdaq rules for purposes of serving on the nominating and corporate governance committee.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Board Leadership Structure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is currently chaired by Mr. Yekutiel. Our corporate governance guidelines, which will be in effect upon the effectiveness of the registration statement of which this prospectus forms a part, provide that, if the chairperson of our board of directors is a member of management or does not otherwise qualify as independent, the independent members of our board of directors may elect among themselves a lead independent director. Effective at the time of effectiveness of the registration statement of which this prospectus forms a part, Mr. Gupta will serve as our lead independent director. The lead independent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on the one hand and the chief executive officer and chairman of our board of directors on the other. Our corporate governance guidelines further provide the flexibility for our board of directors to modify our leadership structure in the future as it deems appropriate.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Role of the Board in Risk Oversight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with committee members and regular reports from management about such risks, as well as the actions taken by management to adequately address those risks. Our board of directors believes its administration of its risk oversight function has not negatively affected our board of directors’ leadership structure.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22250"/>
                <wp:effectExtent l="0" t="0" r="0" b="0"/>
                <wp:wrapNone/>
                <wp:docPr id="152" name="Frame14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v:textbox>
              </v:rect>
            </w:pict>
          </mc:Fallback>
        </mc:AlternateConten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Code of Business Conduct and Ethics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has adopted a written Code of Business Conduct and Ethics that applies to our directors, officers (including our principal executive officer, principal financial officer, principal accounting officer or controller, or persons performing similar functions) and employees, which will become effective at the time of effectiveness of the registration statement of which this prospectus forms a part. Following this offering, a current copy of the Code of Business Conduct and Ethics will be posted on the investor section of our website. We intend to post any material amendments or waivers of our Code of Business Conduct and Ethics that apply to our executive officers on this website.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Compensation Committee Interlocks and Insider Participation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 of the members of our compensation committee is an executive officer or one of our other employees.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22250"/>
                <wp:effectExtent l="0" t="0" r="0" b="0"/>
                <wp:wrapNone/>
                <wp:docPr id="153" name="Frame14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EXECUTIVE COMPENSATION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This section discusses the material components of the executive compensation program for our executive officers who are named in the “Summary Compensation Table” below. In 2020, our “named executive officers” and their positions were as follows: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Ron Yekutiel, Chairman, Chief Executive Officer and Director;</w:t>
      </w:r>
    </w:p>
    <w:p>
      <w:pPr>
        <w:pStyle w:val="TextBody"/>
        <w:spacing w:lineRule="auto" w:line="288" w:before="0" w:after="180"/>
        <w:ind w:left="0" w:right="0" w:firstLine="360"/>
        <w:jc w:val="both"/>
        <w:rPr/>
      </w:pPr>
      <w:r>
        <w:rPr>
          <w:color w:val="000000"/>
        </w:rPr>
        <w:t>•</w:t>
      </w:r>
      <w:r>
        <w:rPr>
          <w:rFonts w:ascii="Helvetica;sans-serif" w:hAnsi="Helvetica;sans-serif"/>
          <w:b w:val="false"/>
          <w:color w:val="000000"/>
          <w:sz w:val="20"/>
        </w:rPr>
        <w:t>Michal Tsur, President, Chief Marketing Officer and General Manager, Technology Sector; and</w:t>
      </w:r>
    </w:p>
    <w:p>
      <w:pPr>
        <w:pStyle w:val="TextBody"/>
        <w:spacing w:lineRule="auto" w:line="288" w:before="0" w:after="180"/>
        <w:ind w:left="0" w:right="0" w:firstLine="360"/>
        <w:jc w:val="both"/>
        <w:rPr/>
      </w:pPr>
      <w:r>
        <w:rPr>
          <w:color w:val="000000"/>
        </w:rPr>
        <w:t>•</w:t>
      </w:r>
      <w:r>
        <w:rPr>
          <w:rFonts w:ascii="Helvetica;sans-serif" w:hAnsi="Helvetica;sans-serif"/>
          <w:b w:val="false"/>
          <w:color w:val="000000"/>
          <w:sz w:val="20"/>
        </w:rPr>
        <w:t>Yaron Garmazi, Chief Financial Officer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Summary Compensation Table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all of the compensation awarded to, earned by or paid to our named executive officers for the year ended December 31, 2020. </w:t>
      </w:r>
    </w:p>
    <w:tbl>
      <w:tblPr>
        <w:tblW w:w="10370" w:type="dxa"/>
        <w:jc w:val="left"/>
        <w:tblInd w:w="0" w:type="dxa"/>
        <w:tblCellMar>
          <w:top w:w="28" w:type="dxa"/>
          <w:left w:w="28" w:type="dxa"/>
          <w:bottom w:w="28" w:type="dxa"/>
          <w:right w:w="28" w:type="dxa"/>
        </w:tblCellMar>
      </w:tblPr>
      <w:tblGrid>
        <w:gridCol w:w="459"/>
        <w:gridCol w:w="258"/>
        <w:gridCol w:w="259"/>
        <w:gridCol w:w="109"/>
        <w:gridCol w:w="109"/>
        <w:gridCol w:w="109"/>
        <w:gridCol w:w="174"/>
        <w:gridCol w:w="174"/>
        <w:gridCol w:w="178"/>
        <w:gridCol w:w="109"/>
        <w:gridCol w:w="109"/>
        <w:gridCol w:w="109"/>
        <w:gridCol w:w="413"/>
        <w:gridCol w:w="413"/>
        <w:gridCol w:w="109"/>
        <w:gridCol w:w="109"/>
        <w:gridCol w:w="109"/>
        <w:gridCol w:w="109"/>
        <w:gridCol w:w="109"/>
        <w:gridCol w:w="109"/>
        <w:gridCol w:w="109"/>
        <w:gridCol w:w="559"/>
        <w:gridCol w:w="522"/>
        <w:gridCol w:w="236"/>
        <w:gridCol w:w="109"/>
        <w:gridCol w:w="109"/>
        <w:gridCol w:w="109"/>
        <w:gridCol w:w="614"/>
        <w:gridCol w:w="212"/>
        <w:gridCol w:w="212"/>
        <w:gridCol w:w="212"/>
        <w:gridCol w:w="212"/>
        <w:gridCol w:w="216"/>
        <w:gridCol w:w="109"/>
        <w:gridCol w:w="109"/>
        <w:gridCol w:w="109"/>
        <w:gridCol w:w="445"/>
        <w:gridCol w:w="445"/>
        <w:gridCol w:w="446"/>
        <w:gridCol w:w="109"/>
        <w:gridCol w:w="109"/>
        <w:gridCol w:w="109"/>
        <w:gridCol w:w="540"/>
        <w:gridCol w:w="541"/>
        <w:gridCol w:w="232"/>
      </w:tblGrid>
      <w:tr>
        <w:trPr/>
        <w:tc>
          <w:tcPr>
            <w:tcW w:w="45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and Principal</w:t>
              <w:b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Salary ($)</w:t>
            </w:r>
            <w:r>
              <w:rPr>
                <w:rFonts w:ascii="Helvetica;sans-serif" w:hAnsi="Helvetica;sans-serif"/>
                <w:b/>
                <w:color w:val="000000"/>
                <w:sz w:val="10"/>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Option Awards ($)</w:t>
            </w:r>
            <w:r>
              <w:rPr>
                <w:rFonts w:ascii="Helvetica;sans-serif" w:hAnsi="Helvetica;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Non-Equity Incentive Plan Compensation ($)</w:t>
            </w:r>
            <w:r>
              <w:rPr>
                <w:rFonts w:ascii="Helvetica;sans-serif" w:hAnsi="Helvetica;sans-serif"/>
                <w:b/>
                <w:color w:val="000000"/>
                <w:sz w:val="10"/>
              </w:rPr>
              <w:t>(2)(5)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All Other</w:t>
            </w:r>
          </w:p>
          <w:p>
            <w:pPr>
              <w:pStyle w:val="TableContents"/>
              <w:spacing w:lineRule="auto" w:line="240" w:before="0" w:after="0"/>
              <w:jc w:val="center"/>
              <w:rPr/>
            </w:pPr>
            <w:r>
              <w:rPr>
                <w:rFonts w:ascii="Helvetica;sans-serif" w:hAnsi="Helvetica;sans-serif"/>
                <w:b/>
                <w:color w:val="000000"/>
                <w:sz w:val="16"/>
              </w:rPr>
              <w:t>Compensation($)</w:t>
            </w:r>
            <w:r>
              <w:rPr>
                <w:rFonts w:ascii="Helvetica;sans-serif" w:hAnsi="Helvetica;sans-serif"/>
                <w:b/>
                <w:color w:val="000000"/>
                <w:sz w:val="1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Ron Yekutiel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2"/>
              </w:rPr>
            </w:pPr>
            <w:r>
              <w:rPr>
                <w:rFonts w:ascii="Helvetica;sans-serif" w:hAnsi="Helvetica;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21,571,580 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329,582 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2"/>
              </w:rPr>
            </w:pPr>
            <w:r>
              <w:rPr>
                <w:rFonts w:ascii="Helvetica;sans-serif" w:hAnsi="Helvetica;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57,709 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22,348,937 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Chairman, 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Michal Tsur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233,012 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5,392,895 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223,047 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55,285 </w:t>
            </w:r>
          </w:p>
        </w:tc>
        <w:tc>
          <w:tcPr>
            <w:tcW w:w="4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5,904,239 </w:t>
            </w:r>
          </w:p>
        </w:tc>
        <w:tc>
          <w:tcPr>
            <w:tcW w:w="232"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President, Chief Marketing Officer and General Manager, Technology Sector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Yaron Garmazi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271,537 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2,311,241 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173,281 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66,633 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2,822,692 </w:t>
            </w:r>
          </w:p>
        </w:tc>
        <w:tc>
          <w:tcPr>
            <w:tcW w:w="23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(1)For 2020, compensation amounts received in non-U.S. currency have been converted into U.S. dollars using an exchange rate of 0.29 U.S. dollar per NIS (which was the average exchange rate for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(2)Amounts reflect the salary and bonus decreases in effect for each named executive officer during 2020. For additional information, see “Base Salaries” and “2020 Bonuses” below.</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(3)Amounts also reflect the base fees paid and bonuses earned pursuant to Mr. Yekutiel’s U.S. Consulting Agreement and U.K. Consulting Agreement (each as defined below). </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(4)Amounts reflect the full grant-date fair value of options granted during 2020 computed in accordance with ASC Topic 718, rather than the amounts paid to or realized by the named individual. We provide information regarding the assumptions used to calculate the value of all option awards made to executive officers in Note 2(v) and Note 14 to our consolidated financial statements included elsewhere in this prospectus. The stock option awards granted to each of our named executive officers consisted of at-the-money options and premium options.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(5)Amounts reflect the amounts earned by the executives under their respective employment agreements (and consulting agreements for Mr. Yekutiel) pursuant to the Company’s annual performance bonus program for the 2020 fiscal year. For additional information on these payments, see “2020 Bonuses” below.</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(6)Amounts reflect: for Mr. Yekutiel, (i) a Company-paid car allowance and related expenses of $11,216 and an associated tax gross up of $12,929, (ii) a $10,005 contribution by the Company for an Israeli education fund, (iii) a contribution of $1,143 for an Israeli disability fund, (iv) a meal allowance of $2,353, (v) a contribution of $8,182 to an Israeli pension fund, (vi) a contribution of $769 by the Company as recuperation pay and (vii) a contribution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22250"/>
                <wp:effectExtent l="0" t="0" r="0" b="0"/>
                <wp:wrapNone/>
                <wp:docPr id="154" name="Frame14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v:textbox>
              </v:rect>
            </w:pict>
          </mc:Fallback>
        </mc:AlternateContent>
      </w:r>
    </w:p>
    <w:p>
      <w:pPr>
        <w:pStyle w:val="TextBody"/>
        <w:spacing w:lineRule="auto" w:line="288" w:before="0" w:after="180"/>
        <w:jc w:val="both"/>
        <w:rPr>
          <w:rFonts w:ascii="Helvetica;sans-serif" w:hAnsi="Helvetica;sans-serif"/>
          <w:b w:val="false"/>
          <w:color w:val="000000"/>
          <w:sz w:val="18"/>
        </w:rPr>
      </w:pPr>
      <w:r>
        <w:rPr>
          <w:rFonts w:ascii="Helvetica;sans-serif" w:hAnsi="Helvetica;sans-serif"/>
          <w:b w:val="false"/>
          <w:color w:val="000000"/>
          <w:sz w:val="18"/>
        </w:rPr>
        <w:t xml:space="preserve">of $11,112 by the Company to an Israeli severance fund; for Dr. Tsur, (i) a contribution of $17,476 by the Company for an Israeli education fund, (ii) a contribution of $1,418 for an Israeli disability fund, (iii) a meal allowance of $2,353, (iv) a contribution of $13,859 to an Israeli pension fund, (v) a contribution of $769 by the Company as recuperation pay and (vi) a contribution of $19,410 by the Company to an Israeli severance fund; and for Mr. Garmazi, (i) a contribution of $20,365 by the Company for an Israeli education fund, (ii) a contribution of $7,023 to an Israeli disability fund, (iii) a meal allowance of $2,353, (iv) a contribution of $13,577 to an Israeli pension fund, (v) a contribution of $696 by the Company as recuperation pay and (vi) a contribution of $22,619 by the Company to an Israeli severance fund.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Elements of the Company’s Executive Compensation Program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year ended December 31, 2020, the compensation for each named executive officer generally consisted of a base salary, performance-based bonus, standard employee benefits, and stock option awards under the Prior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Base Salaries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named executive officers receive a monthly salary to compensate them for services rendered to our Company. The monthly salary payable to each named executive officer is intended to provide a fixed component of compensation reflecting the executive’s skill set, experience, role, and responsibilities. Each named executive officer’s initial salary was provided in his or her employment agreement.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April 16, 2020, in response to the COVID-19 pandemic, we imposed a reduction on the monthly salaries for certain of our employees, including our named executive officers. The monthly salaries paid to Mr. Yekutiel and Dr. Tsur were reduced by 20% and the monthly salary paid to Mr. Garmazi was reduced by 10%. Half of such monthly salary reductions were cancelled effective as of July 1, 2020 and monthly salaries were restored fully to pre-COVID-19 amounts effective October 1, 2020.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actual salaries paid to each named executive officer for 2020 are set forth above in the Summary Compensation Table in the column entitled “Salary.”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Effective as of January 1, 2021, our board of directors increased the base annual salaries of Mr. Yekutiel, Dr. Tsur and Mr. Garmazi to NIS 495,600 NIS 1,020,000 and NIS 1,080,000, respectively. Mr. Yekutiel will also be entitled to receive base fees of $120,696 under his U.S. Consulting Agreement and $181,056 under his U.K. Consulting Agreement (each as defined below).</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Bonus Compensation</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2020 Bonuses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maintain a cash-based incentive compensation program in which certain of our employees, including our named executive officers, are eligible to receive bonuses based on Company performance goals (the “MBO”). Such awards are designed to incentivize our named executive officers with a variable level of compensation that is based on performance measures established by our board of directors.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the MBO, each of our named executive officers were entitled to receive 70% of their on-target annual bonuses in monthly installments throughout the year, with final incentive awards earned based on actual performance for the year. The Company evaluates performance achievement in August, following which monthly bonus amounts may be adjusted to reflect projected performance. Following the end of the applicable year, the board of directors evaluates final achievement. The board of directors reviews the interim amounts already paid to executives against the actual amount of incentive payments earned and the applicable named executive officers receive a payout of the difference. If any overpayments to our named executive officers occur, those amounts will be deducted from future payments such executives are entitled to receive from the Company.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22250"/>
                <wp:effectExtent l="0" t="0" r="0" b="0"/>
                <wp:wrapNone/>
                <wp:docPr id="155" name="Frame15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response to the COVID-19 pandemic, we imposed a temporary target bonus reduction on certain of our employees, including our named executive officers. From April 16, 2020 to July 1, 2020, Mr. Yekutiel and Dr. Tsur’s 2020 MBO monthly bonus payments were reduced by 20% and Mr. Garmazi’s was reduced by 10%. On July 1, 2020, half of such reductions were cancelled. Monthly bonus payments were fully restored to pre-COVID-19 amounts effective October 1, 2020.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their respective employment agreements, Mr. Yekutiel, Dr. Tsur and Mr. Garmazi are eligible to receive annual bonuses of $100,209, $174,760 and $135,769, as well as additional bonuses based on “stretch” performance targets of up to $24,109, $50,486 and $39,222, respectively, for 2020, taking into account the temporary reductions due to the COVID-19 pandemic. In addition, pursuant to his US Consulting Agreement (as defined below), Mr. Yekutiel was eligible to earn an annual bonus of $63,933 and an additional bonus based on “stretch” performance targets of up to $27,704, as well as an annual bonus of $95,611 and an additional bonus based on “stretch” performance targets of up to $23,013 pursuant to his U.K. Consulting Agreement (as defined below). As a result, for 2020 Mr. Yekutiel, Dr. Tsur and Mr. Garmazi had aggregate bonus opportunities of $334,579, $225,246 and $174,991, respectively.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achievement of Company financial and operational metrics under the MBO, our board of directors awarded Mr. Yekutiel, Dr. Tsur and Mr. Garmazi 2020 bonuses pursuant to their respective employment agreements equal to an aggregate of $121,659, $223,047 and $173,281, respectively. In addition, Mr. Yekutiel earned aggregate bonuses of $91,637 pursuant to his U.S. Consulting Agreement and $116,286 pursuant to his U.K. Consulting Agreement based on the achievement of the applicable performance targets for 2020. The actual bonuses earned by each named executive officer for 2020 are set forth above in the Summary Compensation Table in the column entitled “Non-Equity Incentive Plan Compensation.”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Effective for 2021, our board of directors determined that Mr. Yekutiel, Dr. Tsur and Mr. Garmazi are eligible to receive annual bonuses under their respective employment agreements of NIS 434,400, NIS 765,000 and NIS 810,000, as well as additional bonuses based on “stretch” performance targets of up to NIS 141,600, NIS 286,875 and NIS 303,750, respectively. As a result, Mr. Yekutiel, Dr. Tsur and Mr. Garmazi will have aggregate bonus opportunities under their respective employment agreements of NIS 576,000, NIS 1,051,875 and NIS 1,113,750, respectively. In addition, Mr. Yekutiel will be eligible to earn an annual bonus of $103,400 and an additional bonus based on “stretch” performance targets of up to $51,700 under his U.S. Consulting Agreement, as well as an annual bonus of $131,607 and an additional bonus based on “stretch” performance targets of up to $42,900 pursuant to his U.K. Consulting Agreement.</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Equity Compensation</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Stock Option Plans and Outstanding 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maintain the 2007 Stock Option Plan and the 2007 Israeli Share Option Plan, collectively referred to as the 2007 Plans, and the 2017 Equity Incentive Plan, referred to as the 2017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We have only granted stock options to our eligible service providers under the 2007 Plans and 2017 Plan. The 2007 Plans were frozen as to new grants upon the effectiveness of the 2017 Plan. Any unvested shares underlying stock options granted pursuant to the 2007 Plans remain outstanding and continue to vest in accordance with their terms.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Pursuant to the 2007 Plans, Mr. Yekutiel and Dr. Tsur were granted awards of: (i) 819,000 options each, granted on July 25, 2012 with an exercise price of $0.08 per share, all of which are already vested, and (ii) 2,436,439 options and 730,930, respectively, granted on October 16, 2013 with an exercise price of $0.17 per share, all of which are already vested.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22250"/>
                <wp:effectExtent l="0" t="0" r="0" b="0"/>
                <wp:wrapNone/>
                <wp:docPr id="156" name="Frame15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2017 Plan, Mr. Yekutiel, Dr. Tsur and Mr. Garmazi were granted awards of 1,219,500, 459,000 and 10,800 stock options, respectively, granted on August 14, 2018 with an exercise price of $1.58 per share. Mr. Garmazi received an additional award of 972,000 stock options granted on November 6, 2017 with an exercise price of $1.72 per share. Upon the occurrence of a Change in Control, such options held by Mr. Yekutiel and Dr. Tsur will accelerate and vest in full; provided that, if Mr. Garmazi is terminated by the Company without Cause within 12 months of such a Change in Control, his options will also accelerate and vest in full.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purposes of these options, “Change in Control” means the occurrence of any of the following: (a) an acquisition of the Company by another entity by means of any transaction or series of related transactions (including, without limitation, any reorganization, merger or consolidation, or sale of more than 50% of the outstanding voting stock of the Company), or (b) a sale of all or substantially all of the assets of the Company, subject to the executive’s continued employment through such Change in Control.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December 24, 2020, we granted stock options under the 2017 Plan to each of our named executive officers, half of which vest based on the passage of time and half of which vest based on performance. Mr. Yekutiel received an aggregate of 6,300,000 options, Dr. Tsur received an aggregate of 1,575,000 options and Mr. Garmazi received an aggregate of 675,000 options. The time-based options were granted with an exercise price of $4.99 per share and vest in ratable quarterly installments over a period of 36 months such that such options are fully vested three years from the vesting commencement date of April 1, 2021, subject to the executive’s continued service through the applicable vesting dates. In the event the executive’s employment is terminated for any reason other than for Cause (as defined in the 2017 Plan) or by the Executive for Good Reason within 12 months of a Merger Transaction (as defined in the 2017 Plan), such time-based options will accelerate and vest in full upon such termination of employment; provided that, in the event a Merger Transaction is consummated following March 31, 2022, Mr. Yekutiel’s and Dr. Tsur’s time-based options will immediately accelerate and vest in full upon the consummation of such Merger Transaction.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purposes of these options, “Good Reason” means any of the following: (x) unless agreed to otherwise by the executive, the failure by the Company (or by such entity that employs the executive) to provide the executive with all or part of his agreed upon salary and/or any other benefits required under law and/or any other material breach by the Company (or by such entity that employs the executive) of any provision of the applicable employment agreement which breach, in each case, is not cured within 5 days after the receipt of written notice by the Company (or by such entity that employs the executive) of a description of such breach, if the breach is curable; (y) a reduction resulting in the value of the executive’s salary and/or the monetary value of the executive’s benefits, of more than 12.5%, unless such reductions are made in the same proportion as part of across-the-board salary reductions for substantially all other employees with a similar level; (z) a substantial diminution in the nature or status of the executive’s responsibilities, duties, titles or reporting level (unless otherwise agreed to by the executive), provided, however, that notwithstanding the foregoing, for purposes of this subsection (z), a substantial diminution in such nature or status shall not exist in the event that due to a Merger Transaction the executive has authority and responsibility over a division, subsidiary or entity that is substantially similar in size to the division, subsidiary or entity over which the executive had authority and responsibility immediately prior to such Merger Transaction.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December 2020 performance-based options were granted at a premium exercise price of $13.34 per share and vest based on the achievement of specific share price targets such that 25% of the award will vest upon the fair market value of a share of common stock increasing fifty percent (50%) above the exercise price; an additional 25% of such award will vest upon the fair market value of a share increasing one-hundred percent (100%) above the exercise price; an additional 25% will vest upon the fair market value of a share increasing one-hundred and fifty percent (150%) above the exercise price; and the remaining 25% of the award will vest upon the fair market value increasing two-hundred percent (200%) above the exercise price (which fair market value, in each case, while the Company remains a privately-held company, will be determined using an independent valuation analysis approved by the board of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22250"/>
                <wp:effectExtent l="0" t="0" r="0" b="0"/>
                <wp:wrapNone/>
                <wp:docPr id="157" name="Frame15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directors, or, following the completion of this offering, will be determined based upon the average trading price of our common stock over a 90-consecutive-day period), subject to the executive’s continued service through the applicable vesting dates.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 totals and exercise prices set forth above reflect adjustment made in connection with the 1-to-4.5 forward stock split of our common stock effected on March 19, 2021.</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2021 Plan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this offering, we have adopted, and our stockholders have approved, the 2021 Incentive Award Plan, referred to below as the 2021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2021 Plan, see “—Incentive Arrangements—2021 Incentive Award Plan” below.</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Other Elements of Compensation</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Retirement Plans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Israeli employees, including our named executive officers, are eligible to receive retirement benefits under the provident fund in Israel.</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Employee Benefits and Perquisites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Health/Welfare Plans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Generally, benefits available to our Israel-based employees are available to all employees on the same basis, which include annual vacation leave, sick leave, recuperation pay, transportation expense reimbursement, education fund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monthly salary. Generally, Company contributions are made to a manager’s insurance policy, a pension fund, or a combination thereof (based on the employee’s personal choice), as well as contributions to disability insurance.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majority of our Israel-based employees are subject to an arrangement in accordance with Section 14 of the Israeli Severance Pay Law, 5723-1963 (the “Severance Pay Law” and a “Section 14 Arrangement”), pursuant to which an employer and an employee may agree, as part of the employee’s employment agreement, that the employer will make a monthly contribution, equal to 8.33% of the employee’s monthly salary, to a special severance fund for the benefit of the employee. Upon the termination of the employee’s employment (regardless of whether such termination was initiated by the employer or the employee), the aggregate contributions accrued in the severance fund will be released to the employee, in lieu of severance pay.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absence of such Section 14 Arrangement, the employer must still contribute, on a monthly basis, a certain percentage from the employee’s monthly salary to a special severance fund for the benefit of the employee. However, in the event of such employee's dismissal by the employer, the employer has to pay such employees severance pay in an amount equal to the difference between the last monthly salary of the relevant employee multiplied by the number years of employment, and the amounts accrued in the above-mentioned funds.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Mr. Yekutiel receives a car allowance from the Company. The actual car allowance amounts paid to Mr. Yekutiel for 2020 is set forth above in the Summary Compensation Table in the column entitled “All Other Compensation.”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22250"/>
                <wp:effectExtent l="0" t="0" r="0" b="0"/>
                <wp:wrapNone/>
                <wp:docPr id="158" name="Frame15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144</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the benefits and perquisites described above are necessary and appropriate to provide a competitive compensation package to our named executive officers.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Tax Gross-Ups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Mr. Yekutiel received a tax gross-up of $12,929 associated with the car allowance paid to him by the Company. In general, no other named executive officers received tax gross-ups from the Company. However, immediately prior to the first public filing of the registration statement of which this prospectus forms a part, the full outstanding principal amount of, and accrued and unpaid interest on, loans between certain of our executives, including Mr. Yekutiel and Dr. Tsur, and the Company, were automatically forgiven in accordance with the terms of the applicable loan agreements. In connection with such loan forgiveness, we expect to make tax gross-up payments to Mr. Yekutiel and Dr. Tsur of approximately $308,482 and $197,910, respectively. For additional information, see “Certain Relationships and Related Party Transactions—Director and Executive Officer Loans.”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Outstanding Equity Awards at Fiscal Year-End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represents information regarding outstanding equity awards held by our named executive officers as of December 31, 2020. The share totals and exercise prices set forth below reflect adjustment made in connection with the 1-to-4.5 forward stock split of our common stock effected on March 19, 2021.</w:t>
      </w:r>
    </w:p>
    <w:tbl>
      <w:tblPr>
        <w:tblW w:w="10205" w:type="dxa"/>
        <w:jc w:val="left"/>
        <w:tblInd w:w="0" w:type="dxa"/>
        <w:tblCellMar>
          <w:top w:w="28" w:type="dxa"/>
          <w:left w:w="28" w:type="dxa"/>
          <w:bottom w:w="28" w:type="dxa"/>
          <w:right w:w="28" w:type="dxa"/>
        </w:tblCellMar>
      </w:tblPr>
      <w:tblGrid>
        <w:gridCol w:w="335"/>
        <w:gridCol w:w="267"/>
        <w:gridCol w:w="272"/>
        <w:gridCol w:w="109"/>
        <w:gridCol w:w="109"/>
        <w:gridCol w:w="109"/>
        <w:gridCol w:w="207"/>
        <w:gridCol w:w="192"/>
        <w:gridCol w:w="193"/>
        <w:gridCol w:w="109"/>
        <w:gridCol w:w="109"/>
        <w:gridCol w:w="109"/>
        <w:gridCol w:w="643"/>
        <w:gridCol w:w="468"/>
        <w:gridCol w:w="469"/>
        <w:gridCol w:w="109"/>
        <w:gridCol w:w="109"/>
        <w:gridCol w:w="109"/>
        <w:gridCol w:w="578"/>
        <w:gridCol w:w="538"/>
        <w:gridCol w:w="539"/>
        <w:gridCol w:w="109"/>
        <w:gridCol w:w="109"/>
        <w:gridCol w:w="109"/>
        <w:gridCol w:w="727"/>
        <w:gridCol w:w="436"/>
        <w:gridCol w:w="437"/>
        <w:gridCol w:w="109"/>
        <w:gridCol w:w="109"/>
        <w:gridCol w:w="109"/>
        <w:gridCol w:w="400"/>
        <w:gridCol w:w="269"/>
        <w:gridCol w:w="270"/>
        <w:gridCol w:w="109"/>
        <w:gridCol w:w="109"/>
        <w:gridCol w:w="109"/>
        <w:gridCol w:w="290"/>
        <w:gridCol w:w="290"/>
        <w:gridCol w:w="423"/>
      </w:tblGrid>
      <w:tr>
        <w:trPr/>
        <w:tc>
          <w:tcPr>
            <w:tcW w:w="33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Option Awards</w:t>
            </w:r>
          </w:p>
        </w:tc>
      </w:tr>
      <w:tr>
        <w:trPr/>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Securities Underlying Unexercised Options (#) 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Securities Underlying Unexercised Options (#) Unexercisable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Equity Incentive Plan Awards: Number of Securities Underlying Unexercised Unearned Options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Option Exercise 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Option Expiration Date</w:t>
            </w:r>
          </w:p>
        </w:tc>
      </w:tr>
      <w:tr>
        <w:trPr/>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Ron Yekutiel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7/25/12</w:t>
            </w:r>
            <w:r>
              <w:rPr>
                <w:rFonts w:ascii="Helvetica;sans-serif" w:hAnsi="Helvetica;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170,626 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7/24/22</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10/16/13</w:t>
            </w:r>
            <w:r>
              <w:rPr>
                <w:rFonts w:ascii="Helvetica;sans-serif" w:hAnsi="Helvetica;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1,522,773 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10/15/23</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8/14/18</w:t>
            </w:r>
            <w:r>
              <w:rPr>
                <w:rFonts w:ascii="Helvetica;sans-serif" w:hAnsi="Helvetica;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612,621 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147,879 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8/14/28</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8/14/18</w:t>
            </w:r>
            <w:r>
              <w:rPr>
                <w:rFonts w:ascii="Helvetica;sans-serif" w:hAnsi="Helvetica;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369,747 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89,253 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8/14/28</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12/24/20</w:t>
            </w:r>
            <w:r>
              <w:rPr>
                <w:rFonts w:ascii="Helvetica;sans-serif" w:hAnsi="Helvetica;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3,150,000 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12/23/30</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12/24/20</w:t>
            </w:r>
            <w:r>
              <w:rPr>
                <w:rFonts w:ascii="Helvetica;sans-serif" w:hAnsi="Helvetica;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3,150,000 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3,150,000 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13.34 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12/23/30</w:t>
            </w:r>
          </w:p>
        </w:tc>
      </w:tr>
      <w:tr>
        <w:trPr/>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Michal Tsur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7/25/12</w:t>
            </w:r>
            <w:r>
              <w:rPr>
                <w:rFonts w:ascii="Helvetica;sans-serif" w:hAnsi="Helvetica;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170,626 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0.08 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7/24/22</w:t>
            </w:r>
          </w:p>
        </w:tc>
      </w:tr>
      <w:tr>
        <w:trPr/>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10/16/13</w:t>
            </w:r>
            <w:r>
              <w:rPr>
                <w:rFonts w:ascii="Helvetica;sans-serif" w:hAnsi="Helvetica;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456,831 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10/14/33</w:t>
            </w:r>
          </w:p>
        </w:tc>
      </w:tr>
      <w:tr>
        <w:trPr/>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8/14/18</w:t>
            </w:r>
            <w:r>
              <w:rPr>
                <w:rFonts w:ascii="Helvetica;sans-serif" w:hAnsi="Helvetica;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369,747 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89,253 </w:t>
            </w:r>
          </w:p>
        </w:tc>
        <w:tc>
          <w:tcPr>
            <w:tcW w:w="5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8/14/28</w:t>
            </w:r>
          </w:p>
        </w:tc>
      </w:tr>
      <w:tr>
        <w:trPr/>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12/24/20</w:t>
            </w:r>
            <w:r>
              <w:rPr>
                <w:rFonts w:ascii="Helvetica;sans-serif" w:hAnsi="Helvetica;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787,500 </w:t>
            </w:r>
          </w:p>
        </w:tc>
        <w:tc>
          <w:tcPr>
            <w:tcW w:w="5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12/23/30</w:t>
            </w:r>
          </w:p>
        </w:tc>
      </w:tr>
      <w:tr>
        <w:trPr/>
        <w:tc>
          <w:tcPr>
            <w:tcW w:w="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12/24/20</w:t>
            </w:r>
            <w:r>
              <w:rPr>
                <w:rFonts w:ascii="Helvetica;sans-serif" w:hAnsi="Helvetica;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787,500 </w:t>
            </w:r>
          </w:p>
        </w:tc>
        <w:tc>
          <w:tcPr>
            <w:tcW w:w="5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787,500 </w:t>
            </w:r>
          </w:p>
        </w:tc>
        <w:tc>
          <w:tcPr>
            <w:tcW w:w="4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13.34 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12/23/30</w:t>
            </w:r>
          </w:p>
        </w:tc>
      </w:tr>
      <w:tr>
        <w:trPr/>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Yaron Garmazi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11/6/17</w:t>
            </w:r>
            <w:r>
              <w:rPr>
                <w:rFonts w:ascii="Helvetica;sans-serif" w:hAnsi="Helvetica;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891,000 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81,000 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11/5/27</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8/14/18</w:t>
            </w:r>
            <w:r>
              <w:rPr>
                <w:rFonts w:ascii="Helvetica;sans-serif" w:hAnsi="Helvetica;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6,525 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4,275 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8/14/28</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12/24/2020</w:t>
            </w:r>
            <w:r>
              <w:rPr>
                <w:rFonts w:ascii="Helvetica;sans-serif" w:hAnsi="Helvetica;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337,500 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12/23/30</w:t>
            </w:r>
          </w:p>
        </w:tc>
      </w:tr>
      <w:tr>
        <w:trPr/>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20"/>
              </w:rPr>
              <w:t>12/24/2020</w:t>
            </w:r>
            <w:r>
              <w:rPr>
                <w:rFonts w:ascii="Helvetica;sans-serif" w:hAnsi="Helvetica;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337,500 </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337,500 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13.34 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12/23/30</w:t>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options vest in forty-eight ratable monthly installments such that the award is fully vested four years after the vesting commencement date (February 15, 2012 for the 2012 option grants and October 16, 2013 for the 2013 option grants), subject to the executive’s continued service through the applicable vesting dates. These options are fully vested.</w:t>
      </w:r>
    </w:p>
    <w:p>
      <w:pPr>
        <w:pStyle w:val="TextBody"/>
        <w:spacing w:lineRule="auto" w:line="288"/>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(2)The options vest as to one-third of the options upon the first anniversary of the grant date, with the remaining two-thirds vesting in ratable monthly installments over the following two year period such that the award is fully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22250"/>
                <wp:effectExtent l="0" t="0" r="0" b="0"/>
                <wp:wrapNone/>
                <wp:docPr id="159" name="Frame15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v:textbox>
              </v:rect>
            </w:pict>
          </mc:Fallback>
        </mc:AlternateConten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vested three years after the vesting commencement date of July 1, 2018, subject to the executive’s continued service through the applicable vesting dates. </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(3)These options vest in twelve quarterly installments such that the award is fully vested three years after the vesting commencement date of April 1, 2021, subject to the executive’s continued service through the applicable vesting dates. </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(4)These options vest based on the achievement of specified increases in the fair market value of a share such that 25% of the award will vest upon the fair market value of a share of common stock increasing fifty percent (50%) above the per share exercise price ($13.34); an additional 25% of such award will vest upon the fair market value of a share increasing one-hundred percent (100%) above the per share exercise price; an additional 25% will vest upon the fair market value of a share increasing one-hundred and fifty percent (150%) above the per share exercise price; and the remaining 25% of the award will vest upon the fair market value increasing two-hundred percent (200%) above the per share exercise price.</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(5)These options vest as to 25% of such options on the first anniversary of the vesting commencement date (April 18, 2017 and July 1, 2018, respectively), with the remaining 75% of such options vesting in ratable monthly installments over the following thirty-six months, subject to the executive’s continued service through the applicable vesting dates.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Executive Compensation Arrangements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Ron Yekutiel</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Employment Agreement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May 1, 2012, Kaltura Ltd. entered into an employment agreement with Mr. Yekutiel, which was subsequently amended on November 4, 2018 and again on December 30, 2019 (the “Yekutiel Employment Agreement”), providing for his employment as Chief Executive Officer of the Company. Mr. Yekutiel’s employment with the Company is at-will. The Company may decide to terminate Mr. Yekutiel’s employment at any time with 90 days’ prior written notice of termination. During those 90 days, the Company must pay Mr. Yekutiel an amount equal to 90 days’ of his annual base salary. Mr. Yekutiel may decide to terminate his employment at any time with 60 days’ notice. During those 60 days, the Company must pay Mr. Yekutiel an amount equal to 60 days’ of his annual base salary.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Yekutiel Employment Agreement provides that Mr. Yekutiel is entitled to a monthly salary of NIS 41,000 and is eligible to earn a maximum annual performance bonus of NIS 369,600 and an additional annual stretch performance bonus of up to NIS 88,920, based on the achievement of certain goals and objectives defined by the Company. For additional information on the 2020 bonuses see “Bonus Compensation–2020 Bonuses” above.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Pursuant to the Yekutiel Employment Agreement, Mr. Yekutiel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Yekutiel Employment Agreement is not subject to a Section 14 Arrangement and, accordingly, upon termination of Mr. Yekutiel’s employment by the Company without Cause, the Company will have to pay Mr. Yekutiel a supplemental payment for severance equal to one month of his salary as of the date of termination multiplied by the number of his years of employment with the Company minus the aggregate contributions accrued in his severance fund (which will be released to Mr. Yekutiel at such time). In addition, the Company contributes 7.5% of Mr. Yekutiel’s monthly salary to an education fund, to which Mr. Yekutiel also contributes 2.5% of his monthly salary. Pursuant to the Yekutiel Employment Agreement, Mr. Yekutiel is also entitled to a monthly housing allowance of NIS 12,380. The Company ceased providing the housing allowance to Mr. Yekutiel in 2018. </w:t>
      </w:r>
    </w:p>
    <w:p>
      <w:pPr>
        <w:pStyle w:val="TextBody"/>
        <w:spacing w:lineRule="auto" w:line="288" w:before="0" w:after="180"/>
        <w:ind w:left="0" w:right="0" w:firstLine="360"/>
        <w:jc w:val="both"/>
        <w:rPr>
          <w:color w:val="000000"/>
        </w:rPr>
      </w:pPr>
      <w:r>
        <w:rPr>
          <w:color w:val="000000"/>
        </w:rPr>
        <w:t>“</w:t>
      </w:r>
      <w:r>
        <w:rPr>
          <w:rFonts w:ascii="Helvetica;sans-serif" w:hAnsi="Helvetica;sans-serif"/>
          <w:b w:val="false"/>
          <w:color w:val="000000"/>
          <w:sz w:val="20"/>
        </w:rPr>
        <w:t xml:space="preserve">Cause” is defined in the Yekutiel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22250"/>
                <wp:effectExtent l="0" t="0" r="0" b="0"/>
                <wp:wrapNone/>
                <wp:docPr id="160" name="Frame15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Yekutiel Employment Agreement by the executive. </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Consulting Agreements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Mr. Yekutiel is also party to a consulting agreement with Kaltura, Inc. providing for his position as Chairman of the Board of Directors of the Company (the “U.S. Consulting Agreement”) and a consulting agreement with Kaltura Europe Limited providing for corporate and business development services he renders to the Company’s United Kingdom business (the “U.K. Consulting Agreement”).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November 1, 2006, we entered into the U.S. Consulting Agreement with Mr. Yekutiel, as was subsequently amended effective January 1, 2018 and January 1, 2020, pursuant to the which Mr. Yekutiel will render services as Chairman of the Board of Directors of the Company. Pursuant to the terms of the U.S. Consulting Agreement, Mr. Yekutiel is entitled to a monthly fee for his services of $9,167 and is eligible to earn a maximum annual performance bonus of $68,500 and an additional stretch performance bonus of up to $29,683, based on the achievement of certain performance objectives established by the board of directors of the Company or its delegate. The U.S. Consulting Agreement provides that Mr. Yekutiel will be subject to a perpetual confidentiality covenant.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Effective May 1, 2014, we entered into the U.K. Consulting Agreement with Mr. Yekutiel, as was subsequently amended effective January 1, 2018 and January 1, 2020. Pursuant to the U.K. Consulting Agreement, Mr. Yekutiel is entitled to a monthly fee for his services of $13,750 and is eligible to earn a maximum annual performance bonus of $102,440 and an additional stretch performance bonus of up to $24,657, based on the achievement of certain performance objectives established by the board of directors of the Company or its delegate.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Michal Tsur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January 1, 2007, the Company entered into an employment agreement with Dr. Tsur, which was subsequently amended on May 28, 2015, March 18, 2018 and again on December 30, 2019 (the “Tsur Employment Agreement”), providing for her employment as President and Chief Operating Officer (which title was subsequently changed to President, Chief Marketing Officer and General Manager, Technology Sector by the Company). Dr. Tsur’s employment with the Company is at-will. The Company may decide to terminate Dr. Tsur’s employment at any time with 90 days’ prior written notice of termination. During those 90 days, the Company must pay Dr. Tsur an amount equal to 90 days’ of her annual base salary. Dr. Tsur may decide to terminate her employment at any time with 60 days’ notice. During those 60 days, the Company must pay Dr. Tsur an amount equal to 60 days’ of her annual base salary.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Tsur Employment Agreement provides that Dr. Tsur is entitled to a monthly salary of NIS 71,618, and is eligible to earn a maximum annual performance bonus of NIS 644,564 and additional annual performance stretch bonus of up to NIS 186,207, based on Dr. Tsur’s and the Company’s attainment of certain goals and objectives defined by the Company. For additional information on the 2020 bonuses see “Bonus Compensation–2020 Bonuses” above.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Pursuant to the Tsur Employment Agreement, Dr. Tsur participates in a manager’s insurance policy, a pension fund, or a combination thereof (based on her personal choice), up to a total of 15.83% of her determining salary, of which 8.33% is a severance pay component contributed to a severance fund and up to 7.5% of which is applied to pension payments and disability insurance. The Tsur Employment Agreement is not subject to a Section 14 Arrangement and, accordingly, upon termination of Dr. Tsur’s employment by the Company without Cause, the Company will have to pay Dr. Tsur a supplemental payment for severance equal to one month of her salary as of the date of termination multiplied by the number of her years of employment with the Company minus the aggregate contributions accrued in her severance fund (which will be released to Dr. Tsur at such time). In addition, the Company contributes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22250"/>
                <wp:effectExtent l="0" t="0" r="0" b="0"/>
                <wp:wrapNone/>
                <wp:docPr id="161" name="Frame15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7.5% of Dr. Tsur’s monthly salary to an education fund, to which Dr. Tsur also contributes 2.5% of her monthly salary. </w:t>
      </w:r>
    </w:p>
    <w:p>
      <w:pPr>
        <w:pStyle w:val="TextBody"/>
        <w:spacing w:lineRule="auto" w:line="288" w:before="0" w:after="180"/>
        <w:ind w:left="0" w:right="0" w:firstLine="360"/>
        <w:jc w:val="both"/>
        <w:rPr>
          <w:color w:val="000000"/>
        </w:rPr>
      </w:pPr>
      <w:r>
        <w:rPr>
          <w:color w:val="000000"/>
        </w:rPr>
        <w:t>“</w:t>
      </w:r>
      <w:r>
        <w:rPr>
          <w:rFonts w:ascii="Helvetica;sans-serif" w:hAnsi="Helvetica;sans-serif"/>
          <w:b w:val="false"/>
          <w:color w:val="000000"/>
          <w:sz w:val="20"/>
        </w:rPr>
        <w:t xml:space="preserve">Cause” is defined in the Tsur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Tsur Employment Agreement by the executive.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Yaron Garmazi</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18, 2017, the Company entered into an employment agreement with Mr. Garmazi, which was subsequently amended on September 27, 2018, and again on December 30, 2019 (the “Garmazi Employment Agreement”), providing for his employment as Chief Financial Officer. Mr. Garmazi’s employment with the Company is at-will and either party may terminate the Garmazi Employment Agreement at any time with 60 days’ prior written notice of termination. The Company may decide to terminate Mr. Garmazi’s employment effective as of such notice and instead pay Mr. Garmazi an amount equal to 60 days’ of his monthly salary.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Garmazi Employment Agreement provides that Mr. Garmazi is entitled to a monthly salary of NIS 80,581 and is eligible to earn a maximum annual performance bonus of NIS 483,488 and an additional annual stretch performance bonus of up to NIS 139,674, based on Mr. Garmazi’s and the Company’s attainment of certain goals and objectives defined by the Company. For additional information on the 2020 bonuses see “Bonus Compensation–2020 Bonuses” above.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Garmazi Employment Agreement also provides that Mr. Garmazi is entitled to use of a company car (though Mr. Garmazi did not use a company car in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Garmazi Employment Agreement, Mr. Garmazi participates in a manager’s insurance policy, a pension fund, or a combination (based on his personal choice), up to a total of 15.83% of his determining salary, of which 8.33% is a severance pay component contributed to a severance fund and up to 7.5% of which is applied to pension payments and disability insurance. In the event Mr. Garmazi’s employment is terminated for any reason other than for Cause, he will be entitled to receive all amounts accrued in his severance fund or policy to which the Company’s severance contributions were paid during his employment, which payment is intended to satisfy the Company’s obligations under the respective Section 14 Arrangement. In addition, the Company contributes 7.5% of Mr. Garmazi’s monthly salary to an education fund, to which Mr. Garmazi also contributes 2.5% of his monthly salary.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Garmazi Employment Agreement, Mr. Garmazi is subject to 12 month post-termination non-competition and non-solicitation covenants as well as confidentiality covenants.</w:t>
      </w:r>
    </w:p>
    <w:p>
      <w:pPr>
        <w:pStyle w:val="TextBody"/>
        <w:spacing w:lineRule="auto" w:line="288" w:before="0" w:after="180"/>
        <w:ind w:left="0" w:right="0" w:firstLine="360"/>
        <w:jc w:val="both"/>
        <w:rPr>
          <w:color w:val="000000"/>
        </w:rPr>
      </w:pPr>
      <w:r>
        <w:rPr>
          <w:color w:val="000000"/>
        </w:rPr>
        <w:t>“</w:t>
      </w:r>
      <w:r>
        <w:rPr>
          <w:rFonts w:ascii="Helvetica;sans-serif" w:hAnsi="Helvetica;sans-serif"/>
          <w:b w:val="false"/>
          <w:color w:val="000000"/>
          <w:sz w:val="20"/>
        </w:rPr>
        <w:t xml:space="preserve">Cause” is defined in the Garmazi Employment Agreement generally as (i) the executive’s breach of trust or fiduciary duties, including but not limited to theft, embezzlement, self-dealing, or breach of the provisions of the Company’s Non-Competition, Proprietary Information and Inventions Agreement signed by the executive; (ii) any willful failure to perform or failure to perform competently any of the executive’ material functions or duties under the Garmazi Employment Agreement (including violation of the Company’s regulations, work-rules, policies, procedures and objectives, as shall be in effect from time to time), or other breach of the Garmazi Employment Agreement, which, if capable of cure, was not cured within five days of receipt by the executive of written notice thereof; (iii) an event in which the executive deliberately or gross negligently causes harm to the Company’s business affairs or reputation; (iv) conviction of, or entry of any plea of guilty or nolo contendere by the executive for any felony or other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22250"/>
                <wp:effectExtent l="0" t="0" r="0" b="0"/>
                <wp:wrapNone/>
                <wp:docPr id="162" name="Frame15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148</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lesser crime that would require removal from his or her position at the Company (e.g. any alcohol or drug related misdemeanor); (v) personal dishonesty; (vi) willful misconduct; (vii) other cause justifying termination or dismissal without severance payment under applicable law; or (viii) if the executive has provided the Company with false information about past career and/or education during the recruiting phase.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Director Compensation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No non-employee directors received compensation for their service on our board of directors in 2020.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this offering, we have adopted, and our stockholders have approved, the initial terms of our non-employee director compensation policy. Pursuant to this non-employee director compensation policy, each non-employee director will receive an annual retainer of $30,000. In addition, the non-employee director serving as lead director of the board will receive an additional annual retainer of $15,000 and non-employee directors serving on committees of our board of directors will receive the following additional annual fees, each earned on a quarterly basis: the chairperson of our audit committee will receive an additional annual fee of $20,000, and other members of our audit committee will receive an additional annual fee of $10,000; the chairperson of our compensation committee will receive an additional annual fee of $10,000 and other members of our compensation committee will receive an additional annual fee of $5,000; and the chairperson of our nominating and governance committee will receive an additional annual fee of $8,000, and other members of our nominating and governance committee will receive an additional annual fee of $4,000. Each director will receive an annual restricted stock unit award with a grant date value of $180,000 (with prorated awards made to directors who join on a date other than an annual meeting following the first annual meeting after the closing of this offering), which will generally vest in full on the day immediately prior to the date of our annual shareholder meeting immediately following the date of grant, subject to the non-employee director continuing in service through such meeting date. The equity awards granted pursuant to this policy will accelerate and vest in full upon a change in control (as defined in the 2021 Plan).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Equity Plans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Existing Equity Plans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maintain our 2007 Plans and 2017 Plan, as described above, which we refer to in this prospectus as the “Prior Plans.” After the closing of this offering and following the effectiveness of the 2021 Plan, no further grants will be made under the Prior Plans.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2021 Incentive Award Plan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this offering, we have adopted, and our stockholders have approved, the 2021 Plan, under which we may grant cash and equity incentive awards to eligible service providers in order to attract, motivate and retain the talent for which we compete. The material terms of the 2021 Plan are summarized below.</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Eligibility and Administration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employees, directors and other eligible service providers, and employees, directors and other eligible service providers of our parents and subsidiaries are eligible to receive awards under the 2021 Plan. The 2021 Plan is expected to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Securities Exchange Act of 1934, as amended, or the Exchange Act, and/or stock exchange rules, as applicable. The plan administrator has the authority to make all determinations and interpretations under, prescribe all forms for use with, and adopt rules for the administration of, the 2021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22250"/>
                <wp:effectExtent l="0" t="0" r="0" b="0"/>
                <wp:wrapNone/>
                <wp:docPr id="163" name="Frame15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Plan, subject to its express terms and conditions. The plan administrator will also set the terms and conditions of all awards under the 2021 Plan, including any vesting and vesting acceleration conditions.</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Limitation on Awards and Shares Available</w:t>
      </w:r>
    </w:p>
    <w:p>
      <w:pPr>
        <w:pStyle w:val="TextBody"/>
        <w:spacing w:lineRule="auto" w:line="288" w:before="0" w:after="180"/>
        <w:ind w:left="0" w:right="0" w:firstLine="360"/>
        <w:jc w:val="both"/>
        <w:rPr/>
      </w:pPr>
      <w:r>
        <w:rPr>
          <w:rFonts w:ascii="Helvetica;sans-serif" w:hAnsi="Helvetica;sans-serif"/>
          <w:b w:val="false"/>
          <w:color w:val="000000"/>
          <w:sz w:val="20"/>
        </w:rPr>
        <w:t>The maximum number of shares of our common stock available for issuance under the 2021 Plan is equal to the sum of (i) 8,500,000 shares of our common stock, (ii) any shares which remain available for issuance under the Prior Plans as of the effective date of the 2021 Plan, (iii)</w:t>
      </w:r>
      <w:r>
        <w:rPr>
          <w:color w:val="000000"/>
        </w:rPr>
        <w:t xml:space="preserve"> </w:t>
      </w:r>
      <w:r>
        <w:rPr>
          <w:rFonts w:ascii="Helvetica;sans-serif" w:hAnsi="Helvetica;sans-serif"/>
          <w:b w:val="false"/>
          <w:color w:val="000000"/>
          <w:sz w:val="20"/>
        </w:rPr>
        <w:t>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and (iv) any shares of our common stock subject to awards under the Prior Plans which are forfeited or lapse unexercised and which following the effective date are not issued under such plan; provided, however, no more than 85,000,000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Awards granted under the 2021 Plan upon the assumption of, or in substitution for, outstanding equity awards previously granted by an entity in connection with a corporate transaction,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2021 Plan provides for the grant of stock options, including ISOs, and nonqualified stock options, or NSOs, restricted stock, dividend equivalents, stock payments, restricted stock units, or RSUs, other incentive awards, SARs, and cash awards.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pStyle w:val="TextBody"/>
        <w:spacing w:lineRule="auto" w:line="288" w:before="0" w:after="180"/>
        <w:ind w:left="0" w:right="0" w:firstLine="360"/>
        <w:jc w:val="both"/>
        <w:rPr/>
      </w:pPr>
      <w:r>
        <w:rPr>
          <w:rFonts w:ascii="Helvetica;sans-serif" w:hAnsi="Helvetica;sans-serif"/>
          <w:b w:val="false"/>
          <w:color w:val="000000"/>
          <w:sz w:val="20"/>
          <w:u w:val="single"/>
        </w:rPr>
        <w:t>Stock Options</w:t>
      </w:r>
      <w:r>
        <w:rPr>
          <w:rFonts w:ascii="Helvetica;sans-serif" w:hAnsi="Helvetica;sans-serif"/>
          <w:b w:val="false"/>
          <w:color w:val="000000"/>
          <w:sz w:val="20"/>
        </w:rPr>
        <w:t>.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pStyle w:val="TextBody"/>
        <w:spacing w:lineRule="auto" w:line="288" w:before="0" w:after="180"/>
        <w:ind w:left="0" w:right="0" w:firstLine="360"/>
        <w:jc w:val="both"/>
        <w:rPr/>
      </w:pPr>
      <w:r>
        <w:rPr>
          <w:rFonts w:ascii="Helvetica;sans-serif" w:hAnsi="Helvetica;sans-serif"/>
          <w:b w:val="false"/>
          <w:color w:val="000000"/>
          <w:sz w:val="20"/>
          <w:u w:val="single"/>
        </w:rPr>
        <w:t>SARs</w:t>
      </w:r>
      <w:r>
        <w:rPr>
          <w:rFonts w:ascii="Helvetica;sans-serif" w:hAnsi="Helvetica;sans-serif"/>
          <w:b w:val="false"/>
          <w:color w:val="000000"/>
          <w:sz w:val="20"/>
        </w:rPr>
        <w:t>. SARs entitle their holder, upon exercise, to receive from us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w:t>
      </w:r>
    </w:p>
    <w:p>
      <w:pPr>
        <w:pStyle w:val="TextBody"/>
        <w:spacing w:lineRule="auto" w:line="288" w:before="0" w:after="180"/>
        <w:ind w:left="0" w:right="0" w:firstLine="360"/>
        <w:jc w:val="both"/>
        <w:rPr/>
      </w:pPr>
      <w:r>
        <w:rPr>
          <w:rFonts w:ascii="Helvetica;sans-serif" w:hAnsi="Helvetica;sans-serif"/>
          <w:b w:val="false"/>
          <w:color w:val="000000"/>
          <w:sz w:val="20"/>
          <w:u w:val="single"/>
        </w:rPr>
        <w:t>Restricted Stock and RSUs</w:t>
      </w:r>
      <w:r>
        <w:rPr>
          <w:rFonts w:ascii="Helvetica;sans-serif" w:hAnsi="Helvetica;sans-serif"/>
          <w:b w:val="false"/>
          <w:color w:val="000000"/>
          <w:sz w:val="20"/>
        </w:rPr>
        <w:t>.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22250"/>
                <wp:effectExtent l="0" t="0" r="0" b="0"/>
                <wp:wrapNone/>
                <wp:docPr id="164" name="Frame15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150</w:t>
                      </w:r>
                    </w:p>
                  </w:txbxContent>
                </v:textbox>
              </v:rect>
            </w:pict>
          </mc:Fallback>
        </mc:AlternateContent>
      </w:r>
    </w:p>
    <w:p>
      <w:pPr>
        <w:pStyle w:val="TextBody"/>
        <w:spacing w:lineRule="auto" w:line="288" w:before="0" w:after="180"/>
        <w:ind w:left="0" w:right="0" w:firstLine="360"/>
        <w:jc w:val="both"/>
        <w:rPr/>
      </w:pPr>
      <w:r>
        <w:rPr>
          <w:rFonts w:ascii="Helvetica;sans-serif" w:hAnsi="Helvetica;sans-serif"/>
          <w:b w:val="false"/>
          <w:color w:val="000000"/>
          <w:sz w:val="20"/>
          <w:u w:val="single"/>
        </w:rPr>
        <w:t>Stock Payments, Other Incentive Awards and Cash Awards</w:t>
      </w:r>
      <w:r>
        <w:rPr>
          <w:rFonts w:ascii="Helvetica;sans-serif" w:hAnsi="Helvetica;sans-serif"/>
          <w:b w:val="false"/>
          <w:color w:val="000000"/>
          <w:sz w:val="20"/>
        </w:rPr>
        <w:t>. Stock payments are awards of fully vested shares of our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pStyle w:val="TextBody"/>
        <w:spacing w:lineRule="auto" w:line="288" w:before="0" w:after="180"/>
        <w:ind w:left="0" w:right="0" w:firstLine="360"/>
        <w:jc w:val="both"/>
        <w:rPr/>
      </w:pPr>
      <w:r>
        <w:rPr>
          <w:rFonts w:ascii="Helvetica;sans-serif" w:hAnsi="Helvetica;sans-serif"/>
          <w:b w:val="false"/>
          <w:color w:val="000000"/>
          <w:sz w:val="20"/>
          <w:u w:val="single"/>
        </w:rPr>
        <w:t>Dividend Equivalents</w:t>
      </w:r>
      <w:r>
        <w:rPr>
          <w:rFonts w:ascii="Helvetica;sans-serif" w:hAnsi="Helvetica;sans-serif"/>
          <w:b w:val="false"/>
          <w:color w:val="000000"/>
          <w:sz w:val="20"/>
        </w:rPr>
        <w:t>. Dividend equivalents represent the right to receive the equivalent value of dividends paid on shares 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Vesting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Vesting conditions determined by the plan administrator may apply to each award and may include continued service, performance and/or other conditions.</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Certain Transactions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plan administrator has broad discretion to take action under the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of the company (as defined in the 2021 Plan), to the extent that the surviving entity declines to continue, convert, assume or replace outstanding awards, then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Foreign Participants, Claw-Back Provisions, Transferability, and Participant Payments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The 2021 Plan will include an appendix for Israeli taxpayers pursuant to which tax-qualified options may be granted to eligible employees under Section 102 of the Israeli Income Tax Ordinance.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pStyle w:val="TextBody"/>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Plan Amendment and Termination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22250"/>
                <wp:effectExtent l="0" t="0" r="0" b="0"/>
                <wp:wrapNone/>
                <wp:docPr id="165" name="Frame16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22250"/>
                <wp:effectExtent l="0" t="0" r="0" b="0"/>
                <wp:wrapNone/>
                <wp:docPr id="166" name="Frame16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152</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CERTAIN RELATIONSHIPS AND RELATED PARTY TRANSACTIONS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includes a summary of transactions since January 1, 2018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Director and Executive Officer Loans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From time to time, we have entered into loan agreements with certain of our directors and executive officers to finance their exercise of options to purchase shares of our common stock.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each loan to our directors and executive officers having a principal amount outstanding as of December 31, 2020 in excess of $120,000, including the date it was issued; its principal amount; the number of shares acquired pursuant to the option exercise (adjusted to reflect the 1-to-4.5 forward stock split of our common stock effected on March 19, 2021); the aggregate principal amount of indebtedness outstanding thereunder as of December 31, 2020; and the applicable interest rate. As of December 31, 2020, no principal or interest payments had been made with respect to any of the loans listed below. The full outstanding principal amount of, and accrued and unpaid interest on, each director and/or officer’s loan was automatically forgiven immediately prior to the first public filing of the registration statement of which this prospectus forms a part in accordance with the terms of the applicable loan agreement. In connection with such loans, we anticipate making tax gross-up payments to Mr. Yekutiel, Dr. Tsur and Dr. David of $0.3 million, $0.2 million and $0.2 million, respectively.</w:t>
      </w:r>
    </w:p>
    <w:tbl>
      <w:tblPr>
        <w:tblW w:w="10205" w:type="dxa"/>
        <w:jc w:val="left"/>
        <w:tblInd w:w="0" w:type="dxa"/>
        <w:tblCellMar>
          <w:top w:w="28" w:type="dxa"/>
          <w:left w:w="28" w:type="dxa"/>
          <w:bottom w:w="28" w:type="dxa"/>
          <w:right w:w="28" w:type="dxa"/>
        </w:tblCellMar>
      </w:tblPr>
      <w:tblGrid>
        <w:gridCol w:w="649"/>
        <w:gridCol w:w="570"/>
        <w:gridCol w:w="572"/>
        <w:gridCol w:w="426"/>
        <w:gridCol w:w="426"/>
        <w:gridCol w:w="429"/>
        <w:gridCol w:w="109"/>
        <w:gridCol w:w="109"/>
        <w:gridCol w:w="109"/>
        <w:gridCol w:w="364"/>
        <w:gridCol w:w="364"/>
        <w:gridCol w:w="368"/>
        <w:gridCol w:w="109"/>
        <w:gridCol w:w="109"/>
        <w:gridCol w:w="109"/>
        <w:gridCol w:w="763"/>
        <w:gridCol w:w="759"/>
        <w:gridCol w:w="761"/>
        <w:gridCol w:w="109"/>
        <w:gridCol w:w="109"/>
        <w:gridCol w:w="109"/>
        <w:gridCol w:w="523"/>
        <w:gridCol w:w="523"/>
        <w:gridCol w:w="525"/>
        <w:gridCol w:w="109"/>
        <w:gridCol w:w="109"/>
        <w:gridCol w:w="109"/>
        <w:gridCol w:w="254"/>
        <w:gridCol w:w="254"/>
        <w:gridCol w:w="367"/>
      </w:tblGrid>
      <w:tr>
        <w:trPr/>
        <w:tc>
          <w:tcPr>
            <w:tcW w:w="64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Principal</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 Acquired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Principal Amount</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Outstanding as of</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Interest</w:t>
              <w:br/>
              <w:t>Rate (per</w:t>
              <w:br/>
              <w:t>annum)</w:t>
            </w:r>
          </w:p>
        </w:tc>
      </w:tr>
      <w:tr>
        <w:trPr/>
        <w:tc>
          <w:tcPr>
            <w:tcW w:w="17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Executive Officers</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Ron Yekutiel</w:t>
            </w:r>
          </w:p>
        </w:tc>
        <w:tc>
          <w:tcPr>
            <w:tcW w:w="12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May 15, 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million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2,150,077 </w:t>
            </w:r>
          </w:p>
        </w:tc>
        <w:tc>
          <w:tcPr>
            <w:tcW w:w="7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million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w:t>
            </w:r>
          </w:p>
        </w:tc>
      </w:tr>
      <w:tr>
        <w:trPr/>
        <w:tc>
          <w:tcPr>
            <w:tcW w:w="17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Michal Tsur</w:t>
            </w:r>
          </w:p>
        </w:tc>
        <w:tc>
          <w:tcPr>
            <w:tcW w:w="12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May 15, 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million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1,510,510 </w:t>
            </w:r>
          </w:p>
        </w:tc>
        <w:tc>
          <w:tcPr>
            <w:tcW w:w="7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million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w:t>
            </w:r>
          </w:p>
        </w:tc>
      </w:tr>
      <w:tr>
        <w:trPr/>
        <w:tc>
          <w:tcPr>
            <w:tcW w:w="17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Directors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Shay David</w:t>
            </w:r>
          </w:p>
        </w:tc>
        <w:tc>
          <w:tcPr>
            <w:tcW w:w="12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May 15, 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million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1,510,510 </w:t>
            </w:r>
          </w:p>
        </w:tc>
        <w:tc>
          <w:tcPr>
            <w:tcW w:w="7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million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Transactions with Goldman Sachs &amp; Co. LLC and Affiliates</w:t>
      </w:r>
    </w:p>
    <w:p>
      <w:pPr>
        <w:pStyle w:val="TextBody"/>
        <w:spacing w:lineRule="auto" w:line="288" w:before="0" w:after="180"/>
        <w:ind w:left="0" w:right="0" w:firstLine="360"/>
        <w:jc w:val="both"/>
        <w:rPr/>
      </w:pPr>
      <w:r>
        <w:rPr>
          <w:rFonts w:ascii="Helvetica;sans-serif" w:hAnsi="Helvetica;sans-serif"/>
          <w:b w:val="false"/>
          <w:color w:val="000000"/>
          <w:sz w:val="20"/>
        </w:rPr>
        <w:t xml:space="preserve">Special Situations Investing Group II, LLC, an affiliate of Goldman Sachs &amp; Co. LLC (sometimes referred to in this prospectus as “SSIG”), holds a warrant to purchase shares of our common stock, which we refer to in this prospectus as the “GS Warrant.” The GS Warrant will automatically exercise on a cashless basis immediately prior to the closing of this offering in accordance with its terms. The GS Warrant is initially issuable for 7,146,490 shares of our common stock at an exercise price of $0.0001 per share; </w:t>
      </w:r>
      <w:r>
        <w:rPr>
          <w:rFonts w:ascii="Helvetica;sans-serif" w:hAnsi="Helvetica;sans-serif"/>
          <w:b w:val="false"/>
          <w:i/>
          <w:color w:val="000000"/>
          <w:sz w:val="20"/>
        </w:rPr>
        <w:t>provided</w:t>
      </w:r>
      <w:r>
        <w:rPr>
          <w:color w:val="000000"/>
        </w:rPr>
        <w:t xml:space="preserve"> </w:t>
      </w:r>
      <w:r>
        <w:rPr>
          <w:rFonts w:ascii="Helvetica;sans-serif" w:hAnsi="Helvetica;sans-serif"/>
          <w:b w:val="false"/>
          <w:color w:val="000000"/>
          <w:sz w:val="20"/>
        </w:rPr>
        <w:t>that the number of shares issuable upon the exercise of the GS Warrant in connection with an initial public offering is subject to certain adjustments based on the equity valuation implied by the midpoint of the price range set forth on the cover page of the preliminary prospectus related to such offering. After giving effect to such adjustments, we expect to issue 5,974,515 shares of our common stock to SSIG upon the automatic cashless exercise of the GS Warrant in connection with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SSIG also holds 1,666,667 shares of our Series F convertible preferred stock, all of which will convert into shares of common stock immediately prior to the closing of this offering. Pursuant to the terms of our certificate of incorporation, as currently in effect, the number of shares of common stock into which such shares will convert in connection with an initial public offering is determined using a price per share equal to 102% of the midpoint of the price range set forth on the cover page of the preliminary prospectus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22250"/>
                <wp:effectExtent l="0" t="0" r="0" b="0"/>
                <wp:wrapNone/>
                <wp:docPr id="167" name="Frame16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153</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related to such offering. As a result, after giving effect to certain adjustments in connection with the 1-to-4.5 forward stock split we effected on March 19, 2021, we expect to issue 5,164,537 shares of common stock to SSIG upon the conversion of our Series F convertible preferred stock in connection with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Pursuant to the terms of the GS Warrant and, in the case of our Series F convertible preferred stock, our certificate of incorporation, as currently in effect, we will be required to make certain cash payments to SSIG if the initial public offering price per share at which shares of our common stock are sold in this offering (the “Actual IPO Price”) is less than the price per share used to calculate the number of shares issuable upon the automatic cashless exercise of the GS Warrant or the conversion of our Series F convertible preferred stock, as the case may be (the “Estimated Price”). Conversely, if the Actual IPO Price is greater than the Estimated Price, SSIG will be required to make certain cash payments to us.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approximate amount of the aggregate cash payments we expect to be required to make to SSIG assuming an Actual IPO Price equal to the midpoint of the price range set forth on the cover page of this prospectus and at certain potential prices below such midpoint:</w:t>
      </w:r>
    </w:p>
    <w:tbl>
      <w:tblPr>
        <w:tblW w:w="5381" w:type="dxa"/>
        <w:jc w:val="center"/>
        <w:tblInd w:w="0" w:type="dxa"/>
        <w:tblCellMar>
          <w:top w:w="28" w:type="dxa"/>
          <w:left w:w="28" w:type="dxa"/>
          <w:bottom w:w="28" w:type="dxa"/>
          <w:right w:w="28" w:type="dxa"/>
        </w:tblCellMar>
      </w:tblPr>
      <w:tblGrid>
        <w:gridCol w:w="596"/>
        <w:gridCol w:w="526"/>
        <w:gridCol w:w="528"/>
        <w:gridCol w:w="109"/>
        <w:gridCol w:w="109"/>
        <w:gridCol w:w="109"/>
        <w:gridCol w:w="994"/>
        <w:gridCol w:w="994"/>
        <w:gridCol w:w="1416"/>
      </w:tblGrid>
      <w:tr>
        <w:trPr/>
        <w:tc>
          <w:tcPr>
            <w:tcW w:w="59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Helvetica;sans-serif" w:hAnsi="Helvetica;sans-serif"/>
                <w:b/>
                <w:color w:val="000000"/>
                <w:sz w:val="20"/>
              </w:rPr>
            </w:pPr>
            <w:r>
              <w:rPr>
                <w:rFonts w:ascii="Helvetica;sans-serif" w:hAnsi="Helvetica;sans-serif"/>
                <w:b/>
                <w:color w:val="000000"/>
                <w:sz w:val="20"/>
              </w:rPr>
              <w:t>Actual IPO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Helvetica;sans-serif" w:hAnsi="Helvetica;sans-serif"/>
                <w:b/>
                <w:color w:val="000000"/>
                <w:sz w:val="20"/>
              </w:rPr>
            </w:pPr>
            <w:r>
              <w:rPr>
                <w:rFonts w:ascii="Helvetica;sans-serif" w:hAnsi="Helvetica;sans-serif"/>
                <w:b/>
                <w:color w:val="000000"/>
                <w:sz w:val="20"/>
              </w:rPr>
              <w:t>Potential Payment from us to SSIG</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 million</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$7.1 million</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$13.6 million</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$21.1 million</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$30.0 million</w:t>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approximate amount of the aggregate cash payments we expect SSIG to be required to make to us if the Actual IPO Price is equal to certain potential prices above the midpoint of the price range set forth on the cover page of this prospectus.</w:t>
      </w:r>
    </w:p>
    <w:tbl>
      <w:tblPr>
        <w:tblW w:w="5381" w:type="dxa"/>
        <w:jc w:val="left"/>
        <w:tblInd w:w="0" w:type="dxa"/>
        <w:tblCellMar>
          <w:top w:w="28" w:type="dxa"/>
          <w:left w:w="28" w:type="dxa"/>
          <w:bottom w:w="28" w:type="dxa"/>
          <w:right w:w="28" w:type="dxa"/>
        </w:tblCellMar>
      </w:tblPr>
      <w:tblGrid>
        <w:gridCol w:w="596"/>
        <w:gridCol w:w="526"/>
        <w:gridCol w:w="528"/>
        <w:gridCol w:w="109"/>
        <w:gridCol w:w="109"/>
        <w:gridCol w:w="109"/>
        <w:gridCol w:w="994"/>
        <w:gridCol w:w="994"/>
        <w:gridCol w:w="1416"/>
      </w:tblGrid>
      <w:tr>
        <w:trPr/>
        <w:tc>
          <w:tcPr>
            <w:tcW w:w="59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20"/>
              </w:rPr>
            </w:pPr>
            <w:r>
              <w:rPr>
                <w:rFonts w:ascii="Helvetica;sans-serif" w:hAnsi="Helvetica;sans-serif"/>
                <w:b/>
                <w:color w:val="000000"/>
                <w:sz w:val="20"/>
              </w:rPr>
              <w:t>Actual IPO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20"/>
              </w:rPr>
            </w:pPr>
            <w:r>
              <w:rPr>
                <w:rFonts w:ascii="Helvetica;sans-serif" w:hAnsi="Helvetica;sans-serif"/>
                <w:b/>
                <w:color w:val="000000"/>
                <w:sz w:val="20"/>
              </w:rPr>
              <w:t>Potential Payment from SSIG to us</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$3.4 million</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$17.00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$7.7 million</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$11.5 million</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$19.00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$15.0 million</w:t>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Mr. Holger Staude, a Managing Director of Goldman Sachs &amp; Co. LLC, served as a member of our board of directors from July 2016 to February 2021. Goldman Sachs &amp; Co. LLC is acting as an underwriter in this offering and will receive underwriting discounts and commissions as described elsewhere in this prospectus under the caption “Underwriting (Conflict of Interest).”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Investors’ Rights Agreement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July 2016, we entered into a sixth amended and restated investors’ rights agreement (the “Investors’ Rights Agreement”) with certain of our investors, including each holder of more than 5% of our capital stock and certain of our directors and executive officers (or, in some cases, entities affiliated therewith). The Investors’ Rights Agreement provides for certain registration rights relating to the registrable securities held by such investors. See “Description of Capital Stock—Registration Rights” for additional information. Subject to certain exceptions and limitations, in the event we issue additional equity securities or other securities that are or may become convertible or exchangeable into or exercisable for equity securities, the Investors’ Rights Agreement provides the investors party thereto with a right of first offer to purchase up to that portion of such securities which equals the proportion that the shares of our common stock issued and held, or issuable upon the conversion and/or exercise of all shares of our convertible preferred stock, redeemable convertible preferred stock and other derivative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22250"/>
                <wp:effectExtent l="0" t="0" r="0" b="0"/>
                <wp:wrapNone/>
                <wp:docPr id="168" name="Frame16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securities then held by such investor, bears to the total number of shares of our common stock then outstanding (assuming the conversion and/or exercise of all shares of our convertible preferred stock, redeemable convertible preferred stock and other derivative securities then outstanding). Any investors fully exercising such right will also have the right to purchase up to their pro rata share of any securities not purchased by other investors. This right of first offer does not apply to this offering and will terminate on the effective date of the registration statement of which this prospectus forms a part (provided that, with respect to Special Situations Investing Group II, LLC, the right of first offer will terminate upon the closing of this offering).</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Voting Agreement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party to the Voting Agreement, pursuant to which Special Situations Investing Group II, LLC, Sapphire Ventures Fund II, L.P., Nexus India Capital II, LP, Point 406 Ventures I, L.P. and Avalon Ventures VII, L.P., have certain designation rights with respect to the individuals to be elected to our board of directors. See “Management—Board Composition and Election of Directors.” The Voting Agreement will terminate by its terms in connection with the closing of this offering, and none of our stockholders will have any continuing rights thereunder regarding the election or designation of members of our board of directors.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Right of First Refusal and Co-Sale Agreement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2016, we entered into a sixth amended and restated right of first refusal and co-sale agreement (the “Right of First Refusal and Co-Sale Agreement”) with certain of our investors, including each holder of more than 5% of our capital stock and certain of our directors and executive officers (or, in some cases, entities affiliated therewith), pursuant to which we have a right of first refusal in respect of certain sales of securities by the investors party thereto. To the extent we do not exercise such right in full, such investors are granted certain rights of first refusal and co-sale in respect of such sale. The Right of First Refusal and Co-Sale Agreement will terminate in connection with the closing of this offering.</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Employment Agreements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entered into employment agreements with our named executive officers. For more information regarding the agreements with our named executive officers, see “Executive Compensation.”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Indemnification Agreements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intend to enter into indemnification agreements with each of our directors and executive officers. These agreements, among other things, require us or will require us to indemnify each director (and in certain cases their related investment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“Executive Compensation.”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Equity Awards to Executive Officers and Directors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granted stock options and other equity awards to our executive officers and directors as more fully described in the section entitled “Executive Compensation.”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Policies and Procedures for Related Person Transactions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board of directors has adopted a written related person transaction policy, to be effective at the time of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22250"/>
                <wp:effectExtent l="0" t="0" r="0" b="0"/>
                <wp:wrapNone/>
                <wp:docPr id="169" name="Frame16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155</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22250"/>
                <wp:effectExtent l="0" t="0" r="0" b="0"/>
                <wp:wrapNone/>
                <wp:docPr id="170" name="Frame16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156</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PRINCIPAL AND SELLING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information with respect to the beneficial ownership of our common stock, as of December 31, 2020, and as adjusted to reflect the sale of common stock by us and the selling stockholders in this offering, by: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each person or group of affiliated persons known by us to beneficially own more than 5% of our common stock;</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each of our named executive officers;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each of our directors;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all of our executive officers and directors as a group; and</w:t>
      </w:r>
    </w:p>
    <w:p>
      <w:pPr>
        <w:pStyle w:val="TextBody"/>
        <w:spacing w:lineRule="auto" w:line="288" w:before="0" w:after="180"/>
        <w:ind w:left="0" w:right="0" w:firstLine="360"/>
        <w:jc w:val="both"/>
        <w:rPr/>
      </w:pPr>
      <w:r>
        <w:rPr>
          <w:color w:val="000000"/>
        </w:rPr>
        <w:t>•</w:t>
      </w:r>
      <w:r>
        <w:rPr>
          <w:rFonts w:ascii="Helvetica;sans-serif" w:hAnsi="Helvetica;sans-serif"/>
          <w:b w:val="false"/>
          <w:color w:val="000000"/>
          <w:sz w:val="20"/>
        </w:rPr>
        <w:t>each of the other selling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Percentage ownership of our common stock before this offering is based on 105,543,884 shares of our common stock outstanding as of December 31, 2020, after giving effect to the Preferred Stock Conversion and the Warrant Exercises. Percentage ownership of our common stock after this offering is based on 123,075,914 shares of our common stock outstanding as of December 31, 2020, after giving effect to the Preferred Stock Conversion and the Warrant Exercises, as described above, and our issuance of shares of our common stock in this offering, or 126,600,914 shares of our common stock if the underwriters’ option to purchase additional shares of our common stock is exercised in full (including, in each case, 132,030 shares of our common stock to be issued in connection with the Selling Stockholder Option Exercises).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December 31, 2020 are considered outstanding, although these shares are not considered outstanding for purposes of computing the percentage ownership of any other person. See “Underwriting (Conflict of Interest).” Unless noted otherwise, the address of all listed stockholders is 250 Park Avenue South, 10th Floor, New York, New York 10003.</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22250"/>
                <wp:effectExtent l="0" t="0" r="0" b="0"/>
                <wp:wrapNone/>
                <wp:docPr id="171" name="Frame16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033"/>
        <w:gridCol w:w="674"/>
        <w:gridCol w:w="678"/>
        <w:gridCol w:w="287"/>
        <w:gridCol w:w="287"/>
        <w:gridCol w:w="291"/>
        <w:gridCol w:w="131"/>
        <w:gridCol w:w="131"/>
        <w:gridCol w:w="131"/>
        <w:gridCol w:w="240"/>
        <w:gridCol w:w="173"/>
        <w:gridCol w:w="131"/>
        <w:gridCol w:w="109"/>
        <w:gridCol w:w="109"/>
        <w:gridCol w:w="109"/>
        <w:gridCol w:w="547"/>
        <w:gridCol w:w="447"/>
        <w:gridCol w:w="449"/>
        <w:gridCol w:w="109"/>
        <w:gridCol w:w="109"/>
        <w:gridCol w:w="109"/>
        <w:gridCol w:w="287"/>
        <w:gridCol w:w="287"/>
        <w:gridCol w:w="291"/>
        <w:gridCol w:w="122"/>
        <w:gridCol w:w="122"/>
        <w:gridCol w:w="122"/>
        <w:gridCol w:w="240"/>
        <w:gridCol w:w="166"/>
        <w:gridCol w:w="123"/>
        <w:gridCol w:w="109"/>
        <w:gridCol w:w="109"/>
        <w:gridCol w:w="109"/>
        <w:gridCol w:w="286"/>
        <w:gridCol w:w="286"/>
        <w:gridCol w:w="293"/>
        <w:gridCol w:w="124"/>
        <w:gridCol w:w="124"/>
        <w:gridCol w:w="124"/>
        <w:gridCol w:w="240"/>
        <w:gridCol w:w="166"/>
        <w:gridCol w:w="191"/>
      </w:tblGrid>
      <w:tr>
        <w:trPr/>
        <w:tc>
          <w:tcPr>
            <w:tcW w:w="1033"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Common stock</w:t>
              <w:br/>
              <w:t>beneficially owned before</w:t>
              <w:br/>
              <w:t>this offering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 of common stock to be sold in this offering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 xml:space="preserve">Common stock </w:t>
              <w:br/>
              <w:t xml:space="preserve">beneficially owned after </w:t>
              <w:br/>
              <w:t>this offering</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No exercise of option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Full exercise of option</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Name of beneficial owner</w:t>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5% stockholders:</w:t>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Entities affiliated with Point 406 Ventures</w:t>
            </w:r>
            <w:r>
              <w:rPr>
                <w:rFonts w:ascii="Helvetica;sans-serif" w:hAnsi="Helvetica;sans-serif"/>
                <w:b w:val="false"/>
                <w:color w:val="000000"/>
                <w:sz w:val="12"/>
              </w:rPr>
              <w:t>(1)**</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17,567,626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878,382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16,689,244</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16,689,244</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13.2%</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Nexus India Capital II, L.P.</w:t>
            </w:r>
            <w:r>
              <w:rPr>
                <w:rFonts w:ascii="Helvetica;sans-serif" w:hAnsi="Helvetica;sans-serif"/>
                <w:b w:val="false"/>
                <w:color w:val="000000"/>
                <w:sz w:val="12"/>
              </w:rPr>
              <w:t>(2)**</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16,053,858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802,692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15,251,166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15,251,166</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12.0</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Avalon Ventures VII, L.P.</w:t>
            </w:r>
            <w:r>
              <w:rPr>
                <w:rFonts w:ascii="Helvetica;sans-serif" w:hAnsi="Helvetica;sans-serif"/>
                <w:b w:val="false"/>
                <w:color w:val="000000"/>
                <w:sz w:val="12"/>
              </w:rPr>
              <w:t>(3)**</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8,962,708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448,132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8,514,576</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8,514,576</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6.7</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Intel Capital Corporation</w:t>
            </w:r>
            <w:r>
              <w:rPr>
                <w:rFonts w:ascii="Helvetica;sans-serif" w:hAnsi="Helvetica;sans-serif"/>
                <w:b w:val="false"/>
                <w:color w:val="000000"/>
                <w:sz w:val="12"/>
              </w:rPr>
              <w:t>(4)**</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8,040,721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402,036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7,638,685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7,638,685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Sapphire Ventures Fund II, L.P.</w:t>
            </w:r>
            <w:r>
              <w:rPr>
                <w:rFonts w:ascii="Helvetica;sans-serif" w:hAnsi="Helvetica;sans-serif"/>
                <w:b w:val="false"/>
                <w:color w:val="000000"/>
                <w:sz w:val="12"/>
              </w:rPr>
              <w:t>(5)**</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7,980,295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399,014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7,581,281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7,581,281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Special Situations Investing Group II, LLC</w:t>
            </w:r>
            <w:r>
              <w:rPr>
                <w:rFonts w:ascii="Helvetica;sans-serif" w:hAnsi="Helvetica;sans-serif"/>
                <w:b w:val="false"/>
                <w:color w:val="000000"/>
                <w:sz w:val="12"/>
              </w:rPr>
              <w:t>(6)**</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11,139,052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566,784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10,572,268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10,572,268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8.4</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Named executive officers and directors:</w:t>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Ron Yekutiel</w:t>
            </w:r>
            <w:r>
              <w:rPr>
                <w:rFonts w:ascii="Helvetica;sans-serif" w:hAnsi="Helvetica;sans-serif"/>
                <w:b w:val="false"/>
                <w:color w:val="000000"/>
                <w:sz w:val="12"/>
              </w:rPr>
              <w:t>(7)**</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7,562,425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1,084,792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6,477,633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6,477,633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Michal Tsur</w:t>
            </w:r>
            <w:r>
              <w:rPr>
                <w:rFonts w:ascii="Helvetica;sans-serif" w:hAnsi="Helvetica;sans-serif"/>
                <w:b w:val="false"/>
                <w:color w:val="000000"/>
                <w:sz w:val="12"/>
              </w:rPr>
              <w:t>(8)**</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5,180,917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601,942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4,578,975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4,578,975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3.6</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Yaron Garmazi</w:t>
            </w:r>
            <w:r>
              <w:rPr>
                <w:rFonts w:ascii="Helvetica;sans-serif" w:hAnsi="Helvetica;sans-serif"/>
                <w:b w:val="false"/>
                <w:color w:val="000000"/>
                <w:sz w:val="12"/>
              </w:rPr>
              <w:t>(9)**</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938,700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132,030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806,670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806,670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Narendra K. Gupta</w:t>
            </w:r>
            <w:r>
              <w:rPr>
                <w:rFonts w:ascii="Helvetica;sans-serif" w:hAnsi="Helvetica;sans-serif"/>
                <w:b w:val="false"/>
                <w:color w:val="000000"/>
                <w:sz w:val="12"/>
              </w:rPr>
              <w:t>(10)</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16,053,858</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802,692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15,251,166</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15,251,166</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12.0</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Richard Levandov</w:t>
            </w:r>
          </w:p>
        </w:tc>
        <w:tc>
          <w:tcPr>
            <w:tcW w:w="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Shay David</w:t>
            </w:r>
            <w:r>
              <w:rPr>
                <w:rFonts w:ascii="Helvetica;sans-serif" w:hAnsi="Helvetica;sans-serif"/>
                <w:b w:val="false"/>
                <w:color w:val="000000"/>
                <w:sz w:val="12"/>
              </w:rPr>
              <w:t>(11)**</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5,040,669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252,033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4,788,636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4,788,636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Ronen Faier</w:t>
            </w:r>
          </w:p>
        </w:tc>
        <w:tc>
          <w:tcPr>
            <w:tcW w:w="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Naama Halevi Davidov</w:t>
            </w:r>
            <w:r>
              <w:rPr>
                <w:rFonts w:ascii="Helvetica;sans-serif" w:hAnsi="Helvetica;sans-serif"/>
                <w:b w:val="false"/>
                <w:color w:val="000000"/>
                <w:sz w:val="12"/>
              </w:rPr>
              <w:t>(12)**</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421,875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21,093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400,782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400,782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color w:val="000000"/>
                <w:sz w:val="18"/>
              </w:rPr>
              <w:t>All executive officers and directors as a group (9 individuals)</w:t>
            </w:r>
            <w:r>
              <w:rPr>
                <w:rFonts w:ascii="Helvetica;sans-serif" w:hAnsi="Helvetica;sans-serif"/>
                <w:b/>
                <w:color w:val="000000"/>
                <w:sz w:val="12"/>
              </w:rPr>
              <w:t>(13)</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35,556,756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2,894,582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32,662,174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32,662,174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24.6</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Other selling stockholders:</w:t>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Commonfund Capital Venture Partners X, L.P.</w:t>
            </w:r>
            <w:r>
              <w:rPr>
                <w:rFonts w:ascii="Helvetica;sans-serif" w:hAnsi="Helvetica;sans-serif"/>
                <w:b w:val="false"/>
                <w:color w:val="000000"/>
                <w:sz w:val="12"/>
              </w:rPr>
              <w:t>**</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1,662,561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83,128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1,579,433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1,579,433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Eran Etam</w:t>
            </w:r>
            <w:r>
              <w:rPr>
                <w:rFonts w:ascii="Helvetica;sans-serif" w:hAnsi="Helvetica;sans-serif"/>
                <w:b w:val="false"/>
                <w:color w:val="000000"/>
                <w:sz w:val="12"/>
              </w:rPr>
              <w:t>(14)**</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5,002,420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261,596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4,740,824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4,740,824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Nokia Growth Partners III, L.P.</w:t>
            </w:r>
            <w:r>
              <w:rPr>
                <w:rFonts w:ascii="Helvetica;sans-serif" w:hAnsi="Helvetica;sans-serif"/>
                <w:b w:val="false"/>
                <w:color w:val="000000"/>
                <w:sz w:val="12"/>
              </w:rPr>
              <w:t>**</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2,660,098 </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133,004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2,527,094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2,527,094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Maniro Limited**</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454,432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22,721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431,711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431,711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Sao Marcos Investimentos Ltd.</w:t>
            </w:r>
            <w:r>
              <w:rPr>
                <w:rFonts w:ascii="Helvetica;sans-serif" w:hAnsi="Helvetica;sans-serif"/>
                <w:b w:val="false"/>
                <w:color w:val="000000"/>
                <w:sz w:val="12"/>
              </w:rPr>
              <w:t>**</w:t>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90,886</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4,544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86,342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86,342 </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8"/>
              </w:rPr>
              <w:t>SVB Financial Group</w:t>
            </w:r>
            <w:r>
              <w:rPr>
                <w:rFonts w:ascii="Helvetica;sans-serif" w:hAnsi="Helvetica;sans-serif"/>
                <w:b w:val="false"/>
                <w:color w:val="000000"/>
                <w:sz w:val="12"/>
              </w:rPr>
              <w:t>(15)**</w:t>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121,549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6,077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115,472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Helvetica;sans-serif" w:hAnsi="Helvetica;sans-serif"/>
                <w:b w:val="false"/>
                <w:color w:val="000000"/>
                <w:sz w:val="14"/>
              </w:rPr>
              <w:t xml:space="preserve">115,472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w:t>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*Less than 1%.</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Represents a selling stockholder.</w:t>
      </w:r>
    </w:p>
    <w:p>
      <w:pPr>
        <w:pStyle w:val="TextBody"/>
        <w:spacing w:lineRule="auto" w:line="288"/>
        <w:ind w:left="0" w:right="0" w:hanging="360"/>
        <w:jc w:val="both"/>
        <w:rPr>
          <w:rFonts w:ascii="Helvetica;sans-serif" w:hAnsi="Helvetica;sans-serif"/>
          <w:b w:val="false"/>
          <w:color w:val="000000"/>
          <w:sz w:val="18"/>
        </w:rPr>
      </w:pPr>
      <w:r>
        <w:rPr>
          <w:rFonts w:ascii="Helvetica;sans-serif" w:hAnsi="Helvetica;sans-serif"/>
          <w:b w:val="false"/>
          <w:color w:val="000000"/>
          <w:sz w:val="18"/>
        </w:rPr>
        <w:t>(1)Before giving effect to this offering, consists of (i) 16,511,787 shares of common stock held by Point 406 Ventures I, L.P. (“Ventures I L.P.”), (ii) 80,464 shares of common stock held by Point 406 Ventures I-A, L.P. (“Ventures I-A L.P.”), and (iii) 975,375 shares of common stock held by Point203X2SPV, LLC (“SPV LLC” and, together with Ventures I L.P. and Ventures I-A L.P., the “Point 406 Ventures Funds”). The shares of common stock to be sold in this offering consist of (i) 825,588 shares being offered by Ventures I L.P., (ii) 4,023 shares being offered by Ventures I-A L.P., and (iii) 48,771 shares being offered by SPV LLC. .406 Ventures I GP, L.P. (“Ventures GP”) is the general partner of each of Ventures I L.P. and Ventures II-A L.P. and the manager of SPV LLC. .406 Ventures I GP, LLC is the general partner of Ventures GP. Maria Cirino and Liam Donohue are the managing members of .406 Ventures I GP, LLC and, as a result, may be deemed to share voting and investment power with respect to the shares held by the Point 406 Ventures Funds. The mailing address of each of the entities identified in this footnote is 470 Atlantic Ave., 12th Floor, Boston, MA 02110.</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22250"/>
                <wp:effectExtent l="0" t="0" r="0" b="0"/>
                <wp:wrapNone/>
                <wp:docPr id="172" name="Frame16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158</w:t>
                      </w:r>
                    </w:p>
                  </w:txbxContent>
                </v:textbox>
              </v:rect>
            </w:pict>
          </mc:Fallback>
        </mc:AlternateConten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(2)Nexus India Management II, L.P. (“Nexus Management”) is the general partner of Nexus India Capital II, L.P. (“Nexus Capital”). The general partner of Nexus Management is Nexus India Master Management I, Ltd. (“Nexus Master”). Narendra K. Gupta, a member of our board of directors, holds sole voting and investment power in Nexus Master and, as a result, may be deemed to hold sole voting and investment power over the shares held by Nexus Capital. The registered office address for each of the entities identified in this footnote is c/o Conyers Trust Company (Cayman) Limited, Six, 2nd Floor, Cricket Square, Hutchins Drive, P.O. Box 2681, George Town, Grand Cayman, KY 1-111, Cayman Islands, and the mailing address for each such entity is 3000 Sand Hill Road, Building 1, Suite 260, Menlo Park, CA 94025.</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(3)Avalon Ventures VII GP LLC (“Avalon GP”) is the general partner of Avalon Ventures VII, LP (“Avalon LP”). Kevin J. Kinsella and Stephen L. Tomlin are the managing members of Avalon Ventures GP and, as a result, may be deemed to share voting and investment power with respect to the shares held by Avalon LP. The mailing address of each of the entities identified in this footnote is 1134 Kline Street, La Jolla, CA 92037.</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(4)Intel Capital Corporation (“Intel Capital”) is a wholly owned subsidiary of Intel Corporation, a public company with common stock listed on the Nasdaq Global Select Market. For purposes of Rule 13d-3 under the Exchange Act, voting and investment power with respect to the shares of common stock held of record by Intel Capital are deemed to be held by Intel Corporation’s nine-person board of directors. Decisions of Intel Corporation’s board of directors are made by majority vote and, as a result, no individual director acting alone has the ability to exercise voting or investment power with respect to these shares. The mailing address of Intel Corporation and Intel Capital Corporation is 2200 Mission College Blvd., M/S RNB 6-59, Santa Clara, CA 95054.</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(5)Sapphire Ventures (GPE) II, L.L.C. (“SAP GP”) is the general partner of Sapphire Ventures Fund II, L.P. (“SAP LP”). Nino N. Marakovic, Richard Douglas Higgins, Jayendra Das, David A. Hartwig and Andreas Weiskam are the managing members of SAP GP and, as a result, may be deemed to share voting and investment power with respect to the shares held by SAP LP. The managing members each disclaim beneficial ownership of the securities reported herein, except to the extent of his or her pecuniary interest therein. The mailing address of each of the entities identified in this footnote is 3408 Hillview Avenue, Building 5, Palo Alto, CA 94304.</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(6)The shares are held of record by Special Situations Investing Group II, LLC, which is an affiliate of Goldman Sachs &amp; Co. LLC, a New York limited liability company and a broker-dealer. Goldman Sachs &amp; Co. LLC is a member of the New York Stock Exchange and other national exchanges. Goldman Sachs &amp; Co. LLC is a direct and indirect wholly-owned subsidiary of The Goldman Sachs Group, Inc. (“GS Group”). GS Group is a public entity and its common stock is publicly traded on the New York Stock Exchange. The shares of common stock held by Special Situations Investing Group II, LLC were acquired in the ordinary course of its investment business and not for the purpose of resale or distribution. GS Group may be deemed to beneficially own the securities held by Special Situations Investing Group II, LLC. GS Group disclaims beneficial ownership of such securities except to the extent of its pecuniary interest therein. The mailing address for Special Situations Investing Group II, LLC is 200 West Street, New York, New York 10282.</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(7)Includes options to purchase 2,777,395 shares of common stock that are or will be immediately exercisable within 60 days of December 31,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(8)Includes options to purchase 1,035,454 shares of common stock that are or will be immediately exercisable within 60 days of December 31,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(9)Consists of options to purchase shares of common stock that are or will be immediately exercisable within 60 days of December 31,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(10)Consists of shares of common stock held by Nexus India Capital II, L.P., which Mr. Gupta may be deemed to beneficially own. See footnote (2) above. All shares of common stock to be sold in this offering are being offered by Nexus India Capital II, L.P.</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(11)Consists of (i) 4,145,462 shares of common stock (1,285,510 of which are held of record by Dr. David and 2,859,952 of which are held of record by Good Choice LLC, of which Dr. David’s wife is the managing director), and (ii) options to purchase 895,207 shares of common stock held by Dr. David that are or will be immediately exercisable within 60 days of December 31,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(12)Includes options to purchase 247,500 shares of common stock that are or will be immediately exercisable within 60 days of December 31,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(13)Includes options to purchase 6,252,568 shares of common stock that are or will be immediately exercisable within 60 days of December 31, 2020.</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(14)Includes options to purchase 856,957 shares of common stock that are or will be immediately exercisable within 60 days of December 31, 2020. Mr. Etam is one of our co-founders and previously served as our Chief Technology Officer. Mr. Etam currently serves as an employee and director of Kaltura, Ltd., one of our subsidiaries.</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(15)An affiliate of SVB Financial Group is an agent and lender under our Credit Facilities, and was previously the lender under our Prior Revolving Credit Facility.</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22250"/>
                <wp:effectExtent l="0" t="0" r="0" b="0"/>
                <wp:wrapNone/>
                <wp:docPr id="173" name="Frame16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159</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DESCRIPTION OF CAPITAL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description of our capital stock and certain provisions of our Post-IPO Certificate of Incorporation and Post-IPO Bylaws are summaries and are qualified by reference to the Post-IPO Certificate of Incorporation and the Post-IPO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General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Upon the closing of this offering, our authorized capital stock will consist of 1,020,000,000 shares, all with a par value of $0.0001 per share, of which:</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1,000,000,000 shares are designated as common stock;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20,000,000 shares are designated as preferred stock.</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after giving effect to (i) the Preferred Stock Conversion, and (ii) the Warrant Exercises, we had outstanding 105,543,884 shares of common stock held of record by 256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Preferred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after giving effect to the Series C Warrant Exercise, there were 16,850,111 shares of our convertible preferred stock and redeemable convertible preferred stock outstanding. Immediately prior to the closing of this offering, all outstanding shares of our convertible preferred stock and redeemable convertible preferred stock will convert into an aggregate of 73,490,034 shares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terms of our Post-IPO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22250"/>
                <wp:effectExtent l="0" t="0" r="0" b="0"/>
                <wp:wrapNone/>
                <wp:docPr id="174" name="Frame16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Warrants</w:t>
      </w:r>
    </w:p>
    <w:p>
      <w:pPr>
        <w:pStyle w:val="TextBody"/>
        <w:spacing w:lineRule="auto" w:line="288" w:before="0" w:after="180"/>
        <w:ind w:left="0" w:right="0" w:firstLine="360"/>
        <w:jc w:val="both"/>
        <w:rPr/>
      </w:pPr>
      <w:r>
        <w:rPr>
          <w:rFonts w:ascii="Helvetica;sans-serif" w:hAnsi="Helvetica;sans-serif"/>
          <w:b w:val="false"/>
          <w:color w:val="000000"/>
          <w:sz w:val="20"/>
        </w:rPr>
        <w:t>As of December 31, 2020, we had warrants to purchase an aggregate of up</w:t>
      </w:r>
      <w:r>
        <w:rPr>
          <w:color w:val="000000"/>
          <w:highlight w:val="white"/>
        </w:rPr>
        <w:t xml:space="preserve"> </w:t>
      </w:r>
      <w:r>
        <w:rPr>
          <w:rFonts w:ascii="Helvetica;sans-serif" w:hAnsi="Helvetica;sans-serif"/>
          <w:b w:val="false"/>
          <w:color w:val="000000"/>
          <w:sz w:val="20"/>
          <w:highlight w:val="white"/>
        </w:rPr>
        <w:t>to 189,505 s</w:t>
      </w:r>
      <w:r>
        <w:rPr>
          <w:rFonts w:ascii="Helvetica;sans-serif" w:hAnsi="Helvetica;sans-serif"/>
          <w:b w:val="false"/>
          <w:color w:val="000000"/>
          <w:sz w:val="20"/>
        </w:rPr>
        <w:t xml:space="preserve">hares of our redeemable convertible preferred stock outstanding, consisting of (i) the Series C Warrant, exercisable for up to 31,414 shares of our Series C convertible preferred stock at an exercise price of $3.82 per share, (ii) the Series D Warrant, exercisable for up to 56,285 shares of our Series D convertible preferred stock at an exercise price of $5.33 per share, and (iii) the Series E Warrants, exercisable for up to 32,841 shares of our Series E preferred stock at an exercise price of $15.223 per share, and up to 68,965 shares of our Series E preferred stock at an exercise price of $10.15 per share. In February 2021, the Series C Warrant was automatically exercised, on a cashless basis, for 27,011 shares of our Series C convertible preferred stock. The Series D Warrant and the Series E Warrants may be exercised at any time and from time to time, in whole or in part, prior to their respective expiration dates, </w:t>
      </w:r>
      <w:r>
        <w:rPr>
          <w:rFonts w:ascii="Helvetica;sans-serif" w:hAnsi="Helvetica;sans-serif"/>
          <w:b w:val="false"/>
          <w:i/>
          <w:color w:val="000000"/>
          <w:sz w:val="20"/>
        </w:rPr>
        <w:t>provided</w:t>
      </w:r>
      <w:r>
        <w:rPr>
          <w:color w:val="000000"/>
        </w:rPr>
        <w:t xml:space="preserve"> </w:t>
      </w:r>
      <w:r>
        <w:rPr>
          <w:rFonts w:ascii="Helvetica;sans-serif" w:hAnsi="Helvetica;sans-serif"/>
          <w:b w:val="false"/>
          <w:color w:val="000000"/>
          <w:sz w:val="20"/>
        </w:rPr>
        <w:t>that, if not previously exercised, each such warrant will be deemed to have been automatically exercised on a cashless basis immediately prior to its expiration. As described elsewhere in this prospectus, the Series D Warrant and the Series E Warrants will become exercisable for shares of our common stock as a result of the Preferred Stock Conversion and automatically exercised on a cashless basis immediately prior to the closing of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as of December 31, 2020, we had warrants to purchase shares of our common stock outstanding, consisting of (i) the Newrow Warrant, and (ii) the GS Warrant. The Newrow Warrant will remain outstanding following the closing of this offering and will be exercisable at any time, in whole or in part, for up to 613,255 shares of our common stock at an exercise price of $0.0001 per share beginning in September 2022. Unless earlier exercised, the Newrow warrant will expire in March 2027. As described elsewhere in this prospectus, the GS Warrant will be automatically exercised on a cashless basis immediately prior to the closing of this offering. See “Certain Relationships and Related Party Transactions—Transactions With Goldman Sachs &amp; Co. LLC and Affiliates.”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Options</w:t>
      </w:r>
    </w:p>
    <w:p>
      <w:pPr>
        <w:pStyle w:val="TextBody"/>
        <w:spacing w:lineRule="auto" w:line="288" w:before="0" w:after="180"/>
        <w:ind w:left="0" w:right="0" w:firstLine="360"/>
        <w:jc w:val="both"/>
        <w:rPr/>
      </w:pPr>
      <w:r>
        <w:rPr>
          <w:rFonts w:ascii="Helvetica;sans-serif" w:hAnsi="Helvetica;sans-serif"/>
          <w:b w:val="false"/>
          <w:color w:val="000000"/>
          <w:sz w:val="20"/>
        </w:rPr>
        <w:t>As of December 31, 2020, option</w:t>
      </w:r>
      <w:r>
        <w:rPr>
          <w:rFonts w:ascii="Helvetica;sans-serif" w:hAnsi="Helvetica;sans-serif"/>
          <w:b w:val="false"/>
          <w:color w:val="000000"/>
          <w:sz w:val="20"/>
          <w:highlight w:val="white"/>
        </w:rPr>
        <w:t xml:space="preserve">s to purchase </w:t>
      </w:r>
      <w:r>
        <w:rPr>
          <w:rFonts w:ascii="Helvetica;sans-serif" w:hAnsi="Helvetica;sans-serif"/>
          <w:b w:val="false"/>
          <w:color w:val="000000"/>
          <w:sz w:val="20"/>
        </w:rPr>
        <w:t xml:space="preserve">31,981,404 </w:t>
      </w:r>
      <w:r>
        <w:rPr>
          <w:rFonts w:ascii="Helvetica;sans-serif" w:hAnsi="Helvetica;sans-serif"/>
          <w:b w:val="false"/>
          <w:color w:val="000000"/>
          <w:sz w:val="20"/>
          <w:highlight w:val="white"/>
        </w:rPr>
        <w:t xml:space="preserve">shares of our common stock were outstanding under our Prior Plans, of which </w:t>
      </w:r>
      <w:r>
        <w:rPr>
          <w:rFonts w:ascii="Helvetica;sans-serif" w:hAnsi="Helvetica;sans-serif"/>
          <w:b w:val="false"/>
          <w:color w:val="000000"/>
          <w:sz w:val="20"/>
        </w:rPr>
        <w:t>13,686,784</w:t>
      </w:r>
      <w:r>
        <w:rPr>
          <w:color w:val="000000"/>
          <w:highlight w:val="white"/>
        </w:rPr>
        <w:t xml:space="preserve"> </w:t>
      </w:r>
      <w:r>
        <w:rPr>
          <w:rFonts w:ascii="Helvetica;sans-serif" w:hAnsi="Helvetica;sans-serif"/>
          <w:b w:val="false"/>
          <w:color w:val="000000"/>
          <w:sz w:val="20"/>
          <w:highlight w:val="white"/>
        </w:rPr>
        <w:t>options were vested as of that date. In connection with the sale of shares by certain of the selling stockholders in thi</w:t>
      </w:r>
      <w:r>
        <w:rPr>
          <w:rFonts w:ascii="Helvetica;sans-serif" w:hAnsi="Helvetica;sans-serif"/>
          <w:b w:val="false"/>
          <w:color w:val="000000"/>
          <w:sz w:val="20"/>
        </w:rPr>
        <w:t>s offering, 132,030 shares of our common stock will be issued upon exercise of options by such selling stockholders.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Registration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Investors’ Rights Agreement grants the parties thereto certain registration rights in respect of the “registrable securities” held by them, which securities include (i) shares of our common stock issued upon the conversion and/or exercise of shares of our convertible preferred stock, redeemable convertible preferred stock or other securities acquired by the investors party thereto after the date of the Investors’ Rights Agreement, (ii) shares of our common stock held by our founders and (iii) shares of our common stock issued as a dividend or other distribution in respect thereof, or in exchange therefor or replacement thereof. The registration of shares of our common stock pursuant to the exercise of these registration rights would enable the holders thereof to sell such shares without restriction under the Securities Act when the applicable registration statement is declared effective. Under the Investors’ Rights Agreement, we will generally be required to pay all expenses relating to such registrations, including the reasonable fees and disbursements of one counsel for the participating holders, and the holders will be required to pay all underwriting discounts and commissions relating to the sale of their shares and stock transfer taxes. The Investors’ Rights Agreement also includes customary covenants, indemnification provisions and procedural terms.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22250"/>
                <wp:effectExtent l="0" t="0" r="0" b="0"/>
                <wp:wrapNone/>
                <wp:docPr id="175" name="Frame17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161</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Following the closing of this offering, holders of approximately 91,350,498 shares of our common stock (including shares issuable upon the Preferred Stock Conversion and the Warrant Exercises) will be entitled to such registration rights pursuant the Investors’ Rights Agreement. These registration rights will terminate upon the earliest of (i) the date that is five years after the closing of this offering, (ii) the completion of certain liquidation events, (iii) the closing of certain corporate reorganizations or dispositions of all or substantially all of the assets of the Company and its subsidiaries taken as a whole and (iv) as to a given holder of registration rights, the date after the completion of this offering when such holder of registration rights and its affiliates can sell all of their shares pursuant to Rule 144 of the Securities Act during a 90-day period without registration. Under the Investors’ Rights Agreement, we are generally required to pay all expenses (other than underwriting discounts and commissions and certain other expenses) related to any registration effected pursuant to the exercise of such registration rights.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Demand Registration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after the earlier of (x) two years after the date of the Investors’ Rights Agreement and (y) six months after the closing of this offering, the holders of a majority of the registrable securities then outstanding may request that we file a registration statement with respect to all or a portion of the outstanding registrable securities of such holders having an aggregate proposed offering price, net of underwriting discounts and commissions, of at least $5 million. Generally, we are only obligated to effect up to two such registrations.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Once we are eligible to use a registration statement on Form S-3, the holders of at least 15% of the registrable securities then outstanding may request that we file a registration statement on Form S-3 with respect to all or a portion of the outstanding registrable securities of such holders having an aggregate proposed offering price, net of underwriting discounts and commissions, of at least $5 million. These holders may make an unlimited number of requests for registration on a registration statement on Form S-3. However, we generally will not be required to effect a registration on Form S-3 if we have effected two or more such registrations within the twelve-month period preceding the date of the request.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demand registration rights described above are subject to certain customary conditions and limitations, including, if the holders requesting registration intend to distribute their securities by means of an underwritten offering, the right of the underwriters to limit the number of shares included in any such registration under certain circumstances. Additionally, if we determine that it would be materially detrimental to us and our stockholders to effect any such demand registration, we have the right to defer such registration, not more than once in any twelve-month period, for a period of up to 120 days.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Piggyback Registration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event that we propose to register any of our securities under the Securities Act, either for our own account or for the account of other security holders, in connection with the public offering of such securities, the holders of registrable securities party to the Investors’ Rights Agreement will be entitled to certain “piggyback” registration rights allowing them to include all or a portion of their registrable securities in such registration, subject to certain marketing and other limitations. These “piggyback” registration rights do not apply to certain excluded registrations, including (i) registrations on a registration statement relating to any employee benefit plan or (ii) with respect to any corporate reorganization or transaction under Rule 145 of the Securities Act, any registration statement related to the issuance or resale of securities issued in such a transaction or (iii) any registration related to stock issued upon conversion of debt securities. As a result, whenever we propose to file a registration statement under the Securities Act, other than in connection with one of the foregoing excluded registrations, these holders will be entitled to notice of the registration and will have the right to include their registrable securities in the registration subject to certain limitations.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Anti-Takeover Provisions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provisions of Delaware law, our Post-IPO Certificate of Incorporation and our Post-IPO Bylaws may have the effect of delaying, deferring, discouraging or preventing another person from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22250"/>
                <wp:effectExtent l="0" t="0" r="0" b="0"/>
                <wp:wrapNone/>
                <wp:docPr id="176" name="Frame17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162</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acquiring control of us. As discussed below, these provisions are intended to discourage coercive takeover practices and inadequate takeover bids, and to encourage persons seeking to acquire control of our company to first negotiate with our board of directors. These provisions may also have the effect of inhibiting fluctuations in the market price of our common stock that may result from actual or rumored takeover attempts, and could make it more difficult to accomplish or deter transactions that stockholders may otherwise consider to be in their or our best interest, including transactions that provide for payment of a premium over the market price of our common stock. We believe, however,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Post-IPO Certificate of Incorporation and Post-IPO Bylaws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Post-IPO Certificate of Incorporation and Post-IPO Bylaws will include a number of provisions that could deter hostile takeovers or delay or prevent changes in control of our board of directors or management team, including the following:</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Undesignated Preferred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will have the authority, without action by our stockholders, to issue up to 20,000,000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Elimination of Stockholder Action by Written Consent; Special Meetings of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Section 228 of the DGCL, any action required to be taken at any annual or special meeting of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a corporation’s certificate of incorporation provides otherwise. Our Post-IPO Certificate of Incorporation will provide that all stockholder actions must be effected at a duly called annual or special meeting of stockholders and not by written consent in lieu of a meeting. In addition, our Post-IPO Bylaws will provide that a special meeting of stockholders may be called only by the chair of our board of directors, our chief executive officer or president (in the absence of a chief executive officer),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Advance Notice Requirements for Stockholder Proposals and Director Nominations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Post-IPO Bylaws will establish advance notice procedures for stockholders seeking to bring business before an annual meeting of our stockholders or to nominate candidates for election as directors at an annual meeting of our stockholders. Our Post-IPO Bylaws will also specify certain requirements regarding the form and content of a stockholder’s notice. These provisions might preclude our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22250"/>
                <wp:effectExtent l="0" t="0" r="0" b="0"/>
                <wp:wrapNone/>
                <wp:docPr id="177" name="Frame17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163</w:t>
                      </w:r>
                    </w:p>
                  </w:txbxContent>
                </v:textbox>
              </v:rect>
            </w:pict>
          </mc:Fallback>
        </mc:AlternateConten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Classified Board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Post-IPO Certificate of Incorporation will provide that our board of directors is divided into three classes, Class I, Class II and Class III, with each class serving staggered terms. Our Post-IPO Certificate of Incorporation will further provide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 This system of electing and removing directors may tend to discourage a third party from making a tender offer or otherwise attempting to obtain control of us, because it will generally make it more difficult for stockholders to replace a majority of the members of our board of directors.</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Board of Directors Vacancies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Subject to the rights of the holders of any series of preferred stock that we may designate and issue in the future, our Post-IPO Certificate of Incorporation and Post-IPO Bylaws will authorize our board of directors to fill vacant directorships, including newly created seats, and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Stockholders Not Entitled to Cumulative Voting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DGCL provides that stockholders are not entitled to cumulate votes in the election of directors unless a corporation’s certificate of incorporation provides otherwise. Our Post-IPO Certificate of Incorporation will not permit stockholders to cumulate their votes in the election of directors. Accordingly, the holders of a majority of the outstanding shares of our common stock entitled to vote in any election of directors will be able to elect all of the directors standing for election, if they choose, subject to the rights of the holders of any series of preferred stock that we may designate and issue in the future.</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Choice of Forum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Post-IPO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owed by any of our directors, officers, employees or other agents to us or to our stockholders; (3) any action asserting a claim against us arising pursuant to any provision of the DGCL or our Post-IPO Certificate of Incorporation or Post-IPO Bylaws (as either may be amended and/or restated) or as to which the Delaware General Corporation Law confers exclusive jurisdiction on the Court of Chancery of the State of Delaware; or (4)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Post-IPO Certificate of Incorporation also provides that any person or entity purchasing or otherwise acquiring any interest in shares of our capital stock will be deemed to have notice of and to have consented to this choice of forum provision. By agreeing to this provision, however, stockholders will not be deemed to have waived our compliance with the federal securities laws and the rules and regulations thereunder. It is possible that a court of law could rule that the choice of forum provision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22250"/>
                <wp:effectExtent l="0" t="0" r="0" b="0"/>
                <wp:wrapNone/>
                <wp:docPr id="178" name="Frame17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164</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contained in our Post-IPO Certificate of Incorporation is inapplicable or unenforceable if it is challenged in a proceeding or otherwise.</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Amendment of Charter and Bylaw Provisions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Post-IPO Certificate of Incorporation will further provide that the affirmative vote of holders of at least two-thirds in voting power of the outstanding shares of our capital stock entitled to vote thereon will be required to amend certain provisions of our Post-IPO Certificate of Incorporation, including provisions relating to the size and classification of our board of directors, the election and removal of directors, the prohibition on stockholder action by written consent and the ability of stockholders to call special meetings. The affirmative vote of holders of at least two-thirds in voting power of the outstanding shares of our capital stock entitled to vote thereon will be required to amend, alter or repeal our Post-IPO Bylaws, although our Post-IPO Bylaws may be amended by a simple majority vote of our board of directors.</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Section 203 of the Delaware General Corporation Law</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before such date, our board of directors approved either the business combination or the transaction that resulted in the stockholder becoming an interested stockholder;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on or after such date, the business combination is approved by our board of directors and authorized at an annual or special meeting of the stockholders, and not by written consent, by the affirmative vote of at least 66</w:t>
      </w:r>
      <w:r>
        <w:rPr>
          <w:rFonts w:ascii="Helvetica;sans-serif" w:hAnsi="Helvetica;sans-serif"/>
          <w:b w:val="false"/>
          <w:color w:val="000000"/>
          <w:sz w:val="13"/>
        </w:rPr>
        <w:t>2/3</w:t>
      </w:r>
      <w:r>
        <w:rPr>
          <w:rFonts w:ascii="Helvetica;sans-serif" w:hAnsi="Helvetica;sans-serif"/>
          <w:b w:val="false"/>
          <w:color w:val="000000"/>
          <w:sz w:val="20"/>
        </w:rPr>
        <w:t>% of the outstanding voting stock that is not owned by the interested stockholder. In general, Section 203 defines business combination to include the following: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any merger or consolidation involving the corporation and the interested stockholder;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any sale, transfer, pledge or other disposition of 10% or more of the assets of the corporation involving the interested stockholder;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subject to certain exceptions, any transaction that results in the issuance or transfer by the corporation of any stock of the corporation to the interested stockholder;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any transaction involving the corporation that has the effect of increasing the proportionate share of the stock or any class or series of the corporation beneficially owned by the interested stockholder;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receipt by the interested stockholder of the benefit of any loss, advances, guarantees, pledges or other financial benefits by or through the corporation.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22250"/>
                <wp:effectExtent l="0" t="0" r="0" b="0"/>
                <wp:wrapNone/>
                <wp:docPr id="179" name="Frame17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165</w:t>
                      </w:r>
                    </w:p>
                  </w:txbxContent>
                </v:textbox>
              </v:rect>
            </w:pict>
          </mc:Fallback>
        </mc:AlternateConten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Corporate Opportunity Doctrine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Delaware law permits corporations to adopt provisions renouncing any interest or expectancy in certain opportunities that are presented to the corporation or its officers, directors or stockholders.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Our Post-IPO Certificate of Incorporation will provide that, to the fullest extent permitted by law, no exempt person will have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us or any of our subsidiaries unless (1) we or such subsidiary would be permitted to undertake such transaction or opportunity in accordance with our Post-IPO Certificate of Incorporation, (2) we or such subsidiary, at such time, have sufficient financial resources to undertake such transaction or opportunity, (3) we or such subsidiary have an interest or expectancy in such transaction or opportunity, and (4) such transaction or opportunity would be in the same or similar line of business in which we or such subsidiary are then engaged, or a line of business that is reasonably related to, or a reasonable extension of, such line of business.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Limitations on Liability and Indemnification Matters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Post-IPO Certificate of Incorporation and Post-IPO Bylaws will provide that we will indemnify each of our directors and executive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Further, we will agree to indemnify each of our directors and executive officers against certain liabilities, costs and expenses, and we have purchased a policy of directors’ and officers’ liability insurance that insures our directors and executive officers against the cost of defense, settlement or payment of a judgment under certain circumstances. In addition, as permitted by Delaware law, our Post-IPO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These provisions may be held not to be enforceable for violations of the federal securities laws of the United States.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Listing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common stock has been approved for listing on the Nasdaq Global Select Market under the symbol “KLTR.”</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Transfer Agent and Registrar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transfer agent and registrar for our common stock is American Stock Transfer and Trust Company, LLC.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22250"/>
                <wp:effectExtent l="0" t="0" r="0" b="0"/>
                <wp:wrapNone/>
                <wp:docPr id="180" name="Frame17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166</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SHARES ELIGIBLE FOR FUTURE SALE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“Risk Factors—Risks Related to this Offering and Ownership of our Common Stock—Future sales of substantial amounts of our common stock in the public markets, or the perception that such sales might occur, could reduce the price that our common stock might otherwise attain.” Furthermore, although our common stock has been approved for listing on the Nasdaq Global Select Market, we cannot assure you that there will be an active public trading market for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Upon the closing of this offering, based on the number of shares of our common stock outstanding as of December 31, 2020 and after giving effect to (i) the Preferred Stock Conversion, (ii) the Warrant Exercises, and (iii) our issuance of 132,030 shares of our common stock in connection with the Selling Stockholder Option Exercises, we will have an aggregate of 123,075,914 shares of our common stock outstanding (or 126,600,914 shares of our common stock if the underwriters exercise in full their option to purchase additional shares). Of these shares of our common stock, all of the 23,500,000 shares sold in this offering (or 27,025,000 shares if the underwriters exercise in full their option to purchase additional shares)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remaining 99,575,914 shares of our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lock-up period under the lock-up agreements described below. Upon expiration of the lock-up period, these shares will be available for sale in the public market, subject in some cases to applicable volume limitations under Rule 144.</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Lock-Up Agreements and Market Stand-Off Provisions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and each of our directors and executive officers and holders of substantially all of our outstanding equity securities prior to this offering are subject to lock-up agreements or market stand-off provisions. The lock-up agreements, subject to certain customary exceptions, prohibit them from offering for sale, selling, contracting to sell, granting any option for the sale of, transferring or otherwise disposing of any shares of our common stock or securities convertible into, exchangeable for, exercisable for, or repayable with common stock, for 150 days after the date of this prospectus without first obtaining the written consent of Goldman Sachs &amp; Co. LLC and BofA Securities, Inc. These agreements are also subject to a limited early release, as discussed below. Holders of outstanding options to purchase our common stock and holders of our common stock issued pursuant to option exercises are subject to market stand-off provisions in agreements with us that impose similar restrictions. </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 xml:space="preserve">Limited Early Release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lock-up period described above has a potential partial release date following the 60th day after the date of this prospectus, subject to certain conditions described below. If the last reported closing price of our common stock on the Nasdaq Global Select Market is at least 30% greater than the initial public offering price per share set forth on the cover page of this prospectus for at least 10 trading days out of any 15 consecutive trading day period ending on or after the 60th day after the date of this prospectus (the last day of such 15-day period, the “Early Release Determination Date”), the terms of the lock-up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22250"/>
                <wp:effectExtent l="0" t="0" r="0" b="0"/>
                <wp:wrapNone/>
                <wp:docPr id="181" name="Frame17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167</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agreement to which any holder of our capital stock is subject will expire at the opening of trading three trading days after the Early Release Determination Date with respect to 20% of the aggregate number of shares of common stock and shares of common stock underlying securities convertible into, or exchangeable or exercisable for, common stock held, as of the date of this prospectus, by such holder for which all vesting conditions are satisfied as of the Early Release Determination Date.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All shares of common stock subject to a lock-up agreement and not released pursuant to the partial release described above will otherwise be released 150 days after the date of this prospectus.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Upon the complete expiration of the lock-up period, substantially all of the shares subject to such lock-up and market stand-off restrictions will become eligible for sale, subject to the limitations discussed above. For a further description of these lock-up agreements, please see “Underwriting (Conflict of Interest).”</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Rule 144</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Affiliate Resales of Restricted Securities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1% of the number of shares of our common stock then outstanding, which will equal approximately 1,230,759 shares of our common stock immediately after this offering;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average weekly trading volume in shares of our common stock on the Nasdaq Global Select Market during the four calendar weeks preceding the filing of a notice on Form 144 with respect to such sale.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Select Market concurrently with either the placing of a sale order with the broker or the execution directly with a market maker.</w:t>
      </w:r>
    </w:p>
    <w:p>
      <w:pPr>
        <w:pStyle w:val="TextBody"/>
        <w:spacing w:lineRule="auto" w:line="288" w:before="120" w:after="180"/>
        <w:ind w:left="0" w:right="0" w:firstLine="360"/>
        <w:rPr>
          <w:rFonts w:ascii="Helvetica;sans-serif" w:hAnsi="Helvetica;sans-serif"/>
          <w:b/>
          <w:i/>
          <w:color w:val="000000"/>
          <w:sz w:val="20"/>
        </w:rPr>
      </w:pPr>
      <w:r>
        <w:rPr>
          <w:rFonts w:ascii="Helvetica;sans-serif" w:hAnsi="Helvetica;sans-serif"/>
          <w:b/>
          <w:i/>
          <w:color w:val="000000"/>
          <w:sz w:val="20"/>
        </w:rPr>
        <w:t>Non-Affiliate Resales of Restricted Securities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Non-affiliate resales are not subject to the manner of sale, volume limitation or notice filing provisions of Rule 144.</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Rule 701</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22250"/>
                <wp:effectExtent l="0" t="0" r="0" b="0"/>
                <wp:wrapNone/>
                <wp:docPr id="182" name="Frame17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168</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non-affiliates of the issuer can resell shares in reliance on Rule 144 without having to comply with the current public information and holding period requirements.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Equity Plans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 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Registration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Upon the closing of this offering, the holders of approximately 91,350,498 shares of our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 or market stand-off provisions to which they are subject.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22250"/>
                <wp:effectExtent l="0" t="0" r="0" b="0"/>
                <wp:wrapNone/>
                <wp:docPr id="183" name="Frame17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169</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CERTAIN U.S. FEDERAL INCOME TAX CONSEQUENCES TO NON-U.S. 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discussion is a summary of certain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U.S. expatriates and former citizens or long-term residents of the United States;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persons subject to the alternative minimum tax;</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persons holding our common stock as part of a hedge, straddle or other risk reduction strategy or as part of a conversion transaction or other integrated investment;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banks, insurance companies, and other financial institutions;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brokers, dealers or traders in securities;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controlled foreign corporations,” “passive foreign investment companies,” and corporations that accumulate earnings to avoid U.S. federal income tax;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partnerships or other entities or arrangements treated as partnerships for U.S. federal income tax purposes (and investors therein);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tax-exempt organizations or governmental organizations;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persons deemed to sell our common stock under the constructive sale provisions of the Code;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persons who hold or receive our common stock pursuant to the exercise of any employee stock option or otherwise as compensation;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tax-qualified retirement plans;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qualified foreign pension funds” as defined in Section 897(l)(2) of the Code and entities all of the interests of which are held by qualified foreign pension funds;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persons subject to special tax accounting rules as a result of any item of gross income with respect to the stock being taken into account in an applicable financial statement.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222250"/>
                <wp:effectExtent l="0" t="0" r="0" b="0"/>
                <wp:wrapNone/>
                <wp:docPr id="184" name="Frame17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partnerships holding our common stock and the partners in such partnerships should consult their tax advisors regarding the U.S. federal income tax consequences to them. </w:t>
      </w:r>
    </w:p>
    <w:p>
      <w:pPr>
        <w:pStyle w:val="TextBody"/>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Definition of a Non-U.S. Holder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individual who is a citizen or resident of the United States;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a corporation created or organized under the laws of the United States, any state thereof, or the District of Columbia;</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estate, the income of which is subject to U.S. federal income tax regardless of its source; or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Distributions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22250"/>
                <wp:effectExtent l="0" t="0" r="0" b="0"/>
                <wp:wrapNone/>
                <wp:docPr id="185" name="Frame18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171</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Form W-8ECI, certifying that the dividends are effectively connected with the Non-U.S. Holder’s conduct of a trade or business within the United States.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Sale or Other Taxable Disposition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Non-U.S. Holder will not be subject to U.S. federal income tax on any gain realized upon the sale or other taxable disposition of our common stock unless: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Non-U.S. Holder is a nonresident alien individual present in the United States for 183 days or more during the taxable year of the disposition and certain other requirements are met;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our common stock constitutes a U.S. real property interest (“USRPI”) by reason of our status as a U.S. real property holding corporation (“USRPHC”) for U.S. federal income tax purposes.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Non-U.S. Holders should consult their tax advisors regarding potentially applicable income tax treaties that may provide for different rules.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Information Reporting and Backup Withholding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222250"/>
                <wp:effectExtent l="0" t="0" r="0" b="0"/>
                <wp:wrapNone/>
                <wp:docPr id="186" name="Frame18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172</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Additional Withholding Tax on Payments Made to Foreign Accounts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Prospective investors should consult their tax advisors regarding the potential application of withholding under FATCA to their investment in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22250"/>
                <wp:effectExtent l="0" t="0" r="0" b="0"/>
                <wp:wrapNone/>
                <wp:docPr id="187" name="Frame18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173</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UNDERWRITING (CONFLICT OF INTEREST)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the selling stockholders and the underwriters named below have entered into an underwriting agreement with respect to the shares of common stock being offered. Subject to certain conditions, each underwriter has severally agreed to purchase the number of shares indicated in the following table. Goldman Sachs &amp; Co. LLC and BofA Securities, Inc. are the representatives of the underwriters.</w:t>
      </w:r>
    </w:p>
    <w:tbl>
      <w:tblPr>
        <w:tblW w:w="4212" w:type="dxa"/>
        <w:jc w:val="left"/>
        <w:tblInd w:w="0" w:type="dxa"/>
        <w:tblCellMar>
          <w:top w:w="28" w:type="dxa"/>
          <w:left w:w="28" w:type="dxa"/>
          <w:bottom w:w="28" w:type="dxa"/>
          <w:right w:w="28" w:type="dxa"/>
        </w:tblCellMar>
      </w:tblPr>
      <w:tblGrid>
        <w:gridCol w:w="1004"/>
        <w:gridCol w:w="882"/>
        <w:gridCol w:w="888"/>
        <w:gridCol w:w="109"/>
        <w:gridCol w:w="109"/>
        <w:gridCol w:w="109"/>
        <w:gridCol w:w="324"/>
        <w:gridCol w:w="324"/>
        <w:gridCol w:w="463"/>
      </w:tblGrid>
      <w:tr>
        <w:trPr/>
        <w:tc>
          <w:tcPr>
            <w:tcW w:w="100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Underwriters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w:t>
              <w:br/>
              <w:t>Shares</w:t>
            </w:r>
          </w:p>
        </w:tc>
      </w:tr>
      <w:tr>
        <w:trPr/>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Goldman Sachs &amp; Co.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BofA Securities,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Wells Fargo Securities,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Deutsche Bank Securities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Canaccord Genuity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JMP Securities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KeyBanc Capital Markets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Needham &amp; Company,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Oppenheimer &amp; Co.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23,500,000</w:t>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underwriters are committed to take and pay for all of the shares being offered, if any are taken, other than the shares covered by the option described below unless and until this option is exercised.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underwriters have an option to buy up to an additional 3,525,000 shares of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shows the per share and total underwriting discounts and commissions to be paid to the underwriters by us and the selling stockholders. Such amounts are shown assuming both no exercise and full exercise of the underwriters’ option to purchase 3,525,000 additional shares from us.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Paid by us</w:t>
      </w:r>
    </w:p>
    <w:tbl>
      <w:tblPr>
        <w:tblW w:w="3505" w:type="dxa"/>
        <w:jc w:val="left"/>
        <w:tblInd w:w="0" w:type="dxa"/>
        <w:tblCellMar>
          <w:top w:w="28" w:type="dxa"/>
          <w:left w:w="28" w:type="dxa"/>
          <w:bottom w:w="28" w:type="dxa"/>
          <w:right w:w="28" w:type="dxa"/>
        </w:tblCellMar>
      </w:tblPr>
      <w:tblGrid>
        <w:gridCol w:w="358"/>
        <w:gridCol w:w="315"/>
        <w:gridCol w:w="317"/>
        <w:gridCol w:w="344"/>
        <w:gridCol w:w="344"/>
        <w:gridCol w:w="346"/>
        <w:gridCol w:w="109"/>
        <w:gridCol w:w="109"/>
        <w:gridCol w:w="109"/>
        <w:gridCol w:w="337"/>
        <w:gridCol w:w="337"/>
        <w:gridCol w:w="480"/>
      </w:tblGrid>
      <w:tr>
        <w:trPr/>
        <w:tc>
          <w:tcPr>
            <w:tcW w:w="35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No Exercise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Full Exercise</w:t>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 Share</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Paid by the Selling Stockholders</w:t>
      </w:r>
    </w:p>
    <w:tbl>
      <w:tblPr>
        <w:tblW w:w="3505" w:type="dxa"/>
        <w:jc w:val="left"/>
        <w:tblInd w:w="0" w:type="dxa"/>
        <w:tblCellMar>
          <w:top w:w="28" w:type="dxa"/>
          <w:left w:w="28" w:type="dxa"/>
          <w:bottom w:w="28" w:type="dxa"/>
          <w:right w:w="28" w:type="dxa"/>
        </w:tblCellMar>
      </w:tblPr>
      <w:tblGrid>
        <w:gridCol w:w="358"/>
        <w:gridCol w:w="315"/>
        <w:gridCol w:w="317"/>
        <w:gridCol w:w="344"/>
        <w:gridCol w:w="344"/>
        <w:gridCol w:w="346"/>
        <w:gridCol w:w="109"/>
        <w:gridCol w:w="109"/>
        <w:gridCol w:w="109"/>
        <w:gridCol w:w="337"/>
        <w:gridCol w:w="337"/>
        <w:gridCol w:w="480"/>
      </w:tblGrid>
      <w:tr>
        <w:trPr/>
        <w:tc>
          <w:tcPr>
            <w:tcW w:w="35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No Exercise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Full Exercise</w:t>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 Share</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22250"/>
                <wp:effectExtent l="0" t="0" r="0" b="0"/>
                <wp:wrapNone/>
                <wp:docPr id="188" name="Frame18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174</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and our officers, directors, and holders of substantially all of our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150 days after the date of this prospectus (the “lock-up period”), except with the prior written consent of Goldman Sachs &amp; Co. LLC and BofA Securities, Inc.</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restrictions described in the paragraph above relating to us do not apply, subject in certain cases to various conditions (including the transfer of the lock-up restrictions), to:</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shares to be sold pursuant to the underwriting agreement;</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issuance of any shares of common stock upon the conversion or exercise of convertible preferred stock or warrants outstanding on the date of this prospectus in connection with this offering;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issuance of any shares or any securities or other awards convertible into, exercisable for, or that represent the right to receive, shares of common stock pursuant to any of our stock option plan, incentive plan or stock purchase plan or otherwise in equity compensation arrangements described in this prospectus;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issuance of any shares upon the conversion, exercise or exchange of convertible, exercisable or exchangeable securities outstanding on the date of this prospectus, in each case if such convertible, exercisable or exchangeable securities is described in this prospectus;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filing by us of any registration statement on Form S-8; or</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the issuance of any common stock or any securities convertible into or exchangeable for, or that represent the right to receive, shares of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 provided that the aggregate number of shares that the Company may sell or issue shall not exceed 5% of the total number of shares of common stock issued and outstanding on the closing date of this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restrictions described in the paragraph above relating to the officers, directors, and our stockholders do not apply, subject in certain cases to various conditions (including no filing requirements (other than certain filings on Form 5) and the transfer of the lock-up restrictions), to transfers or dispositions: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as a bona fide gift or gifts or as a charitable contribution;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to any trust for the direct or indirect benefit of the lock-up party or their immediate family, or if the lock-up party is a trust, to a trustor, trustee (or co-trustee) or beneficiary of the trust or to the estate of the beneficiary of such trust;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 connection with the sale of common stock acquired in this Offering (other than any Company-directed shares acquired by an officer or director) or in open market transactions after this offering;</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to another corporation, partnership, limited liability company, trust or other business entity that is an affiliate of the lock-up party, or to any investment fund or other entity controlled or managed by the lock-up party or its affiliates, or as part of a distribution, transfer or disposition without consideration to the lock-up party’s current or former stockholders, partners, members, beneficiaries or other equity holders, or to the estate of any such stockholder, partner, member, beneficiary or other equity holder;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22250"/>
                <wp:effectExtent l="0" t="0" r="0" b="0"/>
                <wp:wrapNone/>
                <wp:docPr id="189" name="Frame18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175</w:t>
                      </w:r>
                    </w:p>
                  </w:txbxContent>
                </v:textbox>
              </v:rect>
            </w:pict>
          </mc:Fallback>
        </mc:AlternateConten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to the Company in connection with the exercise, vesting, exchange or settlement of any options, restricted stock units, warrants or other rights to acquire shares of common stock, including any security convertible into, or exercisable or exchangeable for, or that otherwise represents the right to receive, shares of common stock, which option, restricted stock unit, warrant or other right is granted pursuant to an employee benefit plan described in this prospectus (including, in each case, by way of “net” or “cashless” exercise and/or to cover withholding tax obligations);</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by will or intestacy;</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to any immediate family member; </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by operation of law or pursuant to a court or regulatory agency order or a settlement agreement related to the distribution of assets in connection with the dissolution of a marriage, domestic partnership or civil union;</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to the Company pursuant to agreements under which the Company has the option to repurchase such securities or a right of first refusal with respect to transfers of such securities, in each case upon death, disability or termination of service of the lock-up party; and</w:t>
      </w:r>
    </w:p>
    <w:p>
      <w:pPr>
        <w:pStyle w:val="TextBody"/>
        <w:spacing w:lineRule="auto" w:line="288" w:before="120" w:after="180"/>
        <w:ind w:left="0" w:right="0" w:hanging="360"/>
        <w:jc w:val="both"/>
        <w:rPr/>
      </w:pPr>
      <w:r>
        <w:rPr>
          <w:color w:val="000000"/>
        </w:rPr>
        <w:t>•</w:t>
      </w:r>
      <w:r>
        <w:rPr>
          <w:rFonts w:ascii="Helvetica;sans-serif" w:hAnsi="Helvetica;sans-serif"/>
          <w:b w:val="false"/>
          <w:color w:val="000000"/>
          <w:sz w:val="20"/>
        </w:rPr>
        <w:t>in connection with the conversion of outstanding shares of the Company’s preferred stock into common stock as described in this prospectus, or any reclassification or conversion of the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Notwithstanding the foregoing, with respect to our officers, directors and holders of substantially all of our common stock, the lock-up period will end with respect to up to 20% of the aggregate number of shares of common stock, or any options or warrants to purchase any shares of common stock, or any securities convertible into, exchangeable for or that represent the right to receive shares of common stock held by the lock-up party if the last reported closing price of the common stock on the Nasdaq Global Select Market is at least 30% greater than the public offering price per share set forth on the cover page of this prospectus for at least 10 trading days out of any 15 consecutive trading day period ending on or after the 60th day after the date set forth on the cover page of the prospectus (the last day of such 15 day period, the “Early Release Determination Date”), and the lock-up party may sell or otherwise transfer beginning at the opening of trading three trading days after the Early Release Determination Date.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“Shares Eligible for Future Sale” for a discussion of certain transfer restrictions.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common stock has been approved for listing on the Nasdaq Global Select Market under the symbol “KLTR”.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22250"/>
                <wp:effectExtent l="0" t="0" r="0" b="0"/>
                <wp:wrapNone/>
                <wp:docPr id="190" name="Frame18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176</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estimate that our share of the total expenses of the offering, excluding underwriting discounts and commissions, will be approximately $4.8 million. We have also agreed to reimburse the underwriters for certain FINRA-related expenses incurred by them in connection with the offering in an amount up to $40,000.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and the selling stockholders have agreed to indemnify the several underwriters against certain liabilities, including liabilities under the Securities Act. We have also agreed to indemnify the selling stockholders against certain liabilities, including liabilities under the Securities Act.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See “Certain Relationships and Related Party Transactions.” Goldman Sachs &amp; Co. LLC and BofA Securities, Inc. are customers of our video products.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Conflict of Interest</w:t>
      </w:r>
    </w:p>
    <w:p>
      <w:pPr>
        <w:pStyle w:val="TextBody"/>
        <w:spacing w:before="0" w:after="180"/>
        <w:ind w:left="0" w:right="0" w:firstLine="360"/>
        <w:jc w:val="both"/>
        <w:rPr/>
      </w:pPr>
      <w:r>
        <w:rPr/>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22250"/>
                <wp:effectExtent l="0" t="0" r="0" b="0"/>
                <wp:wrapNone/>
                <wp:docPr id="191" name="Frame18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177</w:t>
                      </w:r>
                    </w:p>
                  </w:txbxContent>
                </v:textbox>
              </v:rect>
            </w:pict>
          </mc:Fallback>
        </mc:AlternateConten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Special Situations Investing Group II, LLC is an affiliate of Goldman Sachs &amp; Co. LLC, an underwriter of this offering, and beneficially owns 10.6% of our outstanding capital stock prior to the consummation of this offering. Therefore, Goldman Sachs &amp; Co. LLC is deemed to have a “conflict of interest” under FINRA Rule 5121. Accordingly, this offering is being conducted in compliance with the applicable provisions of FINRA Rule 5121. FINRA Rule 5121 prohibits Goldman Sachs &amp; Co. LLC from making sales to discretionary accounts without the prior written approval of the account holder and requires that a “qualified independent underwriter,” as defined in FINRA Rule 5121, participate in the preparation of the registration statement and exercise its usual standards of due diligence with respect thereto. BofA Securities, Inc. is assuming the responsibilities of acting as the "qualified independent underwriter" in this offering and is undertaking the legal responsibilities and liabilities of an underwriter under the Securities Act, which specifically include those inherent in Section 11 thereunder.</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European Economic Area and United Kingdom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relation to each Member State of the European Economic Area and the United Kingdom (each a “Relevant State”), no shares of common stock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at any time under the following exemptions under the Prospectus Regulation:</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(a)to any legal entity which is a qualified investor as defined under the Prospectus Regulation;</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(b)to fewer than 150 natural or legal persons (other than qualified investors as defined under the Prospectus Regulation), subject to obtaining the prior consent of the representatives for any such offer; or</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(c)in any other circumstances falling within Article 1(4) of the Prospectus Regulation,</w: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provided that no such offer of the Shares shall require the Issuer or any underwriter to publish a prospectus pursuant to Article 3 of the Prospectus Regulation or supplement a prospectus pursuant to Article 23 of the Prospectus Regulation.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United Kingdom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underwriter severally represents, warrants and agrees that:</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(a)it has only communicated or caused to be communicated and will only communicate or cause to be communicated an invitation or inducement to engage in investment activity (within the meaning of Section 21 of the Financial Services and Markets Act 2000 (FSMA)) in connection with the issue or sale of the Shares in circumstances in which Section 21(1) of FSMA does not apply to us; and</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(b)it has complied and will comply with all applicable provisions of the FSMA with respect to anything done by it in relation to the Shares in, from or otherwise involving the United Kingdom.</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22250"/>
                <wp:effectExtent l="0" t="0" r="0" b="0"/>
                <wp:wrapNone/>
                <wp:docPr id="192" name="Frame18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178</w:t>
                      </w:r>
                    </w:p>
                  </w:txbxContent>
                </v:textbox>
              </v:rect>
            </w:pict>
          </mc:Fallback>
        </mc:AlternateConten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Canada</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Hong Kong</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Singapore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Where the shares are subscribed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22250"/>
                <wp:effectExtent l="0" t="0" r="0" b="0"/>
                <wp:wrapNone/>
                <wp:docPr id="193" name="Frame18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179</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Switzerland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Dubai International Financial Centre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Australia</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22250"/>
                <wp:effectExtent l="0" t="0" r="0" b="0"/>
                <wp:wrapNone/>
                <wp:docPr id="194" name="Frame18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180</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include the information required for a prospectus, product disclosure statement or other disclosure document under the Corporations Act.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Japan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Israel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shares offered by this prospectus have not been approved or disapproved by the Israel Securities Authority (the “ISA”), nor have such shares been registered for sale in Israel. The shares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shares being offered.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document does not constitute a prospectus under the Israeli Securities Law, 5728-1968, or the Securities Law, and has not been filed with or approved by the ISA. In the State of Israel, this document may be distributed only to, and directed only at, and any offer of the common stocks is directed only at, (i) a limited number of persons in accordance with the Securities Law and (ii) investors listed in the first addendum, or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22250"/>
                <wp:effectExtent l="0" t="0" r="0" b="0"/>
                <wp:wrapNone/>
                <wp:docPr id="195" name="Frame19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181</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LEGAL MATTERS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validity of the shares of our common stock offered hereby will be passed upon for us by Latham &amp; Watkins LLP, New York, New York. Certain legal matters will be passed upon for the underwriters by Davis Polk &amp; Wardwell LLP, New York, New York.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EXPERTS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consolidated financial statements as of and for the years ended December 31, 2019 and 2020, appearing in this prospectus and the registration statement of which it forms a part, have been audited by Kost Forer Gabbay &amp; Kasierer, a member of Ernst &amp; Young Global, independent registered public accounting firm, as set forth in their report thereon appearing elsewhere herein, and are included in reliance on such report given on the authority of such firm as experts in accounting and auditing.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WHERE YOU CAN FIND MORE INFORMATION</w:t>
      </w:r>
    </w:p>
    <w:p>
      <w:pPr>
        <w:pStyle w:val="TextBody"/>
        <w:spacing w:lineRule="auto" w:line="288" w:before="0" w:after="180"/>
        <w:ind w:left="0" w:right="0" w:firstLine="360"/>
        <w:jc w:val="both"/>
        <w:rPr/>
      </w:pPr>
      <w:r>
        <w:rPr>
          <w:rFonts w:ascii="Helvetica;sans-serif" w:hAnsi="Helvetica;sans-serif"/>
          <w:b w:val="false"/>
          <w:color w:val="000000"/>
          <w:sz w:val="20"/>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an Internet website that contains reports, proxy statements and other information about registrants, like us, that file electronically with the SEC. The address of that site is </w:t>
      </w:r>
      <w:r>
        <w:rPr>
          <w:rFonts w:ascii="Helvetica;sans-serif" w:hAnsi="Helvetica;sans-serif"/>
          <w:b w:val="false"/>
          <w:i/>
          <w:color w:val="000000"/>
          <w:sz w:val="20"/>
        </w:rPr>
        <w:t>www.sec.gov</w:t>
      </w:r>
      <w:r>
        <w:rPr>
          <w:rFonts w:ascii="Helvetica;sans-serif" w:hAnsi="Helvetica;sans-serif"/>
          <w:b w:val="false"/>
          <w:color w:val="000000"/>
          <w:sz w:val="20"/>
        </w:rPr>
        <w:t>.</w:t>
      </w:r>
    </w:p>
    <w:p>
      <w:pPr>
        <w:pStyle w:val="TextBody"/>
        <w:spacing w:lineRule="auto" w:line="288" w:before="0" w:after="180"/>
        <w:ind w:left="0" w:right="0" w:firstLine="360"/>
        <w:jc w:val="both"/>
        <w:rPr/>
      </w:pPr>
      <w:r>
        <w:rPr>
          <w:rFonts w:ascii="Helvetica;sans-serif" w:hAnsi="Helvetica;sans-serif"/>
          <w:b w:val="false"/>
          <w:color w:val="000000"/>
          <w:sz w:val="20"/>
        </w:rPr>
        <w:t xml:space="preserve">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inspected and copied at the locations set forth above. We intend to make this information available on the investor relations section of our website, which is located at </w:t>
      </w:r>
      <w:r>
        <w:rPr>
          <w:rFonts w:ascii="Helvetica;sans-serif" w:hAnsi="Helvetica;sans-serif"/>
          <w:b w:val="false"/>
          <w:i/>
          <w:color w:val="000000"/>
          <w:sz w:val="20"/>
        </w:rPr>
        <w:t>www.kaltura.com</w:t>
      </w:r>
      <w:r>
        <w:rPr>
          <w:rFonts w:ascii="Helvetica;sans-serif" w:hAnsi="Helvetica;sans-serif"/>
          <w:b w:val="false"/>
          <w:color w:val="000000"/>
          <w:sz w:val="20"/>
        </w:rPr>
        <w:t>. Information on, or accessible through, our website is not part of this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22250"/>
                <wp:effectExtent l="0" t="0" r="0" b="0"/>
                <wp:wrapNone/>
                <wp:docPr id="196" name="Frame19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182</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INDEX TO CONSOLIDATED FINANCIAL STATEMENTS</w:t>
      </w:r>
    </w:p>
    <w:tbl>
      <w:tblPr>
        <w:tblW w:w="10205" w:type="dxa"/>
        <w:jc w:val="left"/>
        <w:tblInd w:w="0" w:type="dxa"/>
        <w:tblCellMar>
          <w:top w:w="28" w:type="dxa"/>
          <w:left w:w="28" w:type="dxa"/>
          <w:bottom w:w="28" w:type="dxa"/>
          <w:right w:w="28" w:type="dxa"/>
        </w:tblCellMar>
      </w:tblPr>
      <w:tblGrid>
        <w:gridCol w:w="3522"/>
        <w:gridCol w:w="3097"/>
        <w:gridCol w:w="3111"/>
        <w:gridCol w:w="138"/>
        <w:gridCol w:w="138"/>
        <w:gridCol w:w="199"/>
      </w:tblGrid>
      <w:tr>
        <w:trPr/>
        <w:tc>
          <w:tcPr>
            <w:tcW w:w="3522" w:type="dxa"/>
            <w:tcBorders/>
            <w:shd w:fill="auto" w:val="clear"/>
            <w:vAlign w:val="center"/>
          </w:tcPr>
          <w:p>
            <w:pPr>
              <w:pStyle w:val="TableContents"/>
              <w:spacing w:before="0" w:after="283"/>
              <w:rPr>
                <w:sz w:val="4"/>
                <w:szCs w:val="4"/>
              </w:rPr>
            </w:pPr>
            <w:r>
              <w:rPr>
                <w:sz w:val="4"/>
                <w:szCs w:val="4"/>
              </w:rPr>
            </w:r>
          </w:p>
        </w:tc>
        <w:tc>
          <w:tcPr>
            <w:tcW w:w="3097" w:type="dxa"/>
            <w:tcBorders/>
            <w:shd w:fill="auto" w:val="clear"/>
            <w:vAlign w:val="center"/>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9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Page</w:t>
            </w:r>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i/>
                <w:color w:val="000000"/>
                <w:sz w:val="20"/>
              </w:rPr>
            </w:pPr>
            <w:r>
              <w:rPr>
                <w:rFonts w:ascii="Helvetica;sans-serif" w:hAnsi="Helvetica;sans-serif"/>
                <w:b/>
                <w:i/>
                <w:color w:val="000000"/>
                <w:sz w:val="20"/>
              </w:rPr>
              <w:t>Audited Consolidated Financial Statements as of and for the Years Ended December 31, 2019 and 2020</w:t>
            </w:r>
          </w:p>
        </w:tc>
        <w:tc>
          <w:tcPr>
            <w:tcW w:w="4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24">
              <w:r>
                <w:rPr>
                  <w:rStyle w:val="InternetLink"/>
                  <w:rFonts w:ascii="Helvetica;sans-serif" w:hAnsi="Helvetica;sans-serif"/>
                  <w:b w:val="false"/>
                  <w:color w:val="0000FF"/>
                  <w:sz w:val="20"/>
                  <w:u w:val="single"/>
                </w:rPr>
                <w:t>Report of Kost Forer Gabbay &amp; Kasierer, a member of Ernst &amp; Young Global, independent registered public accounting firm</w:t>
              </w:r>
            </w:hyperlink>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24">
              <w:r>
                <w:rPr>
                  <w:rStyle w:val="InternetLink"/>
                </w:rPr>
                <w:t>F-</w:t>
              </w:r>
            </w:hyperlink>
            <w:hyperlink w:anchor="if08c922b784c46ee8db98fe661f57792_124">
              <w:r>
                <w:rPr>
                  <w:rStyle w:val="InternetLink"/>
                </w:rPr>
                <w:t>2</w:t>
              </w:r>
            </w:hyperlink>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27">
              <w:r>
                <w:rPr>
                  <w:rStyle w:val="InternetLink"/>
                  <w:rFonts w:ascii="Helvetica;sans-serif" w:hAnsi="Helvetica;sans-serif"/>
                  <w:b w:val="false"/>
                  <w:color w:val="0000FF"/>
                  <w:sz w:val="20"/>
                  <w:u w:val="single"/>
                </w:rPr>
                <w:t>Consolidated Balance Sheets as of December 31, 2019 and 2020</w:t>
              </w:r>
            </w:hyperlink>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27">
              <w:r>
                <w:rPr>
                  <w:rStyle w:val="InternetLink"/>
                </w:rPr>
                <w:t>F-</w:t>
              </w:r>
            </w:hyperlink>
            <w:hyperlink w:anchor="if08c922b784c46ee8db98fe661f57792_127">
              <w:r>
                <w:rPr>
                  <w:rStyle w:val="InternetLink"/>
                </w:rPr>
                <w:t>3</w:t>
              </w:r>
            </w:hyperlink>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30">
              <w:r>
                <w:rPr>
                  <w:rStyle w:val="InternetLink"/>
                </w:rPr>
                <w:t xml:space="preserve">Consolidated Statements of Operations for the years ended December 31, </w:t>
              </w:r>
            </w:hyperlink>
            <w:hyperlink w:anchor="if08c922b784c46ee8db98fe661f57792_127">
              <w:r>
                <w:rPr>
                  <w:rStyle w:val="InternetLink"/>
                </w:rPr>
                <w:t>2019 and 2020</w:t>
              </w:r>
            </w:hyperlink>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30">
              <w:r>
                <w:rPr>
                  <w:rStyle w:val="InternetLink"/>
                </w:rPr>
                <w:t>F-</w:t>
              </w:r>
            </w:hyperlink>
            <w:hyperlink w:anchor="if08c922b784c46ee8db98fe661f57792_130">
              <w:r>
                <w:rPr>
                  <w:rStyle w:val="InternetLink"/>
                </w:rPr>
                <w:t>5</w:t>
              </w:r>
            </w:hyperlink>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33">
              <w:r>
                <w:rPr>
                  <w:rStyle w:val="InternetLink"/>
                </w:rPr>
                <w:t xml:space="preserve">Consolidated Statements of Changes in Convertible and Redeemable Convertible Preferred Stock and Stockholders’ Deficit for the years ended December 31, </w:t>
              </w:r>
            </w:hyperlink>
            <w:hyperlink w:anchor="if08c922b784c46ee8db98fe661f57792_127">
              <w:r>
                <w:rPr>
                  <w:rStyle w:val="InternetLink"/>
                </w:rPr>
                <w:t>2019 and 2020</w:t>
              </w:r>
            </w:hyperlink>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33">
              <w:r>
                <w:rPr>
                  <w:rStyle w:val="InternetLink"/>
                </w:rPr>
                <w:t>F-</w:t>
              </w:r>
            </w:hyperlink>
            <w:hyperlink w:anchor="if08c922b784c46ee8db98fe661f57792_133">
              <w:r>
                <w:rPr>
                  <w:rStyle w:val="InternetLink"/>
                </w:rPr>
                <w:t>6</w:t>
              </w:r>
            </w:hyperlink>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36">
              <w:r>
                <w:rPr>
                  <w:rStyle w:val="InternetLink"/>
                </w:rPr>
                <w:t xml:space="preserve">Consolidated Statements of Cash Flows for the years ended December 31, </w:t>
              </w:r>
            </w:hyperlink>
            <w:hyperlink w:anchor="if08c922b784c46ee8db98fe661f57792_127">
              <w:r>
                <w:rPr>
                  <w:rStyle w:val="InternetLink"/>
                </w:rPr>
                <w:t>2019 and 2020</w:t>
              </w:r>
            </w:hyperlink>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36">
              <w:r>
                <w:rPr>
                  <w:rStyle w:val="InternetLink"/>
                </w:rPr>
                <w:t>F-</w:t>
              </w:r>
            </w:hyperlink>
            <w:hyperlink w:anchor="if08c922b784c46ee8db98fe661f57792_136">
              <w:r>
                <w:rPr>
                  <w:rStyle w:val="InternetLink"/>
                </w:rPr>
                <w:t>7</w:t>
              </w:r>
            </w:hyperlink>
          </w:p>
        </w:tc>
      </w:tr>
      <w:tr>
        <w:trPr/>
        <w:tc>
          <w:tcPr>
            <w:tcW w:w="97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08c922b784c46ee8db98fe661f57792_139">
              <w:r>
                <w:rPr>
                  <w:rStyle w:val="InternetLink"/>
                  <w:rFonts w:ascii="Helvetica;sans-serif" w:hAnsi="Helvetica;sans-serif"/>
                  <w:b w:val="false"/>
                  <w:color w:val="0000FF"/>
                  <w:sz w:val="20"/>
                  <w:u w:val="single"/>
                </w:rPr>
                <w:t>Notes to Consolidated Financial Statements</w:t>
              </w:r>
            </w:hyperlink>
          </w:p>
        </w:tc>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08c922b784c46ee8db98fe661f57792_139">
              <w:r>
                <w:rPr>
                  <w:rStyle w:val="InternetLink"/>
                </w:rPr>
                <w:t>F-</w:t>
              </w:r>
            </w:hyperlink>
            <w:hyperlink w:anchor="if08c922b784c46ee8db98fe661f57792_139">
              <w:r>
                <w:rPr>
                  <w:rStyle w:val="InternetLink"/>
                </w:rPr>
                <w:t>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jc w:val="righ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222250"/>
                <wp:effectExtent l="0" t="0" r="0" b="0"/>
                <wp:wrapNone/>
                <wp:docPr id="197" name="Frame19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w:t>
                      </w:r>
                    </w:p>
                  </w:txbxContent>
                </v:textbox>
              </v:rect>
            </w:pict>
          </mc:Fallback>
        </mc:AlternateContent>
      </w:r>
    </w:p>
    <w:p>
      <w:pPr>
        <w:pStyle w:val="TextBody"/>
        <w:spacing w:before="120" w:after="180"/>
        <w:jc w:val="both"/>
        <w:rPr/>
      </w:pPr>
      <w:r>
        <w:rPr/>
        <w:drawing>
          <wp:inline distT="0" distB="63500" distL="0" distR="0">
            <wp:extent cx="762000" cy="876300"/>
            <wp:effectExtent l="0" t="0" r="0" b="0"/>
            <wp:docPr id="19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 descr=""/>
                    <pic:cNvPicPr>
                      <a:picLocks noChangeAspect="1" noChangeArrowheads="1"/>
                    </pic:cNvPicPr>
                  </pic:nvPicPr>
                  <pic:blipFill>
                    <a:blip r:embed="rId7"/>
                    <a:stretch>
                      <a:fillRect/>
                    </a:stretch>
                  </pic:blipFill>
                  <pic:spPr bwMode="auto">
                    <a:xfrm>
                      <a:off x="0" y="0"/>
                      <a:ext cx="762000" cy="876300"/>
                    </a:xfrm>
                    <a:prstGeom prst="rect">
                      <a:avLst/>
                    </a:prstGeom>
                  </pic:spPr>
                </pic:pic>
              </a:graphicData>
            </a:graphic>
          </wp:inline>
        </w:drawing>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To the Stockholders and the Board of Directors of Kaltura, Inc.</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Opinion on the Financial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sheets of Kaltura, Inc. and subsidiaries (the Company) as of December 31, 2019 and 2020, the related consolidated statements of operations, changes in convertible and redeemable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Restatement of the 2020 Consolidated Financial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discussed in Note 20 to the financial statements, the accompanying 2020 consolidated financial statements have been restated to correct misstatements.</w:t>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Basis for Opinion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120" w:after="283"/>
        <w:rPr>
          <w:rFonts w:ascii="Helvetica;sans-serif" w:hAnsi="Helvetica;sans-serif"/>
          <w:b w:val="false"/>
          <w:color w:val="000000"/>
          <w:sz w:val="20"/>
        </w:rPr>
      </w:pPr>
      <w:r>
        <w:rPr>
          <w:rFonts w:ascii="Helvetica;sans-serif" w:hAnsi="Helvetica;sans-serif"/>
          <w:b w:val="false"/>
          <w:color w:val="000000"/>
          <w:sz w:val="20"/>
        </w:rPr>
        <w:t>/s/ KOST FORER GABBAY &amp; KASIERER</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 Member of Ernst &amp; Young Global</w: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served as the Company’s auditor since 2007. </w:t>
      </w:r>
    </w:p>
    <w:p>
      <w:pPr>
        <w:pStyle w:val="TextBody"/>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Tel-Aviv, Israel</w:t>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March 1, 2021, except for the stock split discussed in Note 14e and the effects of the restatement discussed in Note 20 as to which the date is March 23, 2021.</w:t>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7" w:before="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222250"/>
                <wp:effectExtent l="0" t="0" r="0" b="0"/>
                <wp:wrapNone/>
                <wp:docPr id="199" name="Frame19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w:t>
                      </w:r>
                    </w:p>
                  </w:txbxContent>
                </v:textbox>
              </v:rect>
            </w:pict>
          </mc:Fallback>
        </mc:AlternateContent>
      </w:r>
    </w:p>
    <w:tbl>
      <w:tblPr>
        <w:tblW w:w="3419" w:type="dxa"/>
        <w:jc w:val="left"/>
        <w:tblInd w:w="0" w:type="dxa"/>
        <w:tblCellMar>
          <w:top w:w="28" w:type="dxa"/>
          <w:left w:w="28" w:type="dxa"/>
          <w:bottom w:w="28" w:type="dxa"/>
          <w:right w:w="28" w:type="dxa"/>
        </w:tblCellMar>
      </w:tblPr>
      <w:tblGrid>
        <w:gridCol w:w="1095"/>
        <w:gridCol w:w="961"/>
        <w:gridCol w:w="1363"/>
      </w:tblGrid>
      <w:tr>
        <w:trPr/>
        <w:tc>
          <w:tcPr>
            <w:tcW w:w="1095"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BALANCE SHEET</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U.S. dollars in thousands</w:t>
            </w:r>
          </w:p>
        </w:tc>
      </w:tr>
    </w:tbl>
    <w:tbl>
      <w:tblPr>
        <w:tblW w:w="10205" w:type="dxa"/>
        <w:jc w:val="left"/>
        <w:tblInd w:w="0" w:type="dxa"/>
        <w:tblCellMar>
          <w:top w:w="28" w:type="dxa"/>
          <w:left w:w="28" w:type="dxa"/>
          <w:bottom w:w="28" w:type="dxa"/>
          <w:right w:w="28" w:type="dxa"/>
        </w:tblCellMar>
      </w:tblPr>
      <w:tblGrid>
        <w:gridCol w:w="2355"/>
        <w:gridCol w:w="1716"/>
        <w:gridCol w:w="1742"/>
        <w:gridCol w:w="211"/>
        <w:gridCol w:w="856"/>
        <w:gridCol w:w="109"/>
        <w:gridCol w:w="109"/>
        <w:gridCol w:w="109"/>
        <w:gridCol w:w="109"/>
        <w:gridCol w:w="211"/>
        <w:gridCol w:w="856"/>
        <w:gridCol w:w="109"/>
        <w:gridCol w:w="109"/>
        <w:gridCol w:w="109"/>
        <w:gridCol w:w="109"/>
        <w:gridCol w:w="261"/>
        <w:gridCol w:w="931"/>
        <w:gridCol w:w="194"/>
      </w:tblGrid>
      <w:tr>
        <w:trPr/>
        <w:tc>
          <w:tcPr>
            <w:tcW w:w="2355"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5813"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Pro Forma</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Stockholders’</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Deficit as of</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5813"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5813"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 receivables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17,134 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2,769 </w:t>
            </w:r>
          </w:p>
        </w:tc>
        <w:tc>
          <w:tcPr>
            <w:tcW w:w="19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and fulfillment costs, 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53,462 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 noncurrent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3,564 </w:t>
            </w:r>
          </w:p>
        </w:tc>
        <w:tc>
          <w:tcPr>
            <w:tcW w:w="19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and fulfillment costs, noncurrent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15,876 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37,492 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LIABILITIES, CONVERTIBLE AND REDEEMABLE CONVERTIBLE PREFERRED STOCK AND STOCKHOLDERS' DEFICIT</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loans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 payables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Employees and payroll accruals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16,275 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11,251 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 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47,685 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82,994 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loans, net of current portion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47,160 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lease liabilities, net of current portion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to purchase preferred and common stock</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51,724 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134,718 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 consolidated financial statements.</w:t>
      </w:r>
    </w:p>
    <w:p>
      <w:pPr>
        <w:pStyle w:val="TextBody"/>
        <w:jc w:val="both"/>
        <w:rPr/>
      </w:pPr>
      <w:r>
        <w:rPr/>
      </w:r>
      <w:r>
        <w:br w:type="page"/>
      </w:r>
    </w:p>
    <w:p>
      <w:pPr>
        <w:pStyle w:val="TextBody"/>
        <w:spacing w:lineRule="auto" w:line="307" w:before="0" w:after="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222250"/>
                <wp:effectExtent l="0" t="0" r="0" b="0"/>
                <wp:wrapNone/>
                <wp:docPr id="200" name="Frame19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w:t>
                      </w:r>
                    </w:p>
                  </w:txbxContent>
                </v:textbox>
              </v:rect>
            </w:pict>
          </mc:Fallback>
        </mc:AlternateContent>
      </w:r>
    </w:p>
    <w:tbl>
      <w:tblPr>
        <w:tblW w:w="5669" w:type="dxa"/>
        <w:jc w:val="left"/>
        <w:tblInd w:w="0" w:type="dxa"/>
        <w:tblCellMar>
          <w:top w:w="28" w:type="dxa"/>
          <w:left w:w="28" w:type="dxa"/>
          <w:bottom w:w="28" w:type="dxa"/>
          <w:right w:w="28" w:type="dxa"/>
        </w:tblCellMar>
      </w:tblPr>
      <w:tblGrid>
        <w:gridCol w:w="1816"/>
        <w:gridCol w:w="1593"/>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BALANCE SHEET</w:t>
            </w:r>
          </w:p>
        </w:tc>
      </w:tr>
      <w:tr>
        <w:trPr/>
        <w:tc>
          <w:tcPr>
            <w:tcW w:w="5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tbl>
      <w:tblPr>
        <w:tblW w:w="10205" w:type="dxa"/>
        <w:jc w:val="left"/>
        <w:tblInd w:w="0" w:type="dxa"/>
        <w:tblCellMar>
          <w:top w:w="28" w:type="dxa"/>
          <w:left w:w="28" w:type="dxa"/>
          <w:bottom w:w="28" w:type="dxa"/>
          <w:right w:w="28" w:type="dxa"/>
        </w:tblCellMar>
      </w:tblPr>
      <w:tblGrid>
        <w:gridCol w:w="2233"/>
        <w:gridCol w:w="1949"/>
        <w:gridCol w:w="1956"/>
        <w:gridCol w:w="211"/>
        <w:gridCol w:w="751"/>
        <w:gridCol w:w="109"/>
        <w:gridCol w:w="109"/>
        <w:gridCol w:w="109"/>
        <w:gridCol w:w="109"/>
        <w:gridCol w:w="212"/>
        <w:gridCol w:w="756"/>
        <w:gridCol w:w="109"/>
        <w:gridCol w:w="109"/>
        <w:gridCol w:w="109"/>
        <w:gridCol w:w="109"/>
        <w:gridCol w:w="238"/>
        <w:gridCol w:w="848"/>
        <w:gridCol w:w="179"/>
      </w:tblGrid>
      <w:tr>
        <w:trPr/>
        <w:tc>
          <w:tcPr>
            <w:tcW w:w="2233"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6138"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Pro Forma</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Stockholders’</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Deficit as of</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6138" w:type="dxa"/>
            <w:gridSpan w:val="3"/>
            <w:vMerge w:val="continue"/>
            <w:tcBorders/>
            <w:shd w:fill="auto" w:val="clear"/>
            <w:tcMar>
              <w:top w:w="0" w:type="dxa"/>
              <w:left w:w="0" w:type="dxa"/>
              <w:bottom w:w="0" w:type="dxa"/>
              <w:right w:w="0" w:type="dxa"/>
            </w:tcMar>
            <w:vAlign w:val="center"/>
          </w:tcPr>
          <w:p>
            <w:pPr>
              <w:pStyle w:val="Normal"/>
              <w:rPr/>
            </w:pPr>
            <w:r>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6138" w:type="dxa"/>
            <w:gridSpan w:val="3"/>
            <w:vMerge w:val="continue"/>
            <w:tcBorders/>
            <w:shd w:fill="auto" w:val="clear"/>
            <w:tcMar>
              <w:top w:w="0" w:type="dxa"/>
              <w:left w:w="0" w:type="dxa"/>
              <w:bottom w:w="0" w:type="dxa"/>
              <w:right w:w="0" w:type="dxa"/>
            </w:tcMar>
            <w:vAlign w:val="center"/>
          </w:tcPr>
          <w:p>
            <w:pPr>
              <w:pStyle w:val="Normal"/>
              <w:rPr/>
            </w:pPr>
            <w:r>
              <w:rPr/>
            </w:r>
          </w:p>
        </w:tc>
        <w:tc>
          <w:tcPr>
            <w:tcW w:w="10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6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10)</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Convertible preferred stock, $ 0.0001 par value per share - </w:t>
            </w:r>
          </w:p>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1,043,778 shares authorized, issued and outstanding as of December 31, 2019 and 2020; aggregate liquidation preference of $ 1,921 as of December 31, 2019 and 2020; no shares issued and outstanding as of December 31, 2020, pro forma (unaudited)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Redeemable convertible preferred stock, $ 0.0001 par value per share - </w:t>
            </w:r>
          </w:p>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15,968,831 shares authorized as of December 31, 2019 and 2020, 15,779,322 issued and outstanding as of December 31, 2019 and 2020; aggregate liquidation preference of $ 173,266 and $ 185,425 as of December 31, 2019 and 2020, respectively; no shares issued and outstanding as of December 31, 2020, pro forma (unaudited)</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mezzanine equity</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DEFICIT: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of $ 0.0001 par value per share -</w:t>
              <w:br/>
              <w:t>157,500,000 shares authorized as of December 31, 2019 and 2020; 30,645,159 and 33,153,112 shares issued as of December 31, 2019 and 2020, respectively; 22,959,969 and 25,467,922 shares outstanding as of December 31, 2019 and 2020, respectively; 113,229,074 shares issued and 105,543,884 shares outstanding as of December 31, 2020, pro forma (unaudited)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Treasury stock - </w:t>
            </w:r>
          </w:p>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7,685,190 shares of common stock, $0.0001 par value per share, as of December 31, 2019 and 2020</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225,271 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Receivables on account of stock</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(264,165)</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stockholders' deficit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(43,764)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LIABILITIES, CONVERTIBLE AND REDEEMABLE CONVERTIBLE PREFERRED STOCK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90,954 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307" w:before="0" w:after="0"/>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7" w:before="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222250"/>
                <wp:effectExtent l="0" t="0" r="0" b="0"/>
                <wp:wrapNone/>
                <wp:docPr id="201" name="Frame19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STATEMENTS OF OPERATIONS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tbl>
      <w:tblPr>
        <w:tblW w:w="10205" w:type="dxa"/>
        <w:jc w:val="left"/>
        <w:tblInd w:w="0" w:type="dxa"/>
        <w:tblCellMar>
          <w:top w:w="28" w:type="dxa"/>
          <w:left w:w="28" w:type="dxa"/>
          <w:bottom w:w="28" w:type="dxa"/>
          <w:right w:w="28" w:type="dxa"/>
        </w:tblCellMar>
      </w:tblPr>
      <w:tblGrid>
        <w:gridCol w:w="2754"/>
        <w:gridCol w:w="2243"/>
        <w:gridCol w:w="2259"/>
        <w:gridCol w:w="246"/>
        <w:gridCol w:w="880"/>
        <w:gridCol w:w="109"/>
        <w:gridCol w:w="109"/>
        <w:gridCol w:w="109"/>
        <w:gridCol w:w="109"/>
        <w:gridCol w:w="242"/>
        <w:gridCol w:w="989"/>
        <w:gridCol w:w="156"/>
      </w:tblGrid>
      <w:tr>
        <w:trPr/>
        <w:tc>
          <w:tcPr>
            <w:tcW w:w="2754"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104,064 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28,486 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cost of 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and marketing</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u w:val="single"/>
              </w:rPr>
              <w:t>Total</w:t>
            </w:r>
            <w:r>
              <w:rPr>
                <w:color w:val="000000"/>
              </w:rPr>
              <w:t xml:space="preserve"> </w:t>
            </w:r>
            <w:r>
              <w:rPr>
                <w:rFonts w:ascii="Helvetica;sans-serif" w:hAnsi="Helvetica;sans-serif"/>
                <w:b w:val="false"/>
                <w:color w:val="000000"/>
                <w:sz w:val="20"/>
              </w:rPr>
              <w:t>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net</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per share attributable to common stockholders, basic and diluted</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stock used in computing net loss per share attributable to common stockholders, basic and diluted</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22,754,499 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24,939,901 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 forma net loss per share attributable to common stockholders, basic and diluted</w:t>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stock used in computing pro-forma net loss per share attributable to common stockholders, basic and diluted</w:t>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105,015,863 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80"/>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7" w:before="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222250"/>
                <wp:effectExtent l="0" t="0" r="0" b="0"/>
                <wp:wrapNone/>
                <wp:docPr id="202" name="Frame19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266"/>
        <w:gridCol w:w="2870"/>
        <w:gridCol w:w="4069"/>
      </w:tblGrid>
      <w:tr>
        <w:trPr/>
        <w:tc>
          <w:tcPr>
            <w:tcW w:w="3266"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STATEMENT OF CHANGES IN CONVERTIBLE AND REDEEMABLE CONVERTIBLE PREFERRED STOCK AND STOCKHOLDERS' DEFICIT</w:t>
            </w:r>
          </w:p>
        </w:tc>
      </w:tr>
      <w:tr>
        <w:trPr/>
        <w:tc>
          <w:tcPr>
            <w:tcW w:w="10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U.S. dollars in thousands (except share data)</w:t>
            </w:r>
          </w:p>
        </w:tc>
      </w:tr>
    </w:tbl>
    <w:tbl>
      <w:tblPr>
        <w:tblW w:w="17056" w:type="dxa"/>
        <w:jc w:val="left"/>
        <w:tblInd w:w="0" w:type="dxa"/>
        <w:tblCellMar>
          <w:top w:w="28" w:type="dxa"/>
          <w:left w:w="28" w:type="dxa"/>
          <w:bottom w:w="28" w:type="dxa"/>
          <w:right w:w="28" w:type="dxa"/>
        </w:tblCellMar>
      </w:tblPr>
      <w:tblGrid>
        <w:gridCol w:w="847"/>
        <w:gridCol w:w="318"/>
        <w:gridCol w:w="231"/>
        <w:gridCol w:w="435"/>
        <w:gridCol w:w="436"/>
        <w:gridCol w:w="201"/>
        <w:gridCol w:w="109"/>
        <w:gridCol w:w="109"/>
        <w:gridCol w:w="109"/>
        <w:gridCol w:w="196"/>
        <w:gridCol w:w="556"/>
        <w:gridCol w:w="109"/>
        <w:gridCol w:w="109"/>
        <w:gridCol w:w="109"/>
        <w:gridCol w:w="109"/>
        <w:gridCol w:w="480"/>
        <w:gridCol w:w="481"/>
        <w:gridCol w:w="201"/>
        <w:gridCol w:w="109"/>
        <w:gridCol w:w="109"/>
        <w:gridCol w:w="109"/>
        <w:gridCol w:w="196"/>
        <w:gridCol w:w="736"/>
        <w:gridCol w:w="109"/>
        <w:gridCol w:w="109"/>
        <w:gridCol w:w="109"/>
        <w:gridCol w:w="109"/>
        <w:gridCol w:w="109"/>
        <w:gridCol w:w="109"/>
        <w:gridCol w:w="109"/>
        <w:gridCol w:w="480"/>
        <w:gridCol w:w="481"/>
        <w:gridCol w:w="201"/>
        <w:gridCol w:w="109"/>
        <w:gridCol w:w="109"/>
        <w:gridCol w:w="109"/>
        <w:gridCol w:w="210"/>
        <w:gridCol w:w="258"/>
        <w:gridCol w:w="118"/>
        <w:gridCol w:w="109"/>
        <w:gridCol w:w="109"/>
        <w:gridCol w:w="109"/>
        <w:gridCol w:w="435"/>
        <w:gridCol w:w="436"/>
        <w:gridCol w:w="201"/>
        <w:gridCol w:w="109"/>
        <w:gridCol w:w="109"/>
        <w:gridCol w:w="109"/>
        <w:gridCol w:w="196"/>
        <w:gridCol w:w="571"/>
        <w:gridCol w:w="109"/>
        <w:gridCol w:w="109"/>
        <w:gridCol w:w="109"/>
        <w:gridCol w:w="109"/>
        <w:gridCol w:w="234"/>
        <w:gridCol w:w="521"/>
        <w:gridCol w:w="131"/>
        <w:gridCol w:w="109"/>
        <w:gridCol w:w="109"/>
        <w:gridCol w:w="109"/>
        <w:gridCol w:w="196"/>
        <w:gridCol w:w="556"/>
        <w:gridCol w:w="109"/>
        <w:gridCol w:w="327"/>
        <w:gridCol w:w="196"/>
        <w:gridCol w:w="751"/>
        <w:gridCol w:w="109"/>
        <w:gridCol w:w="327"/>
        <w:gridCol w:w="196"/>
        <w:gridCol w:w="751"/>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0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Receivables on account of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 deficit</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1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January 1, 2019</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1,043,778 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15,779,322 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22,516,251 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7,685,190 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(190,274)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(196,035)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Cumulative-effect adjustment for adoption of ASU 2014-09</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Stock-based compensation expenses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2,322 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ordinary shares upon exercise of stock options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443,718 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Accretion of redeemable convertible preferred stock</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(9,749)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(15,572)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2019</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1,043,778 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15,779,322 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22,959,969 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7,685,190 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(210,281)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 expenses (as restated)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ordinary shares upon exercise of stock options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1,281,438 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Reclassification to equity of warrant to purchase common stock</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3,057 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ordinary shares upon business combination **)</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1,226,515 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2,578 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Accretion of redeemable convertible preferred stock</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 (as restated)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(58,763)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(58,763)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2020 (as restated)</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1,043,778 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15,779,322 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25,467,922 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7,685,190 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(263,283)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(260,656)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Represents an amount lower than $ 1.</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See Note 3.</w:t>
      </w:r>
    </w:p>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The accompanying notes are an integral part of the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7" w:before="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222250"/>
                <wp:effectExtent l="0" t="0" r="0" b="0"/>
                <wp:wrapNone/>
                <wp:docPr id="203" name="Frame19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F-6</w:t>
                      </w:r>
                    </w:p>
                  </w:txbxContent>
                </v:textbox>
              </v:rect>
            </w:pict>
          </mc:Fallback>
        </mc:AlternateContent>
      </w:r>
    </w:p>
    <w:tbl>
      <w:tblPr>
        <w:tblW w:w="4664" w:type="dxa"/>
        <w:jc w:val="left"/>
        <w:tblInd w:w="0" w:type="dxa"/>
        <w:tblCellMar>
          <w:top w:w="28" w:type="dxa"/>
          <w:left w:w="28" w:type="dxa"/>
          <w:bottom w:w="28" w:type="dxa"/>
          <w:right w:w="28" w:type="dxa"/>
        </w:tblCellMar>
      </w:tblPr>
      <w:tblGrid>
        <w:gridCol w:w="1494"/>
        <w:gridCol w:w="1311"/>
        <w:gridCol w:w="1859"/>
      </w:tblGrid>
      <w:tr>
        <w:trPr/>
        <w:tc>
          <w:tcPr>
            <w:tcW w:w="1494"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STATEMENT OF CASH FLOWS</w:t>
            </w:r>
          </w:p>
        </w:tc>
      </w:tr>
      <w:tr>
        <w:trPr/>
        <w:tc>
          <w:tcPr>
            <w:tcW w:w="4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U.S. dollars in thousands</w:t>
            </w:r>
          </w:p>
        </w:tc>
      </w:tr>
    </w:tbl>
    <w:tbl>
      <w:tblPr>
        <w:tblW w:w="10028" w:type="dxa"/>
        <w:jc w:val="left"/>
        <w:tblInd w:w="0" w:type="dxa"/>
        <w:tblCellMar>
          <w:top w:w="28" w:type="dxa"/>
          <w:left w:w="28" w:type="dxa"/>
          <w:bottom w:w="28" w:type="dxa"/>
          <w:right w:w="28" w:type="dxa"/>
        </w:tblCellMar>
      </w:tblPr>
      <w:tblGrid>
        <w:gridCol w:w="2680"/>
        <w:gridCol w:w="2348"/>
        <w:gridCol w:w="2366"/>
        <w:gridCol w:w="211"/>
        <w:gridCol w:w="811"/>
        <w:gridCol w:w="109"/>
        <w:gridCol w:w="109"/>
        <w:gridCol w:w="109"/>
        <w:gridCol w:w="109"/>
        <w:gridCol w:w="211"/>
        <w:gridCol w:w="811"/>
        <w:gridCol w:w="154"/>
      </w:tblGrid>
      <w:tr>
        <w:trPr/>
        <w:tc>
          <w:tcPr>
            <w:tcW w:w="2680" w:type="dxa"/>
            <w:tcBorders/>
            <w:shd w:fill="auto" w:val="clear"/>
            <w:vAlign w:val="center"/>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2020</w:t>
            </w:r>
          </w:p>
        </w:tc>
      </w:tr>
      <w:tr>
        <w:trPr/>
        <w:tc>
          <w:tcPr>
            <w:tcW w:w="7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u w:val="single"/>
              </w:rPr>
              <w:t>Cash flows from operating activities</w:t>
            </w:r>
            <w:r>
              <w:rPr>
                <w:rFonts w:ascii="Helvetica;sans-serif" w:hAnsi="Helvetica;sans-serif"/>
                <w:b w:val="false"/>
                <w:color w:val="000000"/>
                <w:sz w:val="20"/>
              </w:rPr>
              <w:t>:</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provided by operating activities: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amortization and abandonment costs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 based compensation expenses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deferred contract acquisition and fulfillment costs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fair value of warrants to purchase preferred and common stock</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Non-cash interest expenses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Decrease (increase) in trade receivables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prepaid expenses and other current assets and other assets, noncurrent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trade payables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(decrease) in accrued expenses and other current liabilities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employees and payroll accruals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Other liabilities, noncurrent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(decrease) in deferred revenue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u w:val="single"/>
              </w:rPr>
            </w:pPr>
            <w:r>
              <w:rPr>
                <w:rFonts w:ascii="Helvetica;sans-serif" w:hAnsi="Helvetica;sans-serif"/>
                <w:b w:val="false"/>
                <w:color w:val="000000"/>
                <w:sz w:val="20"/>
                <w:u w:val="single"/>
              </w:rPr>
              <w:t>Cash flows from investing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acquired in business combination</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Capitalized internal-use software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 of intangible assets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u w:val="single"/>
              </w:rPr>
            </w:pPr>
            <w:r>
              <w:rPr>
                <w:rFonts w:ascii="Helvetica;sans-serif" w:hAnsi="Helvetica;sans-serif"/>
                <w:b w:val="false"/>
                <w:color w:val="000000"/>
                <w:sz w:val="20"/>
                <w:u w:val="single"/>
              </w:rPr>
              <w:t>Cash flows from financing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long-term loans, net of debt issuance cost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Repayment of long-term loans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payments on finance leases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exercise of stock options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 of deferred offering costs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increase (decrease) in cash, cash equivalents and restricted cash</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at the beginning of the year</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at the end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Helvetica;sans-serif" w:hAnsi="Helvetica;sans-serif"/>
                <w:b w:val="false"/>
                <w:color w:val="000000"/>
                <w:sz w:val="20"/>
              </w:rPr>
              <w:t>(a)</w:t>
            </w:r>
            <w:r>
              <w:rPr>
                <w:rFonts w:ascii="Helvetica;sans-serif" w:hAnsi="Helvetica;sans-serif"/>
                <w:b w:val="false"/>
                <w:color w:val="000000"/>
                <w:sz w:val="20"/>
                <w:u w:val="single"/>
              </w:rPr>
              <w:t>Supplemental disclosure of non-cash activity</w:t>
            </w:r>
            <w:r>
              <w:rPr>
                <w:rFonts w:ascii="Helvetica;sans-serif" w:hAnsi="Helvetica;sans-serif"/>
                <w:b w:val="false"/>
                <w:color w:val="000000"/>
                <w:sz w:val="20"/>
              </w:rPr>
              <w:t>:</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 of property, equipment and intangible asset in credit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 of property and equipment by capital lease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Issuance of ordinary shares and warrant with respect to business combination</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07" w:before="0" w:after="180"/>
        <w:jc w:val="right"/>
        <w:rPr>
          <w:rFonts w:ascii="Helvetica;sans-serif" w:hAnsi="Helvetica;sans-serif"/>
          <w:b/>
          <w:color w:val="000000"/>
          <w:sz w:val="20"/>
        </w:rPr>
      </w:pPr>
      <w:r>
        <w:br w:type="page"/>
      </w: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222250"/>
                <wp:effectExtent l="0" t="0" r="0" b="0"/>
                <wp:wrapNone/>
                <wp:docPr id="204" name="Frame19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F-7</w:t>
                      </w:r>
                    </w:p>
                  </w:txbxContent>
                </v:textbox>
              </v:rect>
            </w:pict>
          </mc:Fallback>
        </mc:AlternateContent>
      </w:r>
    </w:p>
    <w:tbl>
      <w:tblPr>
        <w:tblW w:w="4664" w:type="dxa"/>
        <w:jc w:val="left"/>
        <w:tblInd w:w="0" w:type="dxa"/>
        <w:tblCellMar>
          <w:top w:w="28" w:type="dxa"/>
          <w:left w:w="28" w:type="dxa"/>
          <w:bottom w:w="28" w:type="dxa"/>
          <w:right w:w="28" w:type="dxa"/>
        </w:tblCellMar>
      </w:tblPr>
      <w:tblGrid>
        <w:gridCol w:w="1494"/>
        <w:gridCol w:w="1311"/>
        <w:gridCol w:w="1859"/>
      </w:tblGrid>
      <w:tr>
        <w:trPr/>
        <w:tc>
          <w:tcPr>
            <w:tcW w:w="1494"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CONSOLIDATED STATEMENT OF CASH FLOWS</w:t>
            </w:r>
          </w:p>
        </w:tc>
      </w:tr>
      <w:tr>
        <w:trPr/>
        <w:tc>
          <w:tcPr>
            <w:tcW w:w="4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U.S. dollars in thousands</w:t>
            </w:r>
          </w:p>
        </w:tc>
      </w:tr>
    </w:tbl>
    <w:tbl>
      <w:tblPr>
        <w:tblW w:w="10205" w:type="dxa"/>
        <w:jc w:val="left"/>
        <w:tblInd w:w="0" w:type="dxa"/>
        <w:tblCellMar>
          <w:top w:w="28" w:type="dxa"/>
          <w:left w:w="28" w:type="dxa"/>
          <w:bottom w:w="28" w:type="dxa"/>
          <w:right w:w="28" w:type="dxa"/>
        </w:tblCellMar>
      </w:tblPr>
      <w:tblGrid>
        <w:gridCol w:w="2830"/>
        <w:gridCol w:w="2426"/>
        <w:gridCol w:w="2434"/>
        <w:gridCol w:w="211"/>
        <w:gridCol w:w="751"/>
        <w:gridCol w:w="109"/>
        <w:gridCol w:w="109"/>
        <w:gridCol w:w="109"/>
        <w:gridCol w:w="109"/>
        <w:gridCol w:w="211"/>
        <w:gridCol w:w="751"/>
        <w:gridCol w:w="155"/>
      </w:tblGrid>
      <w:tr>
        <w:trPr/>
        <w:tc>
          <w:tcPr>
            <w:tcW w:w="2830"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24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2020</w:t>
            </w:r>
          </w:p>
        </w:tc>
      </w:tr>
      <w:tr>
        <w:trPr/>
        <w:tc>
          <w:tcPr>
            <w:tcW w:w="7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offering costs incurred during the period included in trade payables and accrued expenses and other current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Helvetica;sans-serif" w:hAnsi="Helvetica;sans-serif"/>
                <w:b w:val="false"/>
                <w:color w:val="000000"/>
                <w:sz w:val="20"/>
              </w:rPr>
              <w:t>(b)</w:t>
            </w:r>
            <w:r>
              <w:rPr>
                <w:rFonts w:ascii="Helvetica;sans-serif" w:hAnsi="Helvetica;sans-serif"/>
                <w:b w:val="false"/>
                <w:color w:val="000000"/>
                <w:sz w:val="20"/>
                <w:u w:val="single"/>
              </w:rPr>
              <w:t>Supplemental disclosure of cash flow information</w:t>
            </w:r>
            <w:r>
              <w:rPr>
                <w:rFonts w:ascii="Helvetica;sans-serif" w:hAnsi="Helvetica;sans-serif"/>
                <w:b w:val="false"/>
                <w:color w:val="000000"/>
                <w:sz w:val="20"/>
              </w:rPr>
              <w:t>:</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income taxes,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1,210 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interest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Helvetica;sans-serif" w:hAnsi="Helvetica;sans-serif"/>
                <w:b w:val="false"/>
                <w:color w:val="000000"/>
                <w:sz w:val="20"/>
              </w:rPr>
              <w:t>(c)</w:t>
            </w:r>
            <w:r>
              <w:rPr>
                <w:rFonts w:ascii="Helvetica;sans-serif" w:hAnsi="Helvetica;sans-serif"/>
                <w:b w:val="false"/>
                <w:color w:val="000000"/>
                <w:sz w:val="20"/>
                <w:u w:val="single"/>
              </w:rPr>
              <w:t>Reconciliation of cash, cash equivalents, and restricted cash to the consolidated balance sheet</w:t>
            </w:r>
            <w:r>
              <w:rPr>
                <w:rFonts w:ascii="Helvetica;sans-serif" w:hAnsi="Helvetica;sans-serif"/>
                <w:b w:val="false"/>
                <w:color w:val="000000"/>
                <w:sz w:val="20"/>
              </w:rPr>
              <w:t>:</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 noncurrent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28,355 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222250"/>
                <wp:effectExtent l="0" t="0" r="0" b="0"/>
                <wp:wrapNone/>
                <wp:docPr id="205" name="Frame19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F-8</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 GENERAL</w:t>
      </w:r>
    </w:p>
    <w:p>
      <w:pPr>
        <w:pStyle w:val="TextBody"/>
        <w:spacing w:lineRule="auto" w:line="288" w:before="0" w:after="180"/>
        <w:ind w:left="0" w:right="0" w:firstLine="360"/>
        <w:jc w:val="both"/>
        <w:rPr/>
      </w:pPr>
      <w:r>
        <w:rPr>
          <w:rFonts w:ascii="Helvetica;sans-serif" w:hAnsi="Helvetica;sans-serif"/>
          <w:b w:val="false"/>
          <w:color w:val="000000"/>
          <w:sz w:val="20"/>
        </w:rPr>
        <w:t>a.</w:t>
      </w:r>
      <w:r>
        <w:rPr>
          <w:rFonts w:ascii="Helvetica;sans-serif" w:hAnsi="Helvetica;sans-serif"/>
          <w:b w:val="false"/>
          <w:color w:val="000000"/>
          <w:sz w:val="20"/>
        </w:rPr>
        <w:t>Kaltura, Inc. ("the Company") was incorporated in October 2006 and commenced operations in January 2007. The Company's business operations are allocated between two main segments, Enterprise, Education and Technology &amp; Media and Telecom. The Company has developed a platform which is powering live, real-time, and on-demand video experiences. The Company's platform enables companies, educational institutions, and other organizations to cost-effectively launch advanced online video experiences, including Cloud TV solution, web video publishing, video-based teaching, learning and training, video-based marketing, and video-based collaboration. The Company’s core offerings consist of various Software-as-a-Service ("SaaS") products and solutions and a Platform-as-a-Service ("PaaS").</w:t>
      </w:r>
    </w:p>
    <w:p>
      <w:pPr>
        <w:pStyle w:val="TextBody"/>
        <w:spacing w:lineRule="auto" w:line="288" w:before="0" w:after="180"/>
        <w:ind w:left="0" w:right="0" w:firstLine="360"/>
        <w:jc w:val="both"/>
        <w:rPr/>
      </w:pPr>
      <w:r>
        <w:rPr>
          <w:rFonts w:ascii="Helvetica;sans-serif" w:hAnsi="Helvetica;sans-serif"/>
          <w:b w:val="false"/>
          <w:color w:val="000000"/>
          <w:sz w:val="20"/>
        </w:rPr>
        <w:t>b.</w:t>
      </w:r>
      <w:r>
        <w:rPr>
          <w:rFonts w:ascii="Helvetica;sans-serif" w:hAnsi="Helvetica;sans-serif"/>
          <w:b w:val="false"/>
          <w:color w:val="000000"/>
          <w:sz w:val="20"/>
        </w:rPr>
        <w:t xml:space="preserve">The Company has established a number of foreign subsidiaries: Kaltura Europe Ltd. ("Kaltura Europe") in the UK, Kaltura Ltd. ("Kaltura Israel"), Kaltura Brasil Internet Video Software e Servicos Ltda. ("Kaltura Brazil"), Kaltura Asia Pte. Ltd. ("Kaltura Singapore") and Kaltura Germany GmbH ("Kaltura Germany"). Kaltura Israel is engaged mainly in research and development activity and the rest of the subsidiaries are engaged mainly in sales and pre-sales activities.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2. SIGNIFICANT ACCOUNTING POLICIES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consolidated financial statements have been prepared in accordance with accounting principles generally accepted in the United States ("U.S. GAAP").</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Use of estimates: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stock-based compensation cost, fair value measurement of warrants, accretion of redeemable stocks, fair value and useful life of intangible assets, as well as in estimates used in applying the revenue recognition policy. The Company bases these estimates on historical and anticipated results, trends and various other assumptions that it believes are reasonable under the circumstances, including assumptions as to future events. Actual results could differ from those estimates.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novel coronavirus (“COVID-19”) pandemic has created, and may continue to create, significant uncertainty in macroeconomic conditions, and the extent of its impact on the Company’s operational and financial performance will depend on certain developments, including the duration and spread of the outbreak and the impact on the Company’s customers. The Company considered the impact of COVID-19 on the estimates and assumptions and determined that there were no material adverse impacts on the consolidated financial statements for the period ended December 31, 2020. As events continue to evolve and additional information becomes available, the Company’s estimates and assumptions may change materially in future periods.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w:t>
      </w:r>
    </w:p>
    <w:p>
      <w:pPr>
        <w:pStyle w:val="TextBody"/>
        <w:spacing w:lineRule="auto" w:line="288" w:before="120" w:after="180"/>
        <w:ind w:left="0" w:right="0" w:firstLine="360"/>
        <w:rPr/>
      </w:pPr>
      <w:r>
        <w:rPr>
          <w:rFonts w:ascii="Helvetica;sans-serif" w:hAnsi="Helvetica;sans-serif"/>
          <w:b/>
          <w:i/>
          <w:color w:val="000000"/>
          <w:sz w:val="20"/>
        </w:rPr>
        <w:t>b.</w:t>
      </w:r>
      <w:r>
        <w:rPr>
          <w:rFonts w:ascii="Helvetica;sans-serif" w:hAnsi="Helvetica;sans-serif"/>
          <w:b/>
          <w:i/>
          <w:color w:val="000000"/>
          <w:sz w:val="20"/>
        </w:rPr>
        <w:t>Financial statements in U.S. dollars: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majority of the Company's revenues are generated in U.S. dollars. In addition, the Company's equity financial facilities and convertible instruments were in U.S. dollars and a substantial portion of the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222250"/>
                <wp:effectExtent l="0" t="0" r="0" b="0"/>
                <wp:wrapNone/>
                <wp:docPr id="206" name="Frame20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F-9</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Company's costs are incurred in U.S. dollars. The Company's management believes that the U.S. dollar is the currency of the primary economic environment in which the Company operates. Thus, the functional and reporting currency of the Company and its subsidiaries is the U.S dollar.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Accordingly, monetary accounts maintained in currencies other than the U.S. dollar are remeasured into U.S. dollars in accordance with Statement of the Accounting Standard Codification ("ASC") 830 "Foreign Currency Matters" ("ASC 830"). All transaction gains and losses of the remeasured monetary balance sheet items are reflected in the statements of operations as financial income or expenses, as appropriate.</w:t>
      </w:r>
    </w:p>
    <w:p>
      <w:pPr>
        <w:pStyle w:val="TextBody"/>
        <w:spacing w:lineRule="auto" w:line="288" w:before="120" w:after="180"/>
        <w:ind w:left="0" w:right="0" w:firstLine="360"/>
        <w:rPr/>
      </w:pPr>
      <w:r>
        <w:rPr>
          <w:rFonts w:ascii="Helvetica;sans-serif" w:hAnsi="Helvetica;sans-serif"/>
          <w:b/>
          <w:i/>
          <w:color w:val="000000"/>
          <w:sz w:val="20"/>
        </w:rPr>
        <w:t>c.</w:t>
      </w:r>
      <w:r>
        <w:rPr>
          <w:rFonts w:ascii="Helvetica;sans-serif" w:hAnsi="Helvetica;sans-serif"/>
          <w:b/>
          <w:i/>
          <w:color w:val="000000"/>
          <w:sz w:val="20"/>
        </w:rPr>
        <w:t>Principles of consolidation: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consolidated financial statements include the accounts of the Company and its wholly owned subsidiaries. Intercompany transactions and balances have been eliminated upon consolidation.</w:t>
      </w:r>
    </w:p>
    <w:p>
      <w:pPr>
        <w:pStyle w:val="TextBody"/>
        <w:spacing w:lineRule="auto" w:line="288" w:before="120" w:after="180"/>
        <w:ind w:left="0" w:right="0" w:firstLine="360"/>
        <w:rPr/>
      </w:pPr>
      <w:r>
        <w:rPr>
          <w:rFonts w:ascii="Helvetica;sans-serif" w:hAnsi="Helvetica;sans-serif"/>
          <w:b/>
          <w:i/>
          <w:color w:val="000000"/>
          <w:sz w:val="20"/>
        </w:rPr>
        <w:t>d.</w:t>
      </w:r>
      <w:r>
        <w:rPr>
          <w:rFonts w:ascii="Helvetica;sans-serif" w:hAnsi="Helvetica;sans-serif"/>
          <w:b/>
          <w:i/>
          <w:color w:val="000000"/>
          <w:sz w:val="20"/>
        </w:rPr>
        <w:t>Unaudited Pro Forma Stockholders’ deficit: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presented unaudited pro forma stockholders' deficit as of December 31, 2020 in order to reflect the assumed effect on the balance sheet of (i) the assumed issuance of 5,974,515 shares of common stock pursuant to the automatic cashless exercise, immediately prior to the consummation of a qualified initial public offering ("IPO"), of a warrant to purchase shares of common stock held by Special Situations Investing Group II, LLC, an affiliate of Goldman Sachs &amp; Co. LLC (the "GS Warrant") (the "GS Warrant Exercise"), (ii) the automatic conversion of the outstanding convertible preferred stock and redeemable convertible preferred stock into 73,490,034 shares of common stock immediately prior to the consummation of an IPO, (iii) the automatic cashless exercise, immediately prior to the closing of an IPO, of a warrant to purchase shares of Series D redeemable convertible preferred stock (the "Series D Warrant") and warrants to purchase shares of Series E redeemable convertible preferred stock (the "Series E Warrants") which, after giving effect to the Preferred Stock Conversion, will result in the issuance of 233,282 and 378,131 shares of common stock, respectively, based on an assumed IPO price of  $15.00 per share (the midpoint of the price range set forth on the cover page of this prospectus) (together with the GS Warrant Exercise, the "Warrant Exercises"), and (iv) the forgiveness of the Employee Loan Agreements (see also Note 14c).</w:t>
      </w:r>
    </w:p>
    <w:p>
      <w:pPr>
        <w:pStyle w:val="TextBody"/>
        <w:spacing w:lineRule="auto" w:line="288" w:before="120" w:after="180"/>
        <w:ind w:left="0" w:right="0" w:firstLine="360"/>
        <w:rPr/>
      </w:pPr>
      <w:r>
        <w:rPr>
          <w:rFonts w:ascii="Helvetica;sans-serif" w:hAnsi="Helvetica;sans-serif"/>
          <w:b/>
          <w:i/>
          <w:color w:val="000000"/>
          <w:sz w:val="20"/>
        </w:rPr>
        <w:t>e.</w:t>
      </w:r>
      <w:r>
        <w:rPr>
          <w:rFonts w:ascii="Helvetica;sans-serif" w:hAnsi="Helvetica;sans-serif"/>
          <w:b/>
          <w:i/>
          <w:color w:val="000000"/>
          <w:sz w:val="20"/>
        </w:rPr>
        <w:t>Cash and cash equivalents: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Cash equivalents are short term, highly liquid investments that are readily convertible to cash with original maturities of three months or less, at the date acquired.</w:t>
      </w:r>
    </w:p>
    <w:p>
      <w:pPr>
        <w:pStyle w:val="TextBody"/>
        <w:spacing w:lineRule="auto" w:line="288" w:before="120" w:after="180"/>
        <w:ind w:left="0" w:right="0" w:firstLine="360"/>
        <w:rPr/>
      </w:pPr>
      <w:r>
        <w:rPr>
          <w:rFonts w:ascii="Helvetica;sans-serif" w:hAnsi="Helvetica;sans-serif"/>
          <w:b/>
          <w:i/>
          <w:color w:val="000000"/>
          <w:sz w:val="20"/>
        </w:rPr>
        <w:t>f.</w:t>
      </w:r>
      <w:r>
        <w:rPr>
          <w:rFonts w:ascii="Helvetica;sans-serif" w:hAnsi="Helvetica;sans-serif"/>
          <w:b/>
          <w:i/>
          <w:color w:val="000000"/>
          <w:sz w:val="20"/>
        </w:rPr>
        <w:t>Restricted cash: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Restricted cash is primarily invested in deposits held to maturity, stated at cost, which also approximates their fair value, and are used as security for the Company's liabilities. These deposits are used mainly as security for rent payments, capital leases and the Company's credit cards. Restricted cash is presented in the balance sheet as part of other assets, noncurrent.</w:t>
      </w:r>
    </w:p>
    <w:p>
      <w:pPr>
        <w:pStyle w:val="TextBody"/>
        <w:spacing w:lineRule="auto" w:line="288" w:before="120" w:after="180"/>
        <w:ind w:left="0" w:right="0" w:firstLine="360"/>
        <w:rPr/>
      </w:pPr>
      <w:r>
        <w:rPr>
          <w:rFonts w:ascii="Helvetica;sans-serif" w:hAnsi="Helvetica;sans-serif"/>
          <w:b/>
          <w:i/>
          <w:color w:val="000000"/>
          <w:sz w:val="20"/>
        </w:rPr>
        <w:t>g.</w:t>
      </w:r>
      <w:r>
        <w:rPr>
          <w:rFonts w:ascii="Helvetica;sans-serif" w:hAnsi="Helvetica;sans-serif"/>
          <w:b/>
          <w:i/>
          <w:color w:val="000000"/>
          <w:sz w:val="20"/>
        </w:rPr>
        <w:t>Trade receivables: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Trade receivables are recorded at the invoiced amount and amounts for which revenue has been recognized but not invoiced. The allowance for doubtful accounts is based on the Company's assessment 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222250"/>
                <wp:effectExtent l="0" t="0" r="0" b="0"/>
                <wp:wrapNone/>
                <wp:docPr id="207" name="Frame20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F-10</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amount of any receivables in dispute. There were no material write-offs for allowance of doubtful accounts recognized in the periods presented.</w:t>
      </w:r>
    </w:p>
    <w:p>
      <w:pPr>
        <w:pStyle w:val="TextBody"/>
        <w:spacing w:lineRule="auto" w:line="288" w:before="120" w:after="180"/>
        <w:ind w:left="0" w:right="0" w:firstLine="360"/>
        <w:rPr/>
      </w:pPr>
      <w:r>
        <w:rPr>
          <w:rFonts w:ascii="Helvetica;sans-serif" w:hAnsi="Helvetica;sans-serif"/>
          <w:b/>
          <w:i/>
          <w:color w:val="000000"/>
          <w:sz w:val="20"/>
        </w:rPr>
        <w:t>h.</w:t>
      </w:r>
      <w:r>
        <w:rPr>
          <w:rFonts w:ascii="Helvetica;sans-serif" w:hAnsi="Helvetica;sans-serif"/>
          <w:b/>
          <w:i/>
          <w:color w:val="000000"/>
          <w:sz w:val="20"/>
        </w:rPr>
        <w:t>Property and equipment, net: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are stated at cost, net of accumulated depreciation. Depreciation is calculated using the straight-line method over the estimated useful lives of the assets:</w:t>
      </w:r>
    </w:p>
    <w:tbl>
      <w:tblPr>
        <w:tblW w:w="9133" w:type="dxa"/>
        <w:jc w:val="left"/>
        <w:tblInd w:w="0" w:type="dxa"/>
        <w:tblCellMar>
          <w:top w:w="28" w:type="dxa"/>
          <w:left w:w="28" w:type="dxa"/>
          <w:bottom w:w="28" w:type="dxa"/>
          <w:right w:w="28" w:type="dxa"/>
        </w:tblCellMar>
      </w:tblPr>
      <w:tblGrid>
        <w:gridCol w:w="1195"/>
        <w:gridCol w:w="1049"/>
        <w:gridCol w:w="1055"/>
        <w:gridCol w:w="1701"/>
        <w:gridCol w:w="1701"/>
        <w:gridCol w:w="2432"/>
      </w:tblGrid>
      <w:tr>
        <w:trPr/>
        <w:tc>
          <w:tcPr>
            <w:tcW w:w="1195"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Years</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peripheral equipment</w:t>
            </w:r>
          </w:p>
        </w:tc>
        <w:tc>
          <w:tcPr>
            <w:tcW w:w="58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Office furniture and equipment</w:t>
            </w:r>
          </w:p>
        </w:tc>
        <w:tc>
          <w:tcPr>
            <w:tcW w:w="58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7-15</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58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Over the shorter of the related lease period or the life of the asset</w:t>
            </w:r>
          </w:p>
        </w:tc>
      </w:tr>
    </w:tbl>
    <w:p>
      <w:pPr>
        <w:pStyle w:val="TextBody"/>
        <w:spacing w:lineRule="auto" w:line="288" w:before="120" w:after="180"/>
        <w:ind w:left="0" w:right="0" w:firstLine="360"/>
        <w:rPr/>
      </w:pPr>
      <w:r>
        <w:rPr>
          <w:rFonts w:ascii="Helvetica;sans-serif" w:hAnsi="Helvetica;sans-serif"/>
          <w:b/>
          <w:i/>
          <w:color w:val="000000"/>
          <w:sz w:val="20"/>
        </w:rPr>
        <w:t>i.</w:t>
      </w:r>
      <w:r>
        <w:rPr>
          <w:rFonts w:ascii="Helvetica;sans-serif" w:hAnsi="Helvetica;sans-serif"/>
          <w:b/>
          <w:i/>
          <w:color w:val="000000"/>
          <w:sz w:val="20"/>
        </w:rPr>
        <w:t>Impairment of long-lived assets: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long-lived assets of the Company are reviewed for impairment in accordance with ASC 360, "Property, Plant and Equipment" ("ASC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2019 and 2020, no impairment losses were identified.</w:t>
      </w:r>
    </w:p>
    <w:p>
      <w:pPr>
        <w:pStyle w:val="TextBody"/>
        <w:spacing w:lineRule="auto" w:line="288" w:before="120" w:after="180"/>
        <w:ind w:left="0" w:right="0" w:firstLine="360"/>
        <w:rPr/>
      </w:pPr>
      <w:r>
        <w:rPr>
          <w:rFonts w:ascii="Helvetica;sans-serif" w:hAnsi="Helvetica;sans-serif"/>
          <w:b/>
          <w:i/>
          <w:color w:val="000000"/>
          <w:sz w:val="20"/>
        </w:rPr>
        <w:t>j.</w:t>
      </w:r>
      <w:r>
        <w:rPr>
          <w:rFonts w:ascii="Helvetica;sans-serif" w:hAnsi="Helvetica;sans-serif"/>
          <w:b/>
          <w:i/>
          <w:color w:val="000000"/>
          <w:sz w:val="20"/>
        </w:rPr>
        <w:t xml:space="preserve">Intangible assets, net: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Intangible assets consist primarily of customer relationships, technology and trade name. The intangible assets amortized over their estimated useful lives in proportion to the economic benefits realized. Intangible assets consist primarily of customer relationships, technology and trade name. The intangible assets are amortized over their estimated useful lives in proportion to the economic benefits realized.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for the intangible assets was recognized over the following periods:</w:t>
      </w:r>
    </w:p>
    <w:tbl>
      <w:tblPr>
        <w:tblW w:w="2700" w:type="dxa"/>
        <w:jc w:val="left"/>
        <w:tblInd w:w="0" w:type="dxa"/>
        <w:tblCellMar>
          <w:top w:w="28" w:type="dxa"/>
          <w:left w:w="28" w:type="dxa"/>
          <w:bottom w:w="28" w:type="dxa"/>
          <w:right w:w="28" w:type="dxa"/>
        </w:tblCellMar>
      </w:tblPr>
      <w:tblGrid>
        <w:gridCol w:w="765"/>
        <w:gridCol w:w="673"/>
        <w:gridCol w:w="676"/>
        <w:gridCol w:w="171"/>
        <w:gridCol w:w="171"/>
        <w:gridCol w:w="244"/>
      </w:tblGrid>
      <w:tr>
        <w:trPr/>
        <w:tc>
          <w:tcPr>
            <w:tcW w:w="76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Years</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7-9</w:t>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5-8</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Tradename</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w:t>
            </w:r>
          </w:p>
        </w:tc>
      </w:tr>
    </w:tbl>
    <w:p>
      <w:pPr>
        <w:pStyle w:val="TextBody"/>
        <w:spacing w:lineRule="auto" w:line="288" w:before="120" w:after="180"/>
        <w:ind w:left="0" w:right="0" w:firstLine="360"/>
        <w:rPr/>
      </w:pPr>
      <w:r>
        <w:rPr>
          <w:rFonts w:ascii="Helvetica;sans-serif" w:hAnsi="Helvetica;sans-serif"/>
          <w:b/>
          <w:i/>
          <w:color w:val="000000"/>
          <w:sz w:val="20"/>
        </w:rPr>
        <w:t>k.</w:t>
      </w:r>
      <w:r>
        <w:rPr>
          <w:rFonts w:ascii="Helvetica;sans-serif" w:hAnsi="Helvetica;sans-serif"/>
          <w:b/>
          <w:i/>
          <w:color w:val="000000"/>
          <w:sz w:val="20"/>
        </w:rPr>
        <w:t>Goodwill: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represents the excess of the purchase price over the fair value of net assets acquired in business combinations using the acquisition method of accounting, which requires that the assets acquired and liabilities assumed be recorded at the date of acquisition at their respective fair values.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Goodwill is subject to an impairment test at the reporting unit level on an annual basis (or more frequently if impairment indicators arise). The Company identified two reporting units based on the guidance of ASC 350, "Intangibles – Goodwill and Other". ASC 350 prescribes a two-phase process for impairment testing of goodwill. The first phase screens for impairment, while the second phase (if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222250"/>
                <wp:effectExtent l="0" t="0" r="0" b="0"/>
                <wp:wrapNone/>
                <wp:docPr id="208" name="Frame20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F-11</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necessary) measures impairment. Goodwill impairment is deemed to exist if the net book value of a reporting unit exceeds its estimated fair value. In such case, the second phase is then performed, and the Company measures impairment by comparing the carrying amount of the reporting unit's goodwill to the implied fair value of that goodwill. An impairment loss is recognized in an amount equal to the excess. As of December 31, 2019, the entire goodwill amount was allocated to the Media and Telecom segment. Following an acquisition in 2020, the acquired goodwill was allocated to the Enterprise, Education and Technology segment. For the years ended December 31, 2019 and 2020, no impairment was identified.</w:t>
      </w:r>
    </w:p>
    <w:p>
      <w:pPr>
        <w:pStyle w:val="TextBody"/>
        <w:spacing w:lineRule="auto" w:line="288" w:before="120" w:after="180"/>
        <w:ind w:left="0" w:right="0" w:firstLine="360"/>
        <w:rPr/>
      </w:pPr>
      <w:r>
        <w:rPr>
          <w:rFonts w:ascii="Helvetica;sans-serif" w:hAnsi="Helvetica;sans-serif"/>
          <w:b/>
          <w:i/>
          <w:color w:val="000000"/>
          <w:sz w:val="20"/>
        </w:rPr>
        <w:t>l.</w:t>
      </w:r>
      <w:r>
        <w:rPr>
          <w:rFonts w:ascii="Helvetica;sans-serif" w:hAnsi="Helvetica;sans-serif"/>
          <w:b/>
          <w:i/>
          <w:color w:val="000000"/>
          <w:sz w:val="20"/>
        </w:rPr>
        <w:t xml:space="preserve">Leases: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Leases are classified at the inception date as either a capital lease or an operating lease. The Company assesses a lease to be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were an acquisition of an asset and an incurrence of an obligation at the inception of the lease. The Company recorded capital lease agreements related mainly to servers and storage.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All other leases are accounted for as operating leases wherein rental payments are expensed on a straight line basis over the periods of their respective lease terms.</w:t>
      </w:r>
    </w:p>
    <w:p>
      <w:pPr>
        <w:pStyle w:val="TextBody"/>
        <w:spacing w:lineRule="auto" w:line="288" w:before="120" w:after="180"/>
        <w:ind w:left="0" w:right="0" w:firstLine="360"/>
        <w:rPr/>
      </w:pPr>
      <w:r>
        <w:rPr>
          <w:rFonts w:ascii="Helvetica;sans-serif" w:hAnsi="Helvetica;sans-serif"/>
          <w:b/>
          <w:i/>
          <w:color w:val="000000"/>
          <w:sz w:val="20"/>
        </w:rPr>
        <w:t>m.</w:t>
      </w:r>
      <w:r>
        <w:rPr>
          <w:rFonts w:ascii="Helvetica;sans-serif" w:hAnsi="Helvetica;sans-serif"/>
          <w:b/>
          <w:i/>
          <w:color w:val="000000"/>
          <w:sz w:val="20"/>
        </w:rPr>
        <w:t>Warrants to purchase preferred and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Warrants to purchase the Company's redeemable convertible preferred stock are classified as a liability on the balance sheet and measured at fair value at each reporting date.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Warrants to purchase the Company`s common stock are presented as equity, unless they are redeemable and classified as a liability.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warrants classified as a liability, the Company measures the warrants at fair value by applying the Option Pricing Method ("OPM") in each reporting period until they are exercised or expired, with changes in the fair value being recognized in the Company's statement of operations.</w:t>
      </w:r>
    </w:p>
    <w:p>
      <w:pPr>
        <w:pStyle w:val="TextBody"/>
        <w:spacing w:lineRule="auto" w:line="288" w:before="120" w:after="180"/>
        <w:ind w:left="0" w:right="0" w:firstLine="360"/>
        <w:rPr/>
      </w:pPr>
      <w:r>
        <w:rPr>
          <w:rFonts w:ascii="Helvetica;sans-serif" w:hAnsi="Helvetica;sans-serif"/>
          <w:b/>
          <w:i/>
          <w:color w:val="000000"/>
          <w:sz w:val="20"/>
        </w:rPr>
        <w:t>n.</w:t>
      </w:r>
      <w:r>
        <w:rPr>
          <w:rFonts w:ascii="Helvetica;sans-serif" w:hAnsi="Helvetica;sans-serif"/>
          <w:b/>
          <w:i/>
          <w:color w:val="000000"/>
          <w:sz w:val="20"/>
        </w:rPr>
        <w:t>Severance pay: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majority of Kaltura Israel’s agreements with its employees in Israel are in accordance with section 14 of the Israeli Severance Pay Law. Upon contribution of the full amount of the employee's monthly salary and release of the policy to the employee, no additional legal obligation exists between the parties and no additional payments are made by the Company to the employee; therefore related assets and liabilities are not presented in the balance sheet.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Kaltura Israel employees who are not subject to section 14, the Company calculated the liability for severance pay pursuant to the Severance Pay Law based on the most recent salary of these employees multiplied by the number of years of employment as of the balance sheet date. Kaltura Israel’s liability for these employees is fully provided for via monthly deposits with severance pay funds, insurance policies and an accrual. The value of these deposits is recorded as an asset on the Company's balance sheet in other assets, noncurrent.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Severance expenses recorded in Kaltura Israel for the years ended December 31, 2019 and 2020 amounted to $ 2,212 and $ 2,565, respectively.</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222250"/>
                <wp:effectExtent l="0" t="0" r="0" b="0"/>
                <wp:wrapNone/>
                <wp:docPr id="209" name="Frame20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F-12</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employees in the U.S. receive severance benefits in the event of an involuntary termination that increase in accordance with their tenure and base salary. The Company accounts for postemployment benefits in accordance with ASC Topic No. 712, Compensation – Nonretirement Postemployment Benefits. These benefits, primarily severance, are not accrued until the amount can be reasonably estimated.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Severance expenses recorded in the U.S. for the years ended December 31, 2019 and 2020 were immaterial. </w:t>
      </w:r>
    </w:p>
    <w:p>
      <w:pPr>
        <w:pStyle w:val="TextBody"/>
        <w:spacing w:lineRule="auto" w:line="288" w:before="120" w:after="180"/>
        <w:ind w:left="0" w:right="0" w:firstLine="360"/>
        <w:rPr/>
      </w:pPr>
      <w:r>
        <w:rPr>
          <w:rFonts w:ascii="Helvetica;sans-serif" w:hAnsi="Helvetica;sans-serif"/>
          <w:b/>
          <w:i/>
          <w:color w:val="000000"/>
          <w:sz w:val="20"/>
        </w:rPr>
        <w:t>o.</w:t>
      </w:r>
      <w:r>
        <w:rPr>
          <w:rFonts w:ascii="Helvetica;sans-serif" w:hAnsi="Helvetica;sans-serif"/>
          <w:b/>
          <w:i/>
          <w:color w:val="000000"/>
          <w:sz w:val="20"/>
        </w:rPr>
        <w:t>Israeli employees defined contribution plan: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has established a pension contribution plan with respect to Kaltura Israel employees. Under the plan, Kaltura Israel contributed up to 6.5% of each employee's monthly salary toward the plan. Employees are entitled to amounts accumulated in the plan upon reaching retirement age, subject to any applicable law.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Defined contribution pension plan expenses for the years ended December 31, 2019 and 2020 amounted to $ 1,722 and $ 2,061, respectively.</w:t>
      </w:r>
    </w:p>
    <w:p>
      <w:pPr>
        <w:pStyle w:val="TextBody"/>
        <w:spacing w:lineRule="auto" w:line="288" w:before="120" w:after="180"/>
        <w:ind w:left="0" w:right="0" w:firstLine="360"/>
        <w:rPr/>
      </w:pPr>
      <w:r>
        <w:rPr>
          <w:rFonts w:ascii="Helvetica;sans-serif" w:hAnsi="Helvetica;sans-serif"/>
          <w:b/>
          <w:i/>
          <w:color w:val="000000"/>
          <w:sz w:val="20"/>
        </w:rPr>
        <w:t>p.</w:t>
      </w:r>
      <w:r>
        <w:rPr>
          <w:rFonts w:ascii="Helvetica;sans-serif" w:hAnsi="Helvetica;sans-serif"/>
          <w:b/>
          <w:i/>
          <w:color w:val="000000"/>
          <w:sz w:val="20"/>
        </w:rPr>
        <w:t>Deferred offering costs: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Deferred offering costs consist primarily of accounting, legal, and other fees related to the Company’s proposed IPO. Upon consummation of the IPO, the deferred offering costs will be reclassified to stockholders’ deficit and recorded against the proceeds from the offering. In the event the offering is aborted, deferred offering costs will be expensed. The Company capitalized $1,082 of deferred offering costs within other assets, noncurrent in the consolidated balance sheet as of December 31, 2020. No offering costs were capitalized as of December 31, 2019.</w:t>
      </w:r>
    </w:p>
    <w:p>
      <w:pPr>
        <w:pStyle w:val="TextBody"/>
        <w:spacing w:lineRule="auto" w:line="288" w:before="120" w:after="180"/>
        <w:ind w:left="0" w:right="0" w:firstLine="360"/>
        <w:rPr/>
      </w:pPr>
      <w:r>
        <w:rPr>
          <w:rFonts w:ascii="Helvetica;sans-serif" w:hAnsi="Helvetica;sans-serif"/>
          <w:b/>
          <w:i/>
          <w:color w:val="000000"/>
          <w:sz w:val="20"/>
        </w:rPr>
        <w:t>q.</w:t>
      </w:r>
      <w:r>
        <w:rPr>
          <w:rFonts w:ascii="Helvetica;sans-serif" w:hAnsi="Helvetica;sans-serif"/>
          <w:b/>
          <w:i/>
          <w:color w:val="000000"/>
          <w:sz w:val="20"/>
        </w:rPr>
        <w:t>Revenue recognition: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1, 2019, the Company adopted ASU No. 2014-09, Revenue from Contracts with Customers (Topic 606), using the modified retrospective method applied to those contracts that were not completed as of January 1, 2019. Results for reporting periods beginning after January 1, 2019 are presented under ASU No. 2014-09. The most significant impacts of the standard on the Company`s financial statements were the accounting for revenue from term licenses and the accounting for costs to obtain a contract. In connection with the adoption of the new revenue recognition accounting standard, the Company decreased its accumulated deficit by $ 8,606. Upon adoption, the Company deferred $ 6,190 of previously expensed contract costs and accelerated the recognition of $ 2,416 of deferred revenues.</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Performance obligations and timing of revenue recognition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provides Subscriptions to its Video Experience Cloud, which powers live, real-time, and on-demand video experiences. The Company provides access to its platform either as a cloud-based service ("SaaS" or "PaaS") or, less commonly, as a license to software installed on the customer's premises ("On-Prem") all together defined as subscriptions in the statement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222250"/>
                <wp:effectExtent l="0" t="0" r="0" b="0"/>
                <wp:wrapNone/>
                <wp:docPr id="210" name="Frame20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F-13</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from post-contract services ("PCS") included in On-Prem projects is recognized ratably over the time of the PCS.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some of the Company's arrangements, Professional Services ("PS") are accounted for as a separate performance obligation, and revenue will be recognized upon rendering the service. However, in some of the Company’s SaaS and PaaS arrangements the Company determined that the PS are solely set up activities that do not transfer goods or services to the customer and therefore are not accounted for as a separate performance obligation.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the Company has elected to apply the practical expedient for financing component for transactions in which the difference between the payment date and the revenue recognition timing is up to 12 months.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When applicable, the Company allocates the transaction price between the separate performance obligations according to their standalone selling price (“SSP”), which is based on the price at which the performance obligation is sold separately. If the SSP is not observable through past transactions, the Company estimates the SSP taking into account available information, including, but not limited to, pricing practices, market conditions, and the economic life of the software.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receives payments from customers based upon contractual billing schedules, usually net 30 days from the invoice date.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records trade receivables and related contract liabilities for non-cancelable contracts with customers when the right to consideration is unconditional. </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Contract costs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Some of the sales commissions and bonuses earned by the Company's employees and management are considered incremental and recoverable costs of obtaining a contract with a customer. Sales commissions and bonuses for new contracts are deferred and then amortized consistently with the pattern of revenue recognition for each performance obligation for contracts for which the commissions were earned, mainly on a straight-line basis, over a period of benefit that the Company has estimated to be mainly five years. This period of benefit was determined by taking into consideration the technology's useful life and other factors.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Sales bonuses for renewal contracts are deferred and then amortized on a straight-line basis over the related contractual renewal period.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classifies deferred costs as current or noncurrent based on the timing of when the Company expects to recognize the expense.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Amortization of sales commissions are consistent with the pattern of revenue recognition of each performance obligation and are included mainly in sales and marketing expense in the consolidated statements of operations.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applied the practical expedient in ASC 606 to expense costs as incurred for costs to obtain a contract with a customer when the amortization period would have been one year or less.</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222250"/>
                <wp:effectExtent l="0" t="0" r="0" b="0"/>
                <wp:wrapNone/>
                <wp:docPr id="211" name="Frame20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F-14</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periodically reviews these deferred contract acquisition costs to determine whether events or changes in circumstances have occurred that could impact the period of benefit. There were no impairment losses recorded during the period presented.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capitalizes costs incurred to fulfill its contracts when the costs relate directly to a contract and are expected to generate resources that will be used to satisfy the performance obligation under the contract and are expected to be recovered through revenues generated under the contract. Costs to fulfill contracts are expensed to cost of revenue on a straight-line basis over a period of five years which reflects the technological useful life.</w:t>
      </w:r>
    </w:p>
    <w:p>
      <w:pPr>
        <w:pStyle w:val="TextBody"/>
        <w:spacing w:lineRule="auto" w:line="288" w:before="120" w:after="180"/>
        <w:ind w:left="0" w:right="0" w:firstLine="360"/>
        <w:rPr/>
      </w:pPr>
      <w:r>
        <w:rPr>
          <w:rFonts w:ascii="Helvetica;sans-serif" w:hAnsi="Helvetica;sans-serif"/>
          <w:b/>
          <w:i/>
          <w:color w:val="000000"/>
          <w:sz w:val="20"/>
        </w:rPr>
        <w:t>r.</w:t>
      </w:r>
      <w:r>
        <w:rPr>
          <w:rFonts w:ascii="Helvetica;sans-serif" w:hAnsi="Helvetica;sans-serif"/>
          <w:b/>
          <w:i/>
          <w:color w:val="000000"/>
          <w:sz w:val="20"/>
        </w:rPr>
        <w:t>Cost of revenue: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Cost of SaaS and PaaS subscription, support and professional services revenues primarily consists of costs related to supporting and hosting the Company’s product offerings and delivery of its professional services.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costs include salaries, benefits, incentive compensation and stock-based compensation expenses related to the management of the Company’s data centers, the Company's customer support team and professional services staff.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these expenses, the Company incurs third-party service provider costs such as cloud infrastructure, data center and content delivery network expenses, rent expenses, depreciation expenses and amortization of acquired intangible assets and capitalized development costs. The Company allocates overhead costs such as rent, utilities and supplies to all departments based on relative headcount. As such, general overhead expenses are reflected in the cost of revenue in addition to each operating expense category.</w:t>
      </w:r>
    </w:p>
    <w:p>
      <w:pPr>
        <w:pStyle w:val="TextBody"/>
        <w:spacing w:lineRule="auto" w:line="288" w:before="120" w:after="180"/>
        <w:ind w:left="0" w:right="0" w:firstLine="360"/>
        <w:rPr/>
      </w:pPr>
      <w:r>
        <w:rPr>
          <w:rFonts w:ascii="Helvetica;sans-serif" w:hAnsi="Helvetica;sans-serif"/>
          <w:b/>
          <w:i/>
          <w:color w:val="000000"/>
          <w:sz w:val="20"/>
        </w:rPr>
        <w:t>s.</w:t>
      </w:r>
      <w:r>
        <w:rPr>
          <w:rFonts w:ascii="Helvetica;sans-serif" w:hAnsi="Helvetica;sans-serif"/>
          <w:b/>
          <w:i/>
          <w:color w:val="000000"/>
          <w:sz w:val="20"/>
        </w:rPr>
        <w:t>Research and development costs: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Research and development costs are charged to the statements of operations as incurred, except to the extent that such costs are associated with internal-use software that qualifies for capitalization.</w:t>
      </w:r>
    </w:p>
    <w:p>
      <w:pPr>
        <w:pStyle w:val="TextBody"/>
        <w:spacing w:lineRule="auto" w:line="288" w:before="120" w:after="180"/>
        <w:ind w:left="0" w:right="0" w:firstLine="360"/>
        <w:rPr/>
      </w:pPr>
      <w:r>
        <w:rPr>
          <w:rFonts w:ascii="Helvetica;sans-serif" w:hAnsi="Helvetica;sans-serif"/>
          <w:b/>
          <w:i/>
          <w:color w:val="000000"/>
          <w:sz w:val="20"/>
        </w:rPr>
        <w:t>t.</w:t>
      </w:r>
      <w:r>
        <w:rPr>
          <w:rFonts w:ascii="Helvetica;sans-serif" w:hAnsi="Helvetica;sans-serif"/>
          <w:b/>
          <w:i/>
          <w:color w:val="000000"/>
          <w:sz w:val="20"/>
        </w:rPr>
        <w:t>Internal-use software;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Costs incurred to develop internal-use software are capitalized and amortized over the estimated useful life of the software, which is generally five years. In accordance with ASC Topic, 350-40, "Internal-Use Software," capitalization of costs to develop internal-use software begins when preliminary development efforts are successfully completed, the Company has committed project funding and it is probable that the project will be completed, and the software will be used as intended. Costs related to the maintenance of internal-use software are expensed as incurred.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periodically reviews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Capitalized internal-use software costs are recorded under property and equipment, net.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When events or changes in circumstances require, the Company assesses the likelihood of recovering the cost of internal-use software. If the net book value is not expected to be fully recoverable, internal-use software would be impaired to its fair value. During the years ended December 31, 2019 and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222250"/>
                <wp:effectExtent l="0" t="0" r="0" b="0"/>
                <wp:wrapNone/>
                <wp:docPr id="212" name="Frame20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F-15</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2020, the Company capitalized $249 and $1,893 of software development costs, respectively. No impairment was recorded for the years ended December 31, 2019 and 2020.</w:t>
      </w:r>
    </w:p>
    <w:p>
      <w:pPr>
        <w:pStyle w:val="TextBody"/>
        <w:spacing w:lineRule="auto" w:line="288" w:before="120" w:after="180"/>
        <w:ind w:left="0" w:right="0" w:firstLine="360"/>
        <w:rPr/>
      </w:pPr>
      <w:r>
        <w:rPr>
          <w:rFonts w:ascii="Helvetica;sans-serif" w:hAnsi="Helvetica;sans-serif"/>
          <w:b/>
          <w:i/>
          <w:color w:val="000000"/>
          <w:sz w:val="20"/>
        </w:rPr>
        <w:t>u.</w:t>
      </w:r>
      <w:r>
        <w:rPr>
          <w:rFonts w:ascii="Helvetica;sans-serif" w:hAnsi="Helvetica;sans-serif"/>
          <w:b/>
          <w:i/>
          <w:color w:val="000000"/>
          <w:sz w:val="20"/>
        </w:rPr>
        <w:t>Advertising costs: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Advertising costs are expensed as incurred and include marketing activities, demand generation, events, public relations and brand-building activities. Advertising costs for the years ended December 31, 2019 and 2020 amounted to $ 2,156 and $ 3,143, respectively, and are included in sales and marketing expenses in the consolidated statements of operations.</w:t>
      </w:r>
    </w:p>
    <w:p>
      <w:pPr>
        <w:pStyle w:val="TextBody"/>
        <w:spacing w:lineRule="auto" w:line="288" w:before="120" w:after="180"/>
        <w:ind w:left="0" w:right="0" w:firstLine="360"/>
        <w:rPr/>
      </w:pPr>
      <w:r>
        <w:rPr>
          <w:rFonts w:ascii="Helvetica;sans-serif" w:hAnsi="Helvetica;sans-serif"/>
          <w:b/>
          <w:i/>
          <w:color w:val="000000"/>
          <w:sz w:val="20"/>
        </w:rPr>
        <w:t>v.</w:t>
      </w:r>
      <w:r>
        <w:rPr>
          <w:rFonts w:ascii="Helvetica;sans-serif" w:hAnsi="Helvetica;sans-serif"/>
          <w:b/>
          <w:i/>
          <w:color w:val="000000"/>
          <w:sz w:val="20"/>
        </w:rPr>
        <w:t>Stock-based compensation:</w:t>
      </w:r>
    </w:p>
    <w:p>
      <w:pPr>
        <w:pStyle w:val="TextBody"/>
        <w:spacing w:lineRule="auto" w:line="288" w:before="120" w:after="180"/>
        <w:ind w:left="0" w:right="0" w:firstLine="450"/>
        <w:rPr>
          <w:rFonts w:ascii="Helvetica;sans-serif" w:hAnsi="Helvetica;sans-serif"/>
          <w:b w:val="false"/>
          <w:i/>
          <w:color w:val="000000"/>
          <w:sz w:val="20"/>
        </w:rPr>
      </w:pPr>
      <w:r>
        <w:rPr>
          <w:rFonts w:ascii="Helvetica;sans-serif" w:hAnsi="Helvetica;sans-serif"/>
          <w:b w:val="false"/>
          <w:i/>
          <w:color w:val="000000"/>
          <w:sz w:val="20"/>
        </w:rPr>
        <w:t>Service-based 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accounts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the Company's consolidated statements of operations.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selected the Black-Scholes option-pricing model as the most appropriate fair value method for its option awards. The option-pricing model requires a number of assumptions, of which the most significant are the fair value of its common stock, the expected stock price volatility, expected option term, risk-free interest rates and expected dividend yield.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fair value of common stock underlying the options has historically been determined by management and the Company's Board of Directors. Because there has been no public market for the Company's common stock, the Board of Directors has determined fair value of a common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common stock will be determined by the Board of Directors until such time as the Company's common stocks are listed on an established stock exchange.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Company's Board of Directors determined the fair value of common stock based on valuations performed using the OPM for the years ended December 31, 2019 and 2020.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compensation cost for options and stock awards that have a graded vesting schedule and contain only service condition on a straight-line basis over the requisite service period for the entire award. Forfeitures are accounted for as they occur.</w:t>
      </w:r>
    </w:p>
    <w:p>
      <w:pPr>
        <w:pStyle w:val="TextBody"/>
        <w:spacing w:lineRule="auto" w:line="288" w:before="120" w:after="180"/>
        <w:ind w:left="0" w:right="0" w:firstLine="360"/>
        <w:rPr>
          <w:rFonts w:ascii="Helvetica;sans-serif" w:hAnsi="Helvetica;sans-serif"/>
          <w:b w:val="false"/>
          <w:i/>
          <w:color w:val="000000"/>
          <w:sz w:val="20"/>
        </w:rPr>
      </w:pPr>
      <w:r>
        <w:rPr>
          <w:rFonts w:ascii="Helvetica;sans-serif" w:hAnsi="Helvetica;sans-serif"/>
          <w:b w:val="false"/>
          <w:i/>
          <w:color w:val="000000"/>
          <w:sz w:val="20"/>
        </w:rPr>
        <w:t>Market-based 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granted three of its executives stock options that vest only upon the satisfaction of market-based conditions. The market-based conditions reflect specific prices for the Company’s common stock, which must be exceeded for each tranche of the grant to vest.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market-based awards, the Company determines the grant-date fair value utilizing a Monte Carlo simulation model, which incorporates various assumptions including expected stock price volatility, risk-free interest rates, expected exercise behavior for vested options, expected date of a qualifying event and expected form and timing of a liquidity event. The Company estimates the volatility of the common stock on the date of grant based on the weighted average historical stock price volatility of comparable publicly-</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222250"/>
                <wp:effectExtent l="0" t="0" r="0" b="0"/>
                <wp:wrapNone/>
                <wp:docPr id="213" name="Frame20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F-16</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compensation expenses for the value of its market-based awards based on the accelerated attribution method over the estimated requisite service period of each of the awards. The Company has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pStyle w:val="TextBody"/>
        <w:spacing w:lineRule="auto" w:line="288" w:before="120" w:after="180"/>
        <w:ind w:left="0" w:right="0" w:firstLine="360"/>
        <w:rPr/>
      </w:pPr>
      <w:r>
        <w:rPr>
          <w:rFonts w:ascii="Helvetica;sans-serif" w:hAnsi="Helvetica;sans-serif"/>
          <w:b/>
          <w:i/>
          <w:color w:val="000000"/>
          <w:sz w:val="20"/>
        </w:rPr>
        <w:t>w.</w:t>
      </w:r>
      <w:r>
        <w:rPr>
          <w:rFonts w:ascii="Helvetica;sans-serif" w:hAnsi="Helvetica;sans-serif"/>
          <w:b/>
          <w:i/>
          <w:color w:val="000000"/>
          <w:sz w:val="20"/>
        </w:rPr>
        <w:t>Business combination: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accounted for business combination in accordance with ASC 805, "Business combinations". ASC 805 requires recognition of assets acquired, liabilities assumed, and any non-controlling interest at the acquisition date, measured at fair values as of that date. Any excess of the fair value of net assets acquired over purchase price and any subsequent changes in estimated contingencies are to be recorded in earnings.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Acquisition related costs are expensed to the statement of operations in the period incurred.</w:t>
      </w:r>
    </w:p>
    <w:p>
      <w:pPr>
        <w:pStyle w:val="TextBody"/>
        <w:spacing w:lineRule="auto" w:line="288" w:before="120" w:after="180"/>
        <w:ind w:left="0" w:right="0" w:firstLine="360"/>
        <w:rPr/>
      </w:pPr>
      <w:r>
        <w:rPr>
          <w:rFonts w:ascii="Helvetica;sans-serif" w:hAnsi="Helvetica;sans-serif"/>
          <w:b/>
          <w:i/>
          <w:color w:val="000000"/>
          <w:sz w:val="20"/>
        </w:rPr>
        <w:t>x.</w:t>
      </w:r>
      <w:r>
        <w:rPr>
          <w:rFonts w:ascii="Helvetica;sans-serif" w:hAnsi="Helvetica;sans-serif"/>
          <w:b/>
          <w:i/>
          <w:color w:val="000000"/>
          <w:sz w:val="20"/>
        </w:rPr>
        <w:t>Income taxes: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accounts for income taxes in accordance with ASC 740, "Income Taxes". This codification prescribes the use of the asset and liability method whereby deferred tax asset and liability account balances are determined based on differences between financial reporting and tax bases of assets and liabilities and for carry-forward tax losses. Deferred taxes are measured using the enacted tax rates and laws that will be in effect when the differences are expected to reverse. The Company provides a valuation allowance, if necessary, to reduce deferred tax assets to their estimated realizable value if it is more likely than not that some portion or all of the deferred tax asset will not be realized.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accounts for uncertain tax positions in accordance with the provisions of ASC 740,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tax benefits recognized in the consolidated financial statements from such a position should be measured based on the largest benefit that has a greater than fifty percent likelihood of being realized upon ultimate settlement. Accordingly, the Company reports a liability for unrecognized tax benefits resulting from uncertain tax positions taken or expected to be taken in a tax return (see also Note 15).</w:t>
      </w:r>
    </w:p>
    <w:p>
      <w:pPr>
        <w:pStyle w:val="TextBody"/>
        <w:spacing w:lineRule="auto" w:line="288" w:before="120" w:after="180"/>
        <w:ind w:left="0" w:right="0" w:firstLine="360"/>
        <w:rPr/>
      </w:pPr>
      <w:r>
        <w:rPr>
          <w:rFonts w:ascii="Helvetica;sans-serif" w:hAnsi="Helvetica;sans-serif"/>
          <w:b/>
          <w:i/>
          <w:color w:val="000000"/>
          <w:sz w:val="20"/>
        </w:rPr>
        <w:t>y.</w:t>
      </w:r>
      <w:r>
        <w:rPr>
          <w:rFonts w:ascii="Helvetica;sans-serif" w:hAnsi="Helvetica;sans-serif"/>
          <w:b/>
          <w:i/>
          <w:color w:val="000000"/>
          <w:sz w:val="20"/>
        </w:rPr>
        <w:t>Net loss per share attributable to Common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computes net loss per share using the two-class method required for participating securities. The two-class method requires income available to common stockholder for the period to be allocated between common stock and participating securities based upon their respective rights to receive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222250"/>
                <wp:effectExtent l="0" t="0" r="0" b="0"/>
                <wp:wrapNone/>
                <wp:docPr id="214" name="Frame20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F-17</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dividends as if all income for the period had been distributed. The Company considers its convertible preferred stock to be participating securities as the holders of the convertible preferred stock would be entitled to dividends that would be distributed to the holders of common stock, on a pro-rata basis, assuming the conversion of all outstanding shares of convertible preferred stock into common stock. These participating securities do not contractually require the holders of such stock to participate in the Company’s losses. As such, net loss for the periods presented was not allocated to the Company’s participating securities. The Company’s basic net loss per share is calculated by dividing net loss attributable to common stockholders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common stock are anti-dilutive.</w:t>
      </w:r>
    </w:p>
    <w:p>
      <w:pPr>
        <w:pStyle w:val="TextBody"/>
        <w:spacing w:lineRule="auto" w:line="288" w:before="120" w:after="180"/>
        <w:ind w:left="0" w:right="0" w:firstLine="360"/>
        <w:rPr/>
      </w:pPr>
      <w:r>
        <w:rPr>
          <w:rFonts w:ascii="Helvetica;sans-serif" w:hAnsi="Helvetica;sans-serif"/>
          <w:b/>
          <w:i/>
          <w:color w:val="000000"/>
          <w:sz w:val="20"/>
        </w:rPr>
        <w:t>z.</w:t>
      </w:r>
      <w:r>
        <w:rPr>
          <w:rFonts w:ascii="Helvetica;sans-serif" w:hAnsi="Helvetica;sans-serif"/>
          <w:b/>
          <w:i/>
          <w:color w:val="000000"/>
          <w:sz w:val="20"/>
        </w:rPr>
        <w:t>Unaudited pro forma net loss per share attributable to Common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unaudited pro forma basic and diluted net loss per share attributable to common stockholders for the year ended December 31, 2020 has been prepared to give effect to the occurrence of (i) the Warrant Exercises, (ii) the Preferred Stock Conversion, (iii) the Series C Warrant Conversion (in each case, as defined in note 2(d) above), and (iv) the forgiveness of the Employee Loan Agreements (see also Note 14c). The Company has calculated unaudited pro forma basic and diluted net loss per share attributable to common stockholders giving effect to the impact of the foregoing events using the if-converted method, as though each such event had occurred as of the beginning of the period or the original date of issuance of the applicable security, if later. This calculation does not give effect to any shares of common stock to be issued in the IPO.</w:t>
      </w:r>
    </w:p>
    <w:p>
      <w:pPr>
        <w:pStyle w:val="TextBody"/>
        <w:spacing w:lineRule="auto" w:line="288" w:before="120" w:after="180"/>
        <w:ind w:left="0" w:right="0" w:firstLine="360"/>
        <w:rPr/>
      </w:pPr>
      <w:r>
        <w:rPr>
          <w:rFonts w:ascii="Helvetica;sans-serif" w:hAnsi="Helvetica;sans-serif"/>
          <w:b/>
          <w:i/>
          <w:color w:val="000000"/>
          <w:sz w:val="20"/>
        </w:rPr>
        <w:t>aa.</w:t>
      </w:r>
      <w:r>
        <w:rPr>
          <w:rFonts w:ascii="Helvetica;sans-serif" w:hAnsi="Helvetica;sans-serif"/>
          <w:b/>
          <w:i/>
          <w:color w:val="000000"/>
          <w:sz w:val="20"/>
        </w:rPr>
        <w:t>Concentration of credit risks: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instruments that potentially subject the Company to concentrations of credit risk consist principally of cash and cash equivalents, restricted cash and trade receivables.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trade receivables are geographically dispersed and derived from sales to customers mainly in the United States, Europe and Asia. Concentration of credit risk with respect to trade receivables is limited by credit limits, ongoing credit evaluation and account monitoring procedures.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Major customer data as a percentage of total revenues: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a customer that represented 10% or more of the Company’s total revenue in each of the periods set forth below:</w:t>
      </w:r>
    </w:p>
    <w:tbl>
      <w:tblPr>
        <w:tblW w:w="5802" w:type="dxa"/>
        <w:jc w:val="left"/>
        <w:tblInd w:w="0" w:type="dxa"/>
        <w:tblCellMar>
          <w:top w:w="28" w:type="dxa"/>
          <w:left w:w="28" w:type="dxa"/>
          <w:bottom w:w="28" w:type="dxa"/>
          <w:right w:w="28" w:type="dxa"/>
        </w:tblCellMar>
      </w:tblPr>
      <w:tblGrid>
        <w:gridCol w:w="1103"/>
        <w:gridCol w:w="969"/>
        <w:gridCol w:w="973"/>
        <w:gridCol w:w="323"/>
        <w:gridCol w:w="323"/>
        <w:gridCol w:w="444"/>
        <w:gridCol w:w="169"/>
        <w:gridCol w:w="169"/>
        <w:gridCol w:w="169"/>
        <w:gridCol w:w="323"/>
        <w:gridCol w:w="323"/>
        <w:gridCol w:w="514"/>
      </w:tblGrid>
      <w:tr>
        <w:trPr/>
        <w:tc>
          <w:tcPr>
            <w:tcW w:w="110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A (Media and Telecom)</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12.01 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120" w:after="180"/>
        <w:jc w:val="right"/>
        <w:rPr>
          <w:rFonts w:ascii="Helvetica;sans-serif" w:hAnsi="Helvetica;sans-serif"/>
          <w:b/>
          <w:color w:val="000000"/>
          <w:sz w:val="20"/>
        </w:rPr>
      </w:pPr>
      <w:r>
        <w:br w:type="page"/>
      </w: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222250"/>
                <wp:effectExtent l="0" t="0" r="0" b="0"/>
                <wp:wrapNone/>
                <wp:docPr id="215" name="Frame20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F-18</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120" w:after="180"/>
        <w:ind w:left="0" w:right="0" w:firstLine="360"/>
        <w:rPr/>
      </w:pPr>
      <w:r>
        <w:rPr>
          <w:rFonts w:ascii="Helvetica;sans-serif" w:hAnsi="Helvetica;sans-serif"/>
          <w:b/>
          <w:i/>
          <w:color w:val="000000"/>
          <w:sz w:val="20"/>
        </w:rPr>
        <w:t>ab.</w:t>
      </w:r>
      <w:r>
        <w:rPr>
          <w:rFonts w:ascii="Helvetica;sans-serif" w:hAnsi="Helvetica;sans-serif"/>
          <w:b/>
          <w:i/>
          <w:color w:val="000000"/>
          <w:sz w:val="20"/>
        </w:rPr>
        <w:t>Fair value of financial instruments: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ASC 820, "Fair Value Measurements and Disclosures", defines fair value as the price that would be received to sell an asset or paid to transfer a liability (i.e., the "exit price") in an orderly transaction between market participants at the measurement date.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basis for considering such assumptions, ASC 820 establishes a three-tier value hierarchy, which prioritizes the inputs used in the valuation methodologies in measuring fair value:</w:t>
      </w:r>
    </w:p>
    <w:tbl>
      <w:tblPr>
        <w:tblW w:w="10205" w:type="dxa"/>
        <w:jc w:val="left"/>
        <w:tblInd w:w="0" w:type="dxa"/>
        <w:tblCellMar>
          <w:top w:w="28" w:type="dxa"/>
          <w:left w:w="28" w:type="dxa"/>
          <w:bottom w:w="28" w:type="dxa"/>
          <w:right w:w="28" w:type="dxa"/>
        </w:tblCellMar>
      </w:tblPr>
      <w:tblGrid>
        <w:gridCol w:w="238"/>
        <w:gridCol w:w="209"/>
        <w:gridCol w:w="211"/>
        <w:gridCol w:w="2878"/>
        <w:gridCol w:w="2755"/>
        <w:gridCol w:w="3914"/>
      </w:tblGrid>
      <w:tr>
        <w:trPr/>
        <w:tc>
          <w:tcPr>
            <w:tcW w:w="2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3914" w:type="dxa"/>
            <w:tcBorders/>
            <w:shd w:fill="auto" w:val="clear"/>
            <w:vAlign w:val="center"/>
          </w:tcPr>
          <w:p>
            <w:pPr>
              <w:pStyle w:val="TableContents"/>
              <w:spacing w:before="0" w:after="283"/>
              <w:rPr>
                <w:sz w:val="4"/>
                <w:szCs w:val="4"/>
              </w:rPr>
            </w:pPr>
            <w:r>
              <w:rPr>
                <w:sz w:val="4"/>
                <w:szCs w:val="4"/>
              </w:rPr>
            </w:r>
          </w:p>
        </w:tc>
      </w:tr>
      <w:tr>
        <w:trPr/>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Level 1 -</w:t>
            </w:r>
          </w:p>
        </w:tc>
        <w:tc>
          <w:tcPr>
            <w:tcW w:w="9547"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tc>
      </w:tr>
      <w:tr>
        <w:trPr/>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Level 2 -</w:t>
            </w:r>
          </w:p>
        </w:tc>
        <w:tc>
          <w:tcPr>
            <w:tcW w:w="9547"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Valuations based on one or more quoted prices in markets that are not active or for which all significant inputs are observable, either directly or indirectly.</w:t>
            </w:r>
          </w:p>
        </w:tc>
      </w:tr>
      <w:tr>
        <w:trPr/>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Level 3 -</w:t>
            </w:r>
          </w:p>
        </w:tc>
        <w:tc>
          <w:tcPr>
            <w:tcW w:w="9547"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 xml:space="preserve">Valuations based on inputs that are unobservable and significant to the overall fair value measurement. </w:t>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carrying amounts of cash and cash equivalents, restricted cash, trade receivables, prepaid expenses and other current assets, employees and payroll accruals, trade payables, accrued expenses and other current liabilities, current portion of long-term loans and current portion of long-term lease approximate their fair value due to the short-term maturities of such instruments.</w:t>
      </w:r>
    </w:p>
    <w:p>
      <w:pPr>
        <w:pStyle w:val="TextBody"/>
        <w:spacing w:lineRule="auto" w:line="288" w:before="120" w:after="180"/>
        <w:ind w:left="0" w:right="0" w:firstLine="360"/>
        <w:rPr/>
      </w:pPr>
      <w:r>
        <w:rPr>
          <w:rFonts w:ascii="Helvetica;sans-serif" w:hAnsi="Helvetica;sans-serif"/>
          <w:b/>
          <w:i/>
          <w:color w:val="000000"/>
          <w:sz w:val="20"/>
        </w:rPr>
        <w:t>ac.</w:t>
      </w:r>
      <w:r>
        <w:rPr>
          <w:rFonts w:ascii="Helvetica;sans-serif" w:hAnsi="Helvetica;sans-serif"/>
          <w:b/>
          <w:i/>
          <w:color w:val="000000"/>
          <w:sz w:val="20"/>
        </w:rPr>
        <w:t>Legal contingencies:</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From time to time, the Company or one of its subsidiaries become involved in legal proceedings or is subject to claims arising in its ordinary course of business. Such matters are generally subject to many uncertainties and outcomes and are not predictable with assurance. The Company accrues for contingencies when the loss is probable and it can reasonably estimate the amount of any such loss (see also Note 10). </w:t>
      </w:r>
    </w:p>
    <w:p>
      <w:pPr>
        <w:pStyle w:val="TextBody"/>
        <w:spacing w:lineRule="auto" w:line="288" w:before="120" w:after="180"/>
        <w:ind w:left="0" w:right="0" w:firstLine="360"/>
        <w:rPr/>
      </w:pPr>
      <w:r>
        <w:rPr>
          <w:rFonts w:ascii="Helvetica;sans-serif" w:hAnsi="Helvetica;sans-serif"/>
          <w:b/>
          <w:i/>
          <w:color w:val="000000"/>
          <w:sz w:val="20"/>
        </w:rPr>
        <w:t>ad.</w:t>
      </w:r>
      <w:r>
        <w:rPr>
          <w:rFonts w:ascii="Helvetica;sans-serif" w:hAnsi="Helvetica;sans-serif"/>
          <w:b/>
          <w:i/>
          <w:color w:val="000000"/>
          <w:sz w:val="20"/>
        </w:rPr>
        <w:t>Recently issued accounting pronouncements not yet adopted:</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222250"/>
                <wp:effectExtent l="0" t="0" r="0" b="0"/>
                <wp:wrapNone/>
                <wp:docPr id="216" name="Frame21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F-19</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ind w:left="0" w:right="0" w:firstLine="360"/>
        <w:jc w:val="both"/>
        <w:rPr/>
      </w:pPr>
      <w:r>
        <w:rPr>
          <w:rFonts w:ascii="Helvetica;sans-serif" w:hAnsi="Helvetica;sans-serif"/>
          <w:b w:val="false"/>
          <w:color w:val="000000"/>
          <w:sz w:val="20"/>
          <w:highlight w:val="white"/>
        </w:rPr>
        <w:t xml:space="preserve">In February 2016, the FASB issued ASU No. 2016-02, </w:t>
      </w:r>
      <w:r>
        <w:rPr>
          <w:rFonts w:ascii="Helvetica;sans-serif" w:hAnsi="Helvetica;sans-serif"/>
          <w:b w:val="false"/>
          <w:i/>
          <w:color w:val="000000"/>
          <w:sz w:val="20"/>
        </w:rPr>
        <w:t>Leases</w:t>
      </w:r>
      <w:r>
        <w:rPr>
          <w:rFonts w:ascii="Helvetica;sans-serif" w:hAnsi="Helvetica;sans-serif"/>
          <w:b w:val="false"/>
          <w:color w:val="000000"/>
          <w:sz w:val="20"/>
          <w:highlight w:val="white"/>
        </w:rPr>
        <w:t xml:space="preserve">,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w:t>
      </w:r>
    </w:p>
    <w:p>
      <w:pPr>
        <w:pStyle w:val="TextBody"/>
        <w:spacing w:lineRule="auto" w:line="288" w:before="0" w:after="180"/>
        <w:ind w:left="0" w:right="0" w:firstLine="360"/>
        <w:jc w:val="both"/>
        <w:rPr/>
      </w:pPr>
      <w:r>
        <w:rPr>
          <w:rFonts w:ascii="Helvetica;sans-serif" w:hAnsi="Helvetica;sans-serif"/>
          <w:b w:val="false"/>
          <w:color w:val="000000"/>
          <w:sz w:val="20"/>
          <w:highlight w:val="white"/>
        </w:rPr>
        <w:t xml:space="preserve">In June 2020, the FASB issued ASU No. 2020-05, </w:t>
      </w:r>
      <w:r>
        <w:rPr>
          <w:rFonts w:ascii="Helvetica;sans-serif" w:hAnsi="Helvetica;sans-serif"/>
          <w:b w:val="false"/>
          <w:i/>
          <w:color w:val="000000"/>
          <w:sz w:val="20"/>
        </w:rPr>
        <w:t>Revenue from Contracts with Customers (Topic 606) and Leases (Topic 842): Effective Dates for Certain Entities</w:t>
      </w:r>
      <w:r>
        <w:rPr>
          <w:rFonts w:ascii="Helvetica;sans-serif" w:hAnsi="Helvetica;sans-serif"/>
          <w:b w:val="false"/>
          <w:color w:val="000000"/>
          <w:sz w:val="20"/>
          <w:highlight w:val="white"/>
        </w:rPr>
        <w:t xml:space="preserve">, which defers the effective date of ASU 2016-02 for non-public entities to fiscal years beginning after December 15, 2021, and interim periods within fiscal years beginning after December 15, 2022. The guidance will be effective for the Company beginning January 1, 2022, and interim periods in fiscal years beginning January 1, 2023. </w:t>
      </w:r>
    </w:p>
    <w:p>
      <w:pPr>
        <w:pStyle w:val="TextBody"/>
        <w:spacing w:lineRule="auto" w:line="288" w:before="0" w:after="180"/>
        <w:ind w:left="0" w:right="0" w:firstLine="360"/>
        <w:jc w:val="both"/>
        <w:rPr/>
      </w:pPr>
      <w:r>
        <w:rPr>
          <w:rFonts w:ascii="Helvetica;sans-serif" w:hAnsi="Helvetica;sans-serif"/>
          <w:b w:val="false"/>
          <w:color w:val="000000"/>
          <w:sz w:val="20"/>
          <w:highlight w:val="white"/>
        </w:rPr>
        <w:t>The</w:t>
      </w:r>
      <w:r>
        <w:rPr>
          <w:color w:val="000000"/>
        </w:rPr>
        <w:t xml:space="preserve"> </w:t>
      </w:r>
      <w:r>
        <w:rPr>
          <w:rFonts w:ascii="Helvetica;sans-serif" w:hAnsi="Helvetica;sans-serif"/>
          <w:b w:val="false"/>
          <w:color w:val="000000"/>
          <w:sz w:val="20"/>
          <w:highlight w:val="white"/>
        </w:rPr>
        <w:t>Company is currently evaluating the effect that ASU 2016-02 will have on its consolidated financial statements and related disclosures.</w:t>
      </w:r>
    </w:p>
    <w:p>
      <w:pPr>
        <w:pStyle w:val="TextBody"/>
        <w:spacing w:lineRule="auto" w:line="288" w:before="0" w:after="180"/>
        <w:ind w:left="0" w:right="0" w:firstLine="360"/>
        <w:jc w:val="both"/>
        <w:rPr/>
      </w:pPr>
      <w:r>
        <w:rPr>
          <w:rFonts w:ascii="Helvetica;sans-serif" w:hAnsi="Helvetica;sans-serif"/>
          <w:b w:val="false"/>
          <w:color w:val="000000"/>
          <w:sz w:val="20"/>
          <w:highlight w:val="white"/>
        </w:rPr>
        <w:t xml:space="preserve">In June 2016, the FASB issued ASU No. 2016-13, </w:t>
      </w:r>
      <w:r>
        <w:rPr>
          <w:rFonts w:ascii="Helvetica;sans-serif" w:hAnsi="Helvetica;sans-serif"/>
          <w:b w:val="false"/>
          <w:i/>
          <w:color w:val="000000"/>
          <w:sz w:val="20"/>
        </w:rPr>
        <w:t>Financial Instruments – Credit Losses (Topic 326): Measurement of Credit Losses on Financial Instruments</w:t>
      </w:r>
      <w:r>
        <w:rPr>
          <w:rFonts w:ascii="Helvetica;sans-serif" w:hAnsi="Helvetica;sans-serif"/>
          <w:b w:val="false"/>
          <w:color w:val="000000"/>
          <w:sz w:val="20"/>
          <w:highlight w:val="white"/>
        </w:rPr>
        <w:t>,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w:t>
      </w:r>
      <w:r>
        <w:rPr>
          <w:rFonts w:ascii="Helvetica;sans-serif" w:hAnsi="Helvetica;sans-serif"/>
          <w:b w:val="false"/>
          <w:color w:val="000000"/>
          <w:sz w:val="20"/>
        </w:rPr>
        <w:t>he Company is currently evaluating the effect</w:t>
      </w:r>
      <w:r>
        <w:rPr>
          <w:color w:val="000000"/>
          <w:highlight w:val="white"/>
        </w:rPr>
        <w:t xml:space="preserve"> </w:t>
      </w:r>
      <w:r>
        <w:rPr>
          <w:rFonts w:ascii="Helvetica;sans-serif" w:hAnsi="Helvetica;sans-serif"/>
          <w:b w:val="false"/>
          <w:color w:val="000000"/>
          <w:sz w:val="20"/>
          <w:highlight w:val="white"/>
        </w:rPr>
        <w:t>that ASU 2016-13 will have on its consolidated financial statements and related disclosures.</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2020; early adoption is permitted.</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Company doesn’t expect that ASU 2017-04 will have an impact on its consolidated financial statements and related disclosures.</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In December 2019, the FASB issued ASU No. 2019-12, Income Taxes (Topic 740): Simplifying the Accounting for Income Taxes, which simplifies the accounting for income taxes by removing a variety of exceptions within the framework of ASC 740.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222250"/>
                <wp:effectExtent l="0" t="0" r="0" b="0"/>
                <wp:wrapNone/>
                <wp:docPr id="217" name="Frame21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F-20</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2. SIGNIFICANT ACCOUNTING POLICIES (Cont.)</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3. ACQUISITIONS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March 2020, the Company acquired all of the issued and outstanding capital stock of Newrow, Inc., a Delaware privately held corporation (“Newrow”), through a share exchange agreement. Newrow develops and sells real-time video communication software solutions. The acquisition is intended to support the Company's plans to continue strengthening its technological capabilities and the depth of its product offering. The acquisition has been accounted for as a business combination. The total purchase price was $3,799 paid through issuance of 1,226,515 shares of the Company's common stock. In addition, there is a contingent consideration comprised of a warrant to purchase up to 613,255 shares of the Company's common stock subject to certain performance targets.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accounted for this transaction as a business combination and allocated the purchase consideration to assets acquired and liabilities assumed based on preliminary estimated fair values, as presented in the following table:</w:t>
      </w:r>
    </w:p>
    <w:tbl>
      <w:tblPr>
        <w:tblW w:w="4985" w:type="dxa"/>
        <w:jc w:val="left"/>
        <w:tblInd w:w="0" w:type="dxa"/>
        <w:tblCellMar>
          <w:top w:w="28" w:type="dxa"/>
          <w:left w:w="28" w:type="dxa"/>
          <w:bottom w:w="28" w:type="dxa"/>
          <w:right w:w="28" w:type="dxa"/>
        </w:tblCellMar>
      </w:tblPr>
      <w:tblGrid>
        <w:gridCol w:w="1438"/>
        <w:gridCol w:w="1267"/>
        <w:gridCol w:w="1269"/>
        <w:gridCol w:w="211"/>
        <w:gridCol w:w="646"/>
        <w:gridCol w:w="154"/>
      </w:tblGrid>
      <w:tr>
        <w:trPr/>
        <w:tc>
          <w:tcPr>
            <w:tcW w:w="1438"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 to purchase common stock</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purchase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Identified intangible assets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liabilities assumed, net of cash acquired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acquired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Helvetica;sans-serif" w:hAnsi="Helvetica;sans-serif"/>
          <w:b w:val="false"/>
          <w:color w:val="000000"/>
          <w:sz w:val="20"/>
          <w:highlight w:val="white"/>
        </w:rPr>
        <w:t xml:space="preserve">Goodwill of $1,689, none of which is deductible for tax purposes, was recorded in connection with the </w:t>
      </w:r>
      <w:r>
        <w:rPr>
          <w:rFonts w:ascii="Helvetica;sans-serif" w:hAnsi="Helvetica;sans-serif"/>
          <w:b w:val="false"/>
          <w:color w:val="000000"/>
          <w:sz w:val="20"/>
        </w:rPr>
        <w:t>Newrow</w:t>
      </w:r>
      <w:r>
        <w:rPr>
          <w:color w:val="000000"/>
          <w:highlight w:val="white"/>
        </w:rPr>
        <w:t xml:space="preserve"> </w:t>
      </w:r>
      <w:r>
        <w:rPr>
          <w:rFonts w:ascii="Helvetica;sans-serif" w:hAnsi="Helvetica;sans-serif"/>
          <w:b w:val="false"/>
          <w:color w:val="000000"/>
          <w:sz w:val="20"/>
          <w:highlight w:val="white"/>
        </w:rPr>
        <w:t>acquisition, and was primarily attributed to synergies arising from the acquisition and the value of the acquired workforce.</w:t>
      </w:r>
      <w:r>
        <w:rPr>
          <w:color w:val="000000"/>
        </w:rPr>
        <w:t xml:space="preserve"> </w:t>
      </w:r>
      <w:r>
        <w:rPr>
          <w:rFonts w:ascii="Helvetica;sans-serif" w:hAnsi="Helvetica;sans-serif"/>
          <w:b w:val="false"/>
          <w:color w:val="000000"/>
          <w:sz w:val="20"/>
        </w:rPr>
        <w:t>The goodwill was allocated to the Enterprise, Education and Technology segment.</w:t>
      </w:r>
    </w:p>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following table presents details of the identified intangible assets acquired:</w:t>
      </w:r>
    </w:p>
    <w:tbl>
      <w:tblPr>
        <w:tblW w:w="5252" w:type="dxa"/>
        <w:jc w:val="left"/>
        <w:tblInd w:w="0" w:type="dxa"/>
        <w:tblCellMar>
          <w:top w:w="28" w:type="dxa"/>
          <w:left w:w="28" w:type="dxa"/>
          <w:bottom w:w="28" w:type="dxa"/>
          <w:right w:w="28" w:type="dxa"/>
        </w:tblCellMar>
      </w:tblPr>
      <w:tblGrid>
        <w:gridCol w:w="766"/>
        <w:gridCol w:w="673"/>
        <w:gridCol w:w="676"/>
        <w:gridCol w:w="211"/>
        <w:gridCol w:w="646"/>
        <w:gridCol w:w="109"/>
        <w:gridCol w:w="109"/>
        <w:gridCol w:w="109"/>
        <w:gridCol w:w="109"/>
        <w:gridCol w:w="540"/>
        <w:gridCol w:w="540"/>
        <w:gridCol w:w="764"/>
      </w:tblGrid>
      <w:tr>
        <w:trPr/>
        <w:tc>
          <w:tcPr>
            <w:tcW w:w="76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Estimated Useful Life</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 years</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Customers relationship</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 years</w:t>
            </w:r>
          </w:p>
        </w:tc>
      </w:tr>
      <w:tr>
        <w:trPr/>
        <w:tc>
          <w:tcPr>
            <w:tcW w:w="2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Transaction costs incurred by the Company in connection with the Newrow acquisition were approximately $78 and $91 as of December 31, 2019 and 2020, respectively and were recorded within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222250"/>
                <wp:effectExtent l="0" t="0" r="0" b="0"/>
                <wp:wrapNone/>
                <wp:docPr id="218" name="Frame21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F-21</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283"/>
        <w:jc w:val="both"/>
        <w:rPr>
          <w:rFonts w:ascii="Helvetica;sans-serif" w:hAnsi="Helvetica;sans-serif"/>
          <w:b/>
          <w:color w:val="000000"/>
          <w:sz w:val="20"/>
        </w:rPr>
      </w:pPr>
      <w:r>
        <w:rPr>
          <w:rFonts w:ascii="Helvetica;sans-serif" w:hAnsi="Helvetica;sans-serif"/>
          <w:b/>
          <w:color w:val="000000"/>
          <w:sz w:val="20"/>
        </w:rPr>
        <w:t>NOTE 3. ACQUISITIONS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 and administrative expenses in the consolidated statements of operations. Pro-forma results of operations for this acquisition have not been presented because they are not material to the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4. PREPAID EXPENSES AND OTHER CURRENT ASSETS</w:t>
      </w:r>
    </w:p>
    <w:tbl>
      <w:tblPr>
        <w:tblW w:w="4493" w:type="dxa"/>
        <w:jc w:val="left"/>
        <w:tblInd w:w="0" w:type="dxa"/>
        <w:tblCellMar>
          <w:top w:w="28" w:type="dxa"/>
          <w:left w:w="28" w:type="dxa"/>
          <w:bottom w:w="28" w:type="dxa"/>
          <w:right w:w="28" w:type="dxa"/>
        </w:tblCellMar>
      </w:tblPr>
      <w:tblGrid>
        <w:gridCol w:w="792"/>
        <w:gridCol w:w="697"/>
        <w:gridCol w:w="700"/>
        <w:gridCol w:w="211"/>
        <w:gridCol w:w="646"/>
        <w:gridCol w:w="109"/>
        <w:gridCol w:w="109"/>
        <w:gridCol w:w="109"/>
        <w:gridCol w:w="109"/>
        <w:gridCol w:w="211"/>
        <w:gridCol w:w="646"/>
        <w:gridCol w:w="154"/>
      </w:tblGrid>
      <w:tr>
        <w:trPr/>
        <w:tc>
          <w:tcPr>
            <w:tcW w:w="79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Government institutions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Deposit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5. PROPERTY AND EQUIPMENT, NET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Composition of property and equipment is as follows:</w:t>
      </w:r>
    </w:p>
    <w:tbl>
      <w:tblPr>
        <w:tblW w:w="7089" w:type="dxa"/>
        <w:jc w:val="left"/>
        <w:tblInd w:w="0" w:type="dxa"/>
        <w:tblCellMar>
          <w:top w:w="28" w:type="dxa"/>
          <w:left w:w="28" w:type="dxa"/>
          <w:bottom w:w="28" w:type="dxa"/>
          <w:right w:w="28" w:type="dxa"/>
        </w:tblCellMar>
      </w:tblPr>
      <w:tblGrid>
        <w:gridCol w:w="1728"/>
        <w:gridCol w:w="1517"/>
        <w:gridCol w:w="1540"/>
        <w:gridCol w:w="211"/>
        <w:gridCol w:w="646"/>
        <w:gridCol w:w="109"/>
        <w:gridCol w:w="109"/>
        <w:gridCol w:w="109"/>
        <w:gridCol w:w="109"/>
        <w:gridCol w:w="211"/>
        <w:gridCol w:w="646"/>
        <w:gridCol w:w="154"/>
      </w:tblGrid>
      <w:tr>
        <w:trPr/>
        <w:tc>
          <w:tcPr>
            <w:tcW w:w="1728"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peripheral equipment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Office furniture and equipment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 leases of computers and peripheral equipment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 use software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depreciation</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Depreciated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expenses for the years ended December 31, 2019 and 2020 were $ 3,860 and $ 2,791, respectively, out of which an amount of $ 2,351 and $ 1,477 relates to depreciation expenses of capital leases.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 ended December 31, 2020, the Company abandoned its data centers, recorded abandonment costs of $3,969 in the statement of operations as general and administrative expenses, and disposed of total assets in the gross amount of $ 16,886.</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2019, the Company disposed a total of $ 2,746 cost and accumulated depreciation of fully depreciated property and equipment.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222250"/>
                <wp:effectExtent l="0" t="0" r="0" b="0"/>
                <wp:wrapNone/>
                <wp:docPr id="219" name="Frame21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F-22</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6. OTHER ASSETS, NONCURRENT</w:t>
      </w:r>
    </w:p>
    <w:tbl>
      <w:tblPr>
        <w:tblW w:w="4403" w:type="dxa"/>
        <w:jc w:val="left"/>
        <w:tblInd w:w="0" w:type="dxa"/>
        <w:tblCellMar>
          <w:top w:w="28" w:type="dxa"/>
          <w:left w:w="28" w:type="dxa"/>
          <w:bottom w:w="28" w:type="dxa"/>
          <w:right w:w="28" w:type="dxa"/>
        </w:tblCellMar>
      </w:tblPr>
      <w:tblGrid>
        <w:gridCol w:w="760"/>
        <w:gridCol w:w="667"/>
        <w:gridCol w:w="672"/>
        <w:gridCol w:w="211"/>
        <w:gridCol w:w="646"/>
        <w:gridCol w:w="109"/>
        <w:gridCol w:w="109"/>
        <w:gridCol w:w="109"/>
        <w:gridCol w:w="109"/>
        <w:gridCol w:w="211"/>
        <w:gridCol w:w="646"/>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Restricted 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Severance pay fund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offering costs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7. GOODWILL AND INTANGIBLE ASSETS, NET</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Intangible assets:</w:t>
      </w:r>
    </w:p>
    <w:tbl>
      <w:tblPr>
        <w:tblW w:w="9242" w:type="dxa"/>
        <w:jc w:val="left"/>
        <w:tblInd w:w="0" w:type="dxa"/>
        <w:tblCellMar>
          <w:top w:w="28" w:type="dxa"/>
          <w:left w:w="28" w:type="dxa"/>
          <w:bottom w:w="28" w:type="dxa"/>
          <w:right w:w="28" w:type="dxa"/>
        </w:tblCellMar>
      </w:tblPr>
      <w:tblGrid>
        <w:gridCol w:w="1430"/>
        <w:gridCol w:w="1255"/>
        <w:gridCol w:w="1260"/>
        <w:gridCol w:w="1318"/>
        <w:gridCol w:w="1318"/>
        <w:gridCol w:w="1323"/>
        <w:gridCol w:w="109"/>
        <w:gridCol w:w="109"/>
        <w:gridCol w:w="109"/>
        <w:gridCol w:w="211"/>
        <w:gridCol w:w="646"/>
        <w:gridCol w:w="154"/>
      </w:tblGrid>
      <w:tr>
        <w:trPr/>
        <w:tc>
          <w:tcPr>
            <w:tcW w:w="143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2019</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Weighted average remaining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Balance</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carrying amount:</w:t>
            </w:r>
          </w:p>
        </w:tc>
        <w:tc>
          <w:tcPr>
            <w:tcW w:w="3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w:t>
            </w:r>
          </w:p>
        </w:tc>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w:t>
            </w:r>
          </w:p>
        </w:tc>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Tradename</w:t>
            </w:r>
          </w:p>
        </w:tc>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Accumulated amortization and impairments:</w:t>
            </w:r>
          </w:p>
        </w:tc>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w:t>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w:t>
            </w:r>
          </w:p>
        </w:tc>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Tradename</w:t>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 net</w:t>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80"/>
        <w:jc w:val="right"/>
        <w:rPr/>
      </w:pPr>
      <w:r>
        <w:br w:type="page"/>
      </w: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222250"/>
                <wp:effectExtent l="0" t="0" r="0" b="0"/>
                <wp:wrapNone/>
                <wp:docPr id="220" name="Frame21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F-23</w:t>
                      </w:r>
                    </w:p>
                  </w:txbxContent>
                </v:textbox>
              </v:rect>
            </w:pict>
          </mc:Fallback>
        </mc:AlternateContent>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KALTURA, INC. AND SUBSIDIARIES</w: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NOTE 7: GOODWILL AND INTANGIBLE ASSETS, NET (cont.)</w:t>
      </w:r>
    </w:p>
    <w:tbl>
      <w:tblPr>
        <w:tblW w:w="9242" w:type="dxa"/>
        <w:jc w:val="left"/>
        <w:tblInd w:w="0" w:type="dxa"/>
        <w:tblCellMar>
          <w:top w:w="28" w:type="dxa"/>
          <w:left w:w="28" w:type="dxa"/>
          <w:bottom w:w="28" w:type="dxa"/>
          <w:right w:w="28" w:type="dxa"/>
        </w:tblCellMar>
      </w:tblPr>
      <w:tblGrid>
        <w:gridCol w:w="1430"/>
        <w:gridCol w:w="1255"/>
        <w:gridCol w:w="1260"/>
        <w:gridCol w:w="1318"/>
        <w:gridCol w:w="1318"/>
        <w:gridCol w:w="1323"/>
        <w:gridCol w:w="109"/>
        <w:gridCol w:w="109"/>
        <w:gridCol w:w="109"/>
        <w:gridCol w:w="211"/>
        <w:gridCol w:w="646"/>
        <w:gridCol w:w="154"/>
      </w:tblGrid>
      <w:tr>
        <w:trPr/>
        <w:tc>
          <w:tcPr>
            <w:tcW w:w="143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Weighted average remaining useful life (in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Balance</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carrying amount:</w:t>
            </w:r>
          </w:p>
        </w:tc>
        <w:tc>
          <w:tcPr>
            <w:tcW w:w="3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w:t>
            </w:r>
          </w:p>
        </w:tc>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w:t>
            </w:r>
          </w:p>
        </w:tc>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Tradename</w:t>
            </w:r>
          </w:p>
        </w:tc>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Accumulated amortization and impairments:</w:t>
            </w:r>
          </w:p>
        </w:tc>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w:t>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w:t>
            </w:r>
          </w:p>
        </w:tc>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Tradename</w:t>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 net</w:t>
            </w:r>
          </w:p>
        </w:tc>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 ended December 31, 2019 and 2020 the Company recorded amortization expenses in the amount of $630 and $917, respectively, included in cost of revenues and selling and marketing expenses in the statements of operations.</w:t>
      </w:r>
    </w:p>
    <w:p>
      <w:pPr>
        <w:pStyle w:val="TextBody"/>
        <w:spacing w:lineRule="auto" w:line="288" w:before="0" w:after="180"/>
        <w:ind w:left="0" w:right="0" w:firstLine="360"/>
        <w:jc w:val="both"/>
        <w:rPr/>
      </w:pPr>
      <w:r>
        <w:rPr>
          <w:rFonts w:ascii="Helvetica;sans-serif" w:hAnsi="Helvetica;sans-serif"/>
          <w:b w:val="false"/>
          <w:color w:val="000000"/>
          <w:sz w:val="20"/>
        </w:rPr>
        <w:t>b.</w:t>
      </w:r>
      <w:r>
        <w:rPr>
          <w:rFonts w:ascii="Helvetica;sans-serif" w:hAnsi="Helvetica;sans-serif"/>
          <w:b w:val="false"/>
          <w:color w:val="000000"/>
          <w:sz w:val="20"/>
        </w:rPr>
        <w:t>The estimated future amortization expense of intangible assets as of December 31, 2020 is as follows:</w:t>
      </w:r>
    </w:p>
    <w:tbl>
      <w:tblPr>
        <w:tblW w:w="1755" w:type="dxa"/>
        <w:jc w:val="left"/>
        <w:tblInd w:w="0" w:type="dxa"/>
        <w:tblCellMar>
          <w:top w:w="28" w:type="dxa"/>
          <w:left w:w="28" w:type="dxa"/>
          <w:bottom w:w="28" w:type="dxa"/>
          <w:right w:w="28" w:type="dxa"/>
        </w:tblCellMar>
      </w:tblPr>
      <w:tblGrid>
        <w:gridCol w:w="196"/>
        <w:gridCol w:w="172"/>
        <w:gridCol w:w="173"/>
        <w:gridCol w:w="253"/>
        <w:gridCol w:w="776"/>
        <w:gridCol w:w="185"/>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Helvetica;sans-serif" w:hAnsi="Helvetica;sans-serif"/>
          <w:b w:val="false"/>
          <w:color w:val="000000"/>
          <w:sz w:val="20"/>
        </w:rPr>
        <w:t>c.</w:t>
      </w:r>
      <w:r>
        <w:rPr>
          <w:rFonts w:ascii="Helvetica;sans-serif" w:hAnsi="Helvetica;sans-serif"/>
          <w:b w:val="false"/>
          <w:color w:val="000000"/>
          <w:sz w:val="20"/>
        </w:rPr>
        <w:t xml:space="preserve">In April 2018, the Company acquired some of the assets of Rapt Media, Inc. ("the Assets") for a consideration that will vary depending on the gains that the Assets derive during a three-year period following the closing date of the purchase of the Assets ("the Transaction").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Transaction was accounted for as an asset acquisition. The Company recognizes an asset and liability simultaneously when revenue derived from the Assets is recognized. The liability is paid in two installments each year. The useful life of the Assets is four years from the Transaction's closing date. The Assets will enhance the Company's capabilities in the fields of personalized marketing, customer education, recruitment, learning and educational video experiences.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2019 and 2020, with respect to the Transaction, the Company capitalized $ 356 and $ 518 respectively, that were recorded as intangible assets against the respective liability.</w:t>
      </w:r>
    </w:p>
    <w:p>
      <w:pPr>
        <w:pStyle w:val="TextBody"/>
        <w:spacing w:lineRule="auto" w:line="288" w:before="0" w:after="180"/>
        <w:ind w:left="0" w:right="0" w:firstLine="360"/>
        <w:jc w:val="both"/>
        <w:rPr/>
      </w:pPr>
      <w:r>
        <w:rPr>
          <w:rFonts w:ascii="Helvetica;sans-serif" w:hAnsi="Helvetica;sans-serif"/>
          <w:b w:val="false"/>
          <w:color w:val="000000"/>
          <w:sz w:val="20"/>
        </w:rPr>
        <w:t>d.</w:t>
      </w:r>
      <w:r>
        <w:rPr>
          <w:rFonts w:ascii="Helvetica;sans-serif" w:hAnsi="Helvetica;sans-serif"/>
          <w:b w:val="false"/>
          <w:color w:val="000000"/>
          <w:sz w:val="20"/>
        </w:rPr>
        <w:t>Changes in goodwill for the years ending December 31, 2019 and 2020 were as follows:</w:t>
      </w:r>
      <w:r>
        <w:br w:type="page"/>
      </w:r>
    </w:p>
    <w:p>
      <w:pPr>
        <w:pStyle w:val="TextBody"/>
        <w:spacing w:before="120" w:after="180"/>
        <w:jc w:val="righ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222250"/>
                <wp:effectExtent l="0" t="0" r="0" b="0"/>
                <wp:wrapNone/>
                <wp:docPr id="221" name="Frame21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F-24</w:t>
                      </w:r>
                    </w:p>
                  </w:txbxContent>
                </v:textbox>
              </v:rect>
            </w:pict>
          </mc:Fallback>
        </mc:AlternateContent>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KALTURA, INC. AND SUBSIDIARIES</w: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jc w:val="both"/>
        <w:rPr>
          <w:rFonts w:ascii="Helvetica;sans-serif" w:hAnsi="Helvetica;sans-serif"/>
          <w:b/>
          <w:color w:val="000000"/>
          <w:sz w:val="20"/>
        </w:rPr>
      </w:pPr>
      <w:r>
        <w:rPr>
          <w:rFonts w:ascii="Helvetica;sans-serif" w:hAnsi="Helvetica;sans-serif"/>
          <w:b/>
          <w:color w:val="000000"/>
          <w:sz w:val="20"/>
        </w:rPr>
        <w:t>NOTE 7: GOODWILL AND INTANGIBLE ASSETS, NET (cont.)</w:t>
      </w:r>
    </w:p>
    <w:tbl>
      <w:tblPr>
        <w:tblW w:w="9629" w:type="dxa"/>
        <w:jc w:val="left"/>
        <w:tblInd w:w="0" w:type="dxa"/>
        <w:tblCellMar>
          <w:top w:w="28" w:type="dxa"/>
          <w:left w:w="28" w:type="dxa"/>
          <w:bottom w:w="28" w:type="dxa"/>
          <w:right w:w="28" w:type="dxa"/>
        </w:tblCellMar>
      </w:tblPr>
      <w:tblGrid>
        <w:gridCol w:w="1113"/>
        <w:gridCol w:w="979"/>
        <w:gridCol w:w="983"/>
        <w:gridCol w:w="686"/>
        <w:gridCol w:w="2104"/>
        <w:gridCol w:w="359"/>
        <w:gridCol w:w="109"/>
        <w:gridCol w:w="109"/>
        <w:gridCol w:w="109"/>
        <w:gridCol w:w="357"/>
        <w:gridCol w:w="1094"/>
        <w:gridCol w:w="184"/>
        <w:gridCol w:w="109"/>
        <w:gridCol w:w="109"/>
        <w:gridCol w:w="109"/>
        <w:gridCol w:w="211"/>
        <w:gridCol w:w="751"/>
        <w:gridCol w:w="154"/>
      </w:tblGrid>
      <w:tr>
        <w:trPr/>
        <w:tc>
          <w:tcPr>
            <w:tcW w:w="111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Enterprise, Education and 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Media and Telecom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January 1, 2019</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w:t>
            </w:r>
          </w:p>
        </w:tc>
        <w:tc>
          <w:tcPr>
            <w:tcW w:w="2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January 1, 2020</w:t>
            </w:r>
          </w:p>
        </w:tc>
        <w:tc>
          <w:tcPr>
            <w:tcW w:w="2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9,381 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 acquired during the year</w:t>
            </w:r>
          </w:p>
        </w:tc>
        <w:tc>
          <w:tcPr>
            <w:tcW w:w="2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1,689 </w:t>
            </w:r>
          </w:p>
        </w:tc>
        <w:tc>
          <w:tcPr>
            <w:tcW w:w="3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December 31, 2020</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NOTE 8. LONG-TERM LOAN </w:t>
      </w:r>
    </w:p>
    <w:p>
      <w:pPr>
        <w:pStyle w:val="TextBody"/>
        <w:spacing w:lineRule="auto" w:line="288" w:before="0" w:after="180"/>
        <w:ind w:left="0" w:right="0" w:firstLine="360"/>
        <w:jc w:val="both"/>
        <w:rPr/>
      </w:pPr>
      <w:r>
        <w:rPr>
          <w:rFonts w:ascii="Helvetica;sans-serif" w:hAnsi="Helvetica;sans-serif"/>
          <w:b w:val="false"/>
          <w:color w:val="000000"/>
          <w:sz w:val="20"/>
        </w:rPr>
        <w:t>a.</w:t>
      </w:r>
      <w:r>
        <w:rPr>
          <w:rFonts w:ascii="Helvetica;sans-serif" w:hAnsi="Helvetica;sans-serif"/>
          <w:b w:val="false"/>
          <w:color w:val="000000"/>
          <w:sz w:val="20"/>
        </w:rPr>
        <w:t>In February 2011, the Company entered into a long-term loan and security agreement with a bank (the "2011 Loan Agreement"). During the years 2012-2018 the Company entered into several modifications, pursuant to which the long-term credit line was increased to an amount equal to $ 20,000 out of which the Company drew an amount of $ 15,000. Loan repayment date was extended from February 2017 to February 2020 in one installment.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2019, the Company drew an additional amount of $ 3,000 as part of the Ninth Modification to the 2011 Loan Agreement.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2020 the Company drew an additional amount of $ 2,000 as part of the Ninth Modification to the 2011 Loan Agreement.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outstanding principal amount accrues interest at a floating per annum rate equal to the prime rate.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the Company's outstanding loan balance was $ 20,000. </w:t>
      </w:r>
    </w:p>
    <w:p>
      <w:pPr>
        <w:pStyle w:val="TextBody"/>
        <w:spacing w:lineRule="auto" w:line="288" w:before="0" w:after="180"/>
        <w:ind w:left="0" w:right="0" w:firstLine="360"/>
        <w:jc w:val="both"/>
        <w:rPr/>
      </w:pPr>
      <w:r>
        <w:rPr>
          <w:rFonts w:ascii="Helvetica;sans-serif" w:hAnsi="Helvetica;sans-serif"/>
          <w:b w:val="false"/>
          <w:color w:val="000000"/>
          <w:sz w:val="20"/>
        </w:rPr>
        <w:t>b.</w:t>
      </w:r>
      <w:r>
        <w:rPr>
          <w:rFonts w:ascii="Helvetica;sans-serif" w:hAnsi="Helvetica;sans-serif"/>
          <w:b w:val="false"/>
          <w:color w:val="000000"/>
          <w:sz w:val="20"/>
        </w:rPr>
        <w:t xml:space="preserve">In April 2012, the Company entered into a long-term loan and security agreement (the "Additional Loan Agreement"), which provided the Company a long-term line of credit. During the years 2012-2018 the Company entered into three modifications to the agreement, pursuant to which the long-term credit line was increased to an amount equal to $ 30,000. The Company used the entire credit line pursuant to which the loan repayment date was extended to November 2020. Pursuant to the last amendment, the loan is to be repaid in 36 monthly equal installments.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outstanding principal amount accrues interest at a floating per annum rate equal to four and a half percentage (4.5%) points above the prime rate, subject to a 9.50% floor and a 12.00% maximum.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the Company's outstanding loan balance under the Additional Loan Agreement was $ 28,160.</w:t>
      </w:r>
    </w:p>
    <w:p>
      <w:pPr>
        <w:pStyle w:val="TextBody"/>
        <w:spacing w:lineRule="auto" w:line="288" w:before="0" w:after="180"/>
        <w:ind w:left="0" w:right="0" w:firstLine="360"/>
        <w:jc w:val="both"/>
        <w:rPr/>
      </w:pPr>
      <w:r>
        <w:rPr>
          <w:rFonts w:ascii="Helvetica;sans-serif" w:hAnsi="Helvetica;sans-serif"/>
          <w:b w:val="false"/>
          <w:color w:val="000000"/>
          <w:sz w:val="20"/>
        </w:rPr>
        <w:t>c.</w:t>
      </w:r>
      <w:r>
        <w:rPr>
          <w:rFonts w:ascii="Helvetica;sans-serif" w:hAnsi="Helvetica;sans-serif"/>
          <w:b w:val="false"/>
          <w:color w:val="000000"/>
          <w:sz w:val="20"/>
        </w:rPr>
        <w:t>Under the terms of the Additional Loan Agreement and the 2011 Loan Agreement, the Company is obligated to maintain certain covenants as defined therein. As of December 31, 2020 the Company met these covenants.</w:t>
      </w:r>
    </w:p>
    <w:p>
      <w:pPr>
        <w:pStyle w:val="TextBody"/>
        <w:spacing w:lineRule="auto" w:line="288" w:before="0" w:after="180"/>
        <w:ind w:left="0" w:right="0" w:firstLine="360"/>
        <w:jc w:val="both"/>
        <w:rPr/>
      </w:pPr>
      <w:r>
        <w:rPr>
          <w:rFonts w:ascii="Helvetica;sans-serif" w:hAnsi="Helvetica;sans-serif"/>
          <w:b w:val="false"/>
          <w:color w:val="000000"/>
          <w:sz w:val="20"/>
        </w:rPr>
        <w:t>d.</w:t>
      </w:r>
      <w:r>
        <w:rPr>
          <w:rFonts w:ascii="Helvetica;sans-serif" w:hAnsi="Helvetica;sans-serif"/>
          <w:b w:val="false"/>
          <w:color w:val="000000"/>
          <w:sz w:val="20"/>
        </w:rPr>
        <w:t xml:space="preserve">In January 2021, the Company refinanced all amounts outstanding under the 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(see also Note 21b).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222250"/>
                <wp:effectExtent l="0" t="0" r="0" b="0"/>
                <wp:wrapNone/>
                <wp:docPr id="222" name="Frame21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F-25</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8. LONG-TERM LOAN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aggregate principal annual maturities according to the Credit Facilities agreements (as amended after the balance sheet date) are as follows:</w:t>
      </w:r>
    </w:p>
    <w:tbl>
      <w:tblPr>
        <w:tblW w:w="3557" w:type="dxa"/>
        <w:jc w:val="left"/>
        <w:tblInd w:w="0" w:type="dxa"/>
        <w:tblCellMar>
          <w:top w:w="28" w:type="dxa"/>
          <w:left w:w="28" w:type="dxa"/>
          <w:bottom w:w="28" w:type="dxa"/>
          <w:right w:w="28" w:type="dxa"/>
        </w:tblCellMar>
      </w:tblPr>
      <w:tblGrid>
        <w:gridCol w:w="766"/>
        <w:gridCol w:w="672"/>
        <w:gridCol w:w="676"/>
        <w:gridCol w:w="109"/>
        <w:gridCol w:w="109"/>
        <w:gridCol w:w="109"/>
        <w:gridCol w:w="211"/>
        <w:gridCol w:w="751"/>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pPr>
      <w:r>
        <w:rPr>
          <w:rFonts w:ascii="Helvetica;sans-serif" w:hAnsi="Helvetica;sans-serif"/>
          <w:b w:val="false"/>
          <w:color w:val="000000"/>
          <w:sz w:val="20"/>
        </w:rPr>
        <w:t>e.</w:t>
      </w:r>
      <w:r>
        <w:rPr>
          <w:rFonts w:ascii="Helvetica;sans-serif" w:hAnsi="Helvetica;sans-serif"/>
          <w:b w:val="false"/>
          <w:color w:val="000000"/>
          <w:sz w:val="20"/>
        </w:rPr>
        <w:t>The carrying amounts of the loans approximate their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9. ACCRUED EXPENSES AND OTHER CURRENT LIABILITIES</w:t>
      </w:r>
    </w:p>
    <w:tbl>
      <w:tblPr>
        <w:tblW w:w="4149" w:type="dxa"/>
        <w:jc w:val="left"/>
        <w:tblInd w:w="0" w:type="dxa"/>
        <w:tblCellMar>
          <w:top w:w="28" w:type="dxa"/>
          <w:left w:w="28" w:type="dxa"/>
          <w:bottom w:w="28" w:type="dxa"/>
          <w:right w:w="28" w:type="dxa"/>
        </w:tblCellMar>
      </w:tblPr>
      <w:tblGrid>
        <w:gridCol w:w="630"/>
        <w:gridCol w:w="554"/>
        <w:gridCol w:w="556"/>
        <w:gridCol w:w="211"/>
        <w:gridCol w:w="646"/>
        <w:gridCol w:w="109"/>
        <w:gridCol w:w="109"/>
        <w:gridCol w:w="109"/>
        <w:gridCol w:w="109"/>
        <w:gridCol w:w="211"/>
        <w:gridCol w:w="751"/>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10. COMMITMENTS AND CONTINGENCIES</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Lease commitments: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engaged in operating lease arrangements for its worldwide offices. Future minimum annual payments under non-cancelable operating leases for the period remaining subsequent to December 31, 2020, are as follows:</w:t>
      </w:r>
    </w:p>
    <w:tbl>
      <w:tblPr>
        <w:tblW w:w="4076" w:type="dxa"/>
        <w:jc w:val="left"/>
        <w:tblInd w:w="0" w:type="dxa"/>
        <w:tblCellMar>
          <w:top w:w="28" w:type="dxa"/>
          <w:left w:w="28" w:type="dxa"/>
          <w:bottom w:w="28" w:type="dxa"/>
          <w:right w:w="28" w:type="dxa"/>
        </w:tblCellMar>
      </w:tblPr>
      <w:tblGrid>
        <w:gridCol w:w="766"/>
        <w:gridCol w:w="672"/>
        <w:gridCol w:w="676"/>
        <w:gridCol w:w="109"/>
        <w:gridCol w:w="109"/>
        <w:gridCol w:w="109"/>
        <w:gridCol w:w="341"/>
        <w:gridCol w:w="1045"/>
        <w:gridCol w:w="249"/>
      </w:tblGrid>
      <w:tr>
        <w:trPr/>
        <w:tc>
          <w:tcPr>
            <w:tcW w:w="76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Rental of premises</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2,603 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rent expenses for the years ended December 31, 2019 and 2020 were $ 2,121 and $ 2,152, respectively.</w:t>
      </w:r>
    </w:p>
    <w:p>
      <w:pPr>
        <w:pStyle w:val="TextBody"/>
        <w:spacing w:lineRule="auto" w:line="288" w:before="120" w:after="180"/>
        <w:ind w:left="0" w:right="0" w:firstLine="360"/>
        <w:rPr/>
      </w:pPr>
      <w:r>
        <w:rPr>
          <w:rFonts w:ascii="Helvetica;sans-serif" w:hAnsi="Helvetica;sans-serif"/>
          <w:b/>
          <w:i/>
          <w:color w:val="000000"/>
          <w:sz w:val="20"/>
        </w:rPr>
        <w:t>b.</w:t>
      </w:r>
      <w:r>
        <w:rPr>
          <w:rFonts w:ascii="Helvetica;sans-serif" w:hAnsi="Helvetica;sans-serif"/>
          <w:b/>
          <w:i/>
          <w:color w:val="000000"/>
          <w:sz w:val="20"/>
        </w:rPr>
        <w:t>Legal claim:</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February 11, 2019, a claim was filed in the U.S. District Court for Delaware against the Company by CoolTVNetwork.com, Inc. ("CoolTVNetwork"), alleging infringement of a U.S. Patent.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CoolTVNetwork raised certain claims and allegations which the Company has denied. The case remains pending. Management estimates that the cost to resolve this matter is not material to the financial condition, results of operations, or cash flows.</w:t>
      </w:r>
    </w:p>
    <w:p>
      <w:pPr>
        <w:pStyle w:val="TextBody"/>
        <w:spacing w:lineRule="auto" w:line="288" w:before="120" w:after="180"/>
        <w:ind w:left="0" w:right="0" w:firstLine="360"/>
        <w:rPr/>
      </w:pPr>
      <w:r>
        <w:rPr>
          <w:rFonts w:ascii="Helvetica;sans-serif" w:hAnsi="Helvetica;sans-serif"/>
          <w:b/>
          <w:i/>
          <w:color w:val="000000"/>
          <w:sz w:val="20"/>
        </w:rPr>
        <w:t>c.</w:t>
      </w:r>
      <w:r>
        <w:rPr>
          <w:rFonts w:ascii="Helvetica;sans-serif" w:hAnsi="Helvetica;sans-serif"/>
          <w:b/>
          <w:i/>
          <w:color w:val="000000"/>
          <w:sz w:val="20"/>
        </w:rPr>
        <w:t>Purchase commitment: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has entered into various non-cancelable agreements with third-party providers for use of mainly cloud and other services, under which it committed to minimum and fixed purchases through the </w:t>
      </w:r>
      <w:r>
        <w:br w:type="page"/>
      </w:r>
    </w:p>
    <w:p>
      <w:pPr>
        <w:pStyle w:val="TextBody"/>
        <w:spacing w:before="120" w:after="180"/>
        <w:jc w:val="righ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222250"/>
                <wp:effectExtent l="0" t="0" r="0" b="0"/>
                <wp:wrapNone/>
                <wp:docPr id="223" name="Frame21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F-26</w:t>
                      </w:r>
                    </w:p>
                  </w:txbxContent>
                </v:textbox>
              </v:rect>
            </w:pict>
          </mc:Fallback>
        </mc:AlternateContent>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KALTURA, INC. AND SUBSIDIARIES</w: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10. COMMITMENTS AND CONTINGENCIES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year ending December 31, 2024. The following table presents details of the aggregate future non-cancelable purchase commitments under such agreements as of December 31, 2020:</w:t>
      </w:r>
    </w:p>
    <w:tbl>
      <w:tblPr>
        <w:tblW w:w="3992" w:type="dxa"/>
        <w:jc w:val="left"/>
        <w:tblInd w:w="0" w:type="dxa"/>
        <w:tblCellMar>
          <w:top w:w="28" w:type="dxa"/>
          <w:left w:w="28" w:type="dxa"/>
          <w:bottom w:w="28" w:type="dxa"/>
          <w:right w:w="28" w:type="dxa"/>
        </w:tblCellMar>
      </w:tblPr>
      <w:tblGrid>
        <w:gridCol w:w="924"/>
        <w:gridCol w:w="810"/>
        <w:gridCol w:w="815"/>
        <w:gridCol w:w="109"/>
        <w:gridCol w:w="109"/>
        <w:gridCol w:w="109"/>
        <w:gridCol w:w="211"/>
        <w:gridCol w:w="751"/>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purchase commitment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11. CAPITAL LEASES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is a schedule by years of future minimum lease payments under capital leases together with the present value of the net minimum lease payments as of December 31, 2020:</w:t>
      </w:r>
    </w:p>
    <w:tbl>
      <w:tblPr>
        <w:tblW w:w="5507" w:type="dxa"/>
        <w:jc w:val="left"/>
        <w:tblInd w:w="0" w:type="dxa"/>
        <w:tblCellMar>
          <w:top w:w="28" w:type="dxa"/>
          <w:left w:w="28" w:type="dxa"/>
          <w:bottom w:w="28" w:type="dxa"/>
          <w:right w:w="28" w:type="dxa"/>
        </w:tblCellMar>
      </w:tblPr>
      <w:tblGrid>
        <w:gridCol w:w="1511"/>
        <w:gridCol w:w="1325"/>
        <w:gridCol w:w="1333"/>
        <w:gridCol w:w="109"/>
        <w:gridCol w:w="109"/>
        <w:gridCol w:w="109"/>
        <w:gridCol w:w="211"/>
        <w:gridCol w:w="646"/>
        <w:gridCol w:w="154"/>
      </w:tblGrid>
      <w:tr>
        <w:trPr/>
        <w:tc>
          <w:tcPr>
            <w:tcW w:w="151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net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12. REVENUES FROM CONTRACTS WITH CUSTOMERS</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The following table presents disaggregated revenue by category:</w:t>
      </w:r>
    </w:p>
    <w:tbl>
      <w:tblPr>
        <w:tblW w:w="9857" w:type="dxa"/>
        <w:jc w:val="left"/>
        <w:tblInd w:w="0" w:type="dxa"/>
        <w:tblCellMar>
          <w:top w:w="28" w:type="dxa"/>
          <w:left w:w="28" w:type="dxa"/>
          <w:bottom w:w="28" w:type="dxa"/>
          <w:right w:w="28" w:type="dxa"/>
        </w:tblCellMar>
      </w:tblPr>
      <w:tblGrid>
        <w:gridCol w:w="733"/>
        <w:gridCol w:w="644"/>
        <w:gridCol w:w="647"/>
        <w:gridCol w:w="349"/>
        <w:gridCol w:w="1244"/>
        <w:gridCol w:w="180"/>
        <w:gridCol w:w="180"/>
        <w:gridCol w:w="180"/>
        <w:gridCol w:w="180"/>
        <w:gridCol w:w="405"/>
        <w:gridCol w:w="405"/>
        <w:gridCol w:w="1065"/>
        <w:gridCol w:w="109"/>
        <w:gridCol w:w="109"/>
        <w:gridCol w:w="109"/>
        <w:gridCol w:w="211"/>
        <w:gridCol w:w="751"/>
        <w:gridCol w:w="109"/>
        <w:gridCol w:w="109"/>
        <w:gridCol w:w="109"/>
        <w:gridCol w:w="109"/>
        <w:gridCol w:w="380"/>
        <w:gridCol w:w="380"/>
        <w:gridCol w:w="1160"/>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 2019</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Enterprise, Education and Technology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Media and Telecom</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61,376 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94.6 %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71.8 </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28.2 </w:t>
            </w:r>
          </w:p>
        </w:tc>
        <w:tc>
          <w:tcPr>
            <w:tcW w:w="11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64,839 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9857" w:type="dxa"/>
        <w:jc w:val="left"/>
        <w:tblInd w:w="0" w:type="dxa"/>
        <w:tblCellMar>
          <w:top w:w="28" w:type="dxa"/>
          <w:left w:w="28" w:type="dxa"/>
          <w:bottom w:w="28" w:type="dxa"/>
          <w:right w:w="28" w:type="dxa"/>
        </w:tblCellMar>
      </w:tblPr>
      <w:tblGrid>
        <w:gridCol w:w="733"/>
        <w:gridCol w:w="644"/>
        <w:gridCol w:w="647"/>
        <w:gridCol w:w="349"/>
        <w:gridCol w:w="1244"/>
        <w:gridCol w:w="180"/>
        <w:gridCol w:w="180"/>
        <w:gridCol w:w="180"/>
        <w:gridCol w:w="180"/>
        <w:gridCol w:w="405"/>
        <w:gridCol w:w="405"/>
        <w:gridCol w:w="1065"/>
        <w:gridCol w:w="109"/>
        <w:gridCol w:w="109"/>
        <w:gridCol w:w="109"/>
        <w:gridCol w:w="211"/>
        <w:gridCol w:w="751"/>
        <w:gridCol w:w="109"/>
        <w:gridCol w:w="109"/>
        <w:gridCol w:w="109"/>
        <w:gridCol w:w="109"/>
        <w:gridCol w:w="380"/>
        <w:gridCol w:w="380"/>
        <w:gridCol w:w="1160"/>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 2020</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Enterprise, Education and Technology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Media and Telecom</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92.6 </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5,976 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1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80,449 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120" w:after="180"/>
        <w:ind w:left="0" w:right="0" w:firstLine="360"/>
        <w:rPr/>
      </w:pPr>
      <w:r>
        <w:rPr>
          <w:rFonts w:ascii="Helvetica;sans-serif" w:hAnsi="Helvetica;sans-serif"/>
          <w:b/>
          <w:i/>
          <w:color w:val="000000"/>
          <w:sz w:val="20"/>
        </w:rPr>
        <w:t>b.</w:t>
      </w:r>
      <w:r>
        <w:rPr>
          <w:rFonts w:ascii="Helvetica;sans-serif" w:hAnsi="Helvetica;sans-serif"/>
          <w:b/>
          <w:i/>
          <w:color w:val="000000"/>
          <w:sz w:val="20"/>
        </w:rPr>
        <w:t>Contract Balances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Contract liabilities consist of deferred revenue. Revenue is deferred when the Company invoices in advance of performance under a contract. The current portion of the deferred revenue balance is recognized as revenue during the 12-month period after the balance sheet date. The noncurrent portion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222250"/>
                <wp:effectExtent l="0" t="0" r="0" b="0"/>
                <wp:wrapNone/>
                <wp:docPr id="224" name="Frame21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F-27</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12. REVENUES FROM CONTRACTS WITH CUSTOMERS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of the deferred revenue balance is recognized as revenue following the 12-month period after the balance sheet date.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Substantially all the revenue that was included in the deferred revenue, current as of January 1, 2020, was recognized as revenue during 2020.</w:t>
      </w:r>
    </w:p>
    <w:p>
      <w:pPr>
        <w:pStyle w:val="TextBody"/>
        <w:spacing w:lineRule="auto" w:line="288" w:before="120" w:after="180"/>
        <w:ind w:left="0" w:right="0" w:firstLine="360"/>
        <w:rPr/>
      </w:pPr>
      <w:r>
        <w:rPr>
          <w:rFonts w:ascii="Helvetica;sans-serif" w:hAnsi="Helvetica;sans-serif"/>
          <w:b/>
          <w:i/>
          <w:color w:val="000000"/>
          <w:sz w:val="20"/>
        </w:rPr>
        <w:t>c.</w:t>
      </w:r>
      <w:r>
        <w:rPr>
          <w:rFonts w:ascii="Helvetica;sans-serif" w:hAnsi="Helvetica;sans-serif"/>
          <w:b/>
          <w:i/>
          <w:color w:val="000000"/>
          <w:sz w:val="20"/>
        </w:rPr>
        <w:t>Remaining Performance Obligation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remaining performance obligations are comprised of product and services revenue not yet delivered. As of December 31, 2020, the aggregate amount of the transaction price allocated to remaining performance obligations was $140,955, which consists of both billed consideration in the amount of $51,365 and unbilled consideration in the amount of $89,590 that the Company expects to recognize as revenue and was yet recognized on the balance sheet. The Company expects to recognize 63% of its remaining performance obligations as revenue in the year ending December 31, 2021, and the remainder thereafter.</w:t>
      </w:r>
    </w:p>
    <w:p>
      <w:pPr>
        <w:pStyle w:val="TextBody"/>
        <w:spacing w:lineRule="auto" w:line="288" w:before="120" w:after="180"/>
        <w:ind w:left="0" w:right="0" w:firstLine="360"/>
        <w:rPr/>
      </w:pPr>
      <w:r>
        <w:rPr>
          <w:rFonts w:ascii="Helvetica;sans-serif" w:hAnsi="Helvetica;sans-serif"/>
          <w:b/>
          <w:i/>
          <w:color w:val="000000"/>
          <w:sz w:val="20"/>
        </w:rPr>
        <w:t>d.</w:t>
      </w:r>
      <w:r>
        <w:rPr>
          <w:rFonts w:ascii="Helvetica;sans-serif" w:hAnsi="Helvetica;sans-serif"/>
          <w:b/>
          <w:i/>
          <w:color w:val="000000"/>
          <w:sz w:val="20"/>
        </w:rPr>
        <w:t>Costs to Obtain a Contract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represents a rollforward of costs to obtain a contract:</w:t>
      </w:r>
    </w:p>
    <w:tbl>
      <w:tblPr>
        <w:tblW w:w="8123" w:type="dxa"/>
        <w:jc w:val="left"/>
        <w:tblInd w:w="0" w:type="dxa"/>
        <w:tblCellMar>
          <w:top w:w="28" w:type="dxa"/>
          <w:left w:w="28" w:type="dxa"/>
          <w:bottom w:w="28" w:type="dxa"/>
          <w:right w:w="28" w:type="dxa"/>
        </w:tblCellMar>
      </w:tblPr>
      <w:tblGrid>
        <w:gridCol w:w="2067"/>
        <w:gridCol w:w="1821"/>
        <w:gridCol w:w="1826"/>
        <w:gridCol w:w="211"/>
        <w:gridCol w:w="646"/>
        <w:gridCol w:w="109"/>
        <w:gridCol w:w="109"/>
        <w:gridCol w:w="109"/>
        <w:gridCol w:w="109"/>
        <w:gridCol w:w="211"/>
        <w:gridCol w:w="751"/>
        <w:gridCol w:w="154"/>
      </w:tblGrid>
      <w:tr>
        <w:trPr/>
        <w:tc>
          <w:tcPr>
            <w:tcW w:w="2067"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1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 after the adoption of ASC 606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 to deferred contract acquisition costs during the period</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contract acquisition costs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costs, current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4,788 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costs, noncurrent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costs to obtain a contract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pPr>
      <w:r>
        <w:rPr>
          <w:rFonts w:ascii="Helvetica;sans-serif" w:hAnsi="Helvetica;sans-serif"/>
          <w:b/>
          <w:i/>
          <w:color w:val="000000"/>
          <w:sz w:val="20"/>
        </w:rPr>
        <w:t>e.</w:t>
      </w:r>
      <w:r>
        <w:rPr>
          <w:rFonts w:ascii="Helvetica;sans-serif" w:hAnsi="Helvetica;sans-serif"/>
          <w:b/>
          <w:i/>
          <w:color w:val="000000"/>
          <w:sz w:val="20"/>
        </w:rPr>
        <w:t>Costs to fulfill a Contract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represents a rollforward of costs to fulfill a contract:</w:t>
      </w:r>
    </w:p>
    <w:tbl>
      <w:tblPr>
        <w:tblW w:w="7883" w:type="dxa"/>
        <w:jc w:val="left"/>
        <w:tblInd w:w="0" w:type="dxa"/>
        <w:tblCellMar>
          <w:top w:w="28" w:type="dxa"/>
          <w:left w:w="28" w:type="dxa"/>
          <w:bottom w:w="28" w:type="dxa"/>
          <w:right w:w="28" w:type="dxa"/>
        </w:tblCellMar>
      </w:tblPr>
      <w:tblGrid>
        <w:gridCol w:w="2018"/>
        <w:gridCol w:w="1778"/>
        <w:gridCol w:w="1783"/>
        <w:gridCol w:w="211"/>
        <w:gridCol w:w="646"/>
        <w:gridCol w:w="109"/>
        <w:gridCol w:w="109"/>
        <w:gridCol w:w="109"/>
        <w:gridCol w:w="109"/>
        <w:gridCol w:w="211"/>
        <w:gridCol w:w="646"/>
        <w:gridCol w:w="154"/>
      </w:tblGrid>
      <w:tr>
        <w:trPr/>
        <w:tc>
          <w:tcPr>
            <w:tcW w:w="2018"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Beginning balance after adoption of ASC 606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Additions to deferred costs to fulfill a contract during the period</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Amortization of deferred costs to fulfill a contract</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Deferred fulfillment costs, current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1,060 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Deferred fulfillment costs, noncurrent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Total deferred costs to fulfill a contract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NOTE 13. FAIR VALUE MEASUREMENTS </w:t>
      </w:r>
    </w:p>
    <w:p>
      <w:pPr>
        <w:pStyle w:val="TextBody"/>
        <w:spacing w:lineRule="auto" w:line="288" w:before="0" w:after="180"/>
        <w:ind w:left="0" w:right="0" w:firstLine="360"/>
        <w:jc w:val="both"/>
        <w:rPr/>
      </w:pPr>
      <w:r>
        <w:rPr>
          <w:rFonts w:ascii="Helvetica;sans-serif" w:hAnsi="Helvetica;sans-serif"/>
          <w:b w:val="false"/>
          <w:color w:val="000000"/>
          <w:sz w:val="20"/>
        </w:rPr>
        <w:t>a.</w:t>
      </w:r>
      <w:r>
        <w:rPr>
          <w:rFonts w:ascii="Helvetica;sans-serif" w:hAnsi="Helvetica;sans-serif"/>
          <w:b w:val="false"/>
          <w:color w:val="000000"/>
          <w:sz w:val="20"/>
        </w:rPr>
        <w:t xml:space="preserve">In July 2016, as part of the Company's stock and warrant purchase agreement with a new investor, the Company issued the new investor a warrant to purchase 5,974,515 shares of common stock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222250"/>
                <wp:effectExtent l="0" t="0" r="0" b="0"/>
                <wp:wrapNone/>
                <wp:docPr id="225" name="Frame21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F-28</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13. FAIR VALUE MEASUREMENTS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of the Company (subject to certain adjustments, as described below) with an exercise price of $0.0001 per share. The warrant expires in July 2026.</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warrant is exercisable immediately prior to the occurrence of a Triggering Event (as such term is defined in the warrant agreement), or in connection with an exercise of co-sale rights. If the warrant is exercised in connection with a Liquidation Event or Qualified IPO (each as defined in the warrant agreement), the number of shares issuable upon such exercise will be subject to certain adjustments based on the equity valuation implied by such Liquidation Event or Qualified IPO. In addition, the warrant has a redemption right which entitles the holder, at its sole discretion, to redeem the warrant after the fifth anniversary from the issuance date.</w:t>
      </w:r>
    </w:p>
    <w:p>
      <w:pPr>
        <w:pStyle w:val="TextBody"/>
        <w:spacing w:lineRule="auto" w:line="288" w:before="0" w:after="180"/>
        <w:ind w:left="0" w:right="0" w:firstLine="360"/>
        <w:jc w:val="both"/>
        <w:rPr/>
      </w:pPr>
      <w:r>
        <w:rPr>
          <w:rFonts w:ascii="Helvetica;sans-serif" w:hAnsi="Helvetica;sans-serif"/>
          <w:b w:val="false"/>
          <w:color w:val="000000"/>
          <w:sz w:val="20"/>
        </w:rPr>
        <w:t>b.</w:t>
      </w:r>
      <w:r>
        <w:rPr>
          <w:rFonts w:ascii="Helvetica;sans-serif" w:hAnsi="Helvetica;sans-serif"/>
          <w:b w:val="false"/>
          <w:color w:val="000000"/>
          <w:sz w:val="20"/>
        </w:rPr>
        <w:t>In October 2015, as part of the Second Modification to the Additional Loan Agreement, the Company issued the lender a warrant to purchase 32,841 shares of Series E Preferred stock with an exercise price of $15.223 per share. The warrant expires in October 2025.</w:t>
      </w:r>
    </w:p>
    <w:p>
      <w:pPr>
        <w:pStyle w:val="TextBody"/>
        <w:spacing w:lineRule="auto" w:line="288" w:before="0" w:after="180"/>
        <w:ind w:left="0" w:right="0" w:firstLine="360"/>
        <w:jc w:val="both"/>
        <w:rPr/>
      </w:pPr>
      <w:r>
        <w:rPr>
          <w:rFonts w:ascii="Helvetica;sans-serif" w:hAnsi="Helvetica;sans-serif"/>
          <w:b w:val="false"/>
          <w:color w:val="000000"/>
          <w:sz w:val="20"/>
        </w:rPr>
        <w:t>c.</w:t>
      </w:r>
      <w:r>
        <w:rPr>
          <w:rFonts w:ascii="Helvetica;sans-serif" w:hAnsi="Helvetica;sans-serif"/>
          <w:b w:val="false"/>
          <w:color w:val="000000"/>
          <w:sz w:val="20"/>
        </w:rPr>
        <w:t>In 2014, 2012 and 2011, the Company issued warrants to purchase 68,965 shares of Series E Preferred stock with an exercise price of $ 10.15 per share, 56,285 shares of Series D Preferred stock with an exercise price of $ 5.33 per share and 31,414 shares of Series C Preferred stock with an exercise price of $ 3.82 per share, respectively. As part of the third amendment to the loan agreement, the expiration date of the Preferred D and E warrants have been extended to October 2025.</w:t>
      </w:r>
    </w:p>
    <w:p>
      <w:pPr>
        <w:pStyle w:val="TextBody"/>
        <w:spacing w:lineRule="auto" w:line="288" w:before="0" w:after="180"/>
        <w:ind w:left="0" w:right="0" w:firstLine="360"/>
        <w:jc w:val="both"/>
        <w:rPr/>
      </w:pPr>
      <w:r>
        <w:rPr>
          <w:rFonts w:ascii="Helvetica;sans-serif" w:hAnsi="Helvetica;sans-serif"/>
          <w:b w:val="false"/>
          <w:color w:val="000000"/>
          <w:sz w:val="20"/>
        </w:rPr>
        <w:t>d.</w:t>
      </w:r>
      <w:r>
        <w:rPr>
          <w:rFonts w:ascii="Helvetica;sans-serif" w:hAnsi="Helvetica;sans-serif"/>
          <w:b w:val="false"/>
          <w:color w:val="000000"/>
          <w:sz w:val="20"/>
        </w:rPr>
        <w:t>The above-mentioned transactions were accounted for in accordance with ASC 815-40, "Derivatives and Hedging - Contracts in Entity`s Own Equity," ("ASC 815") and ASC 480-10, "Distinguishing Liabilities from Equity" ("ASC 480"). The warrants are recorded as a liability in the Company's balance sheet and are measured at fair value at each reporting date.</w:t>
      </w:r>
    </w:p>
    <w:p>
      <w:pPr>
        <w:pStyle w:val="TextBody"/>
        <w:spacing w:lineRule="auto" w:line="288" w:before="0" w:after="180"/>
        <w:ind w:left="0" w:right="0" w:firstLine="360"/>
        <w:jc w:val="both"/>
        <w:rPr/>
      </w:pPr>
      <w:r>
        <w:rPr>
          <w:rFonts w:ascii="Helvetica;sans-serif" w:hAnsi="Helvetica;sans-serif"/>
          <w:b w:val="false"/>
          <w:color w:val="000000"/>
          <w:sz w:val="20"/>
        </w:rPr>
        <w:t>e.</w:t>
      </w:r>
      <w:r>
        <w:rPr>
          <w:rFonts w:ascii="Helvetica;sans-serif" w:hAnsi="Helvetica;sans-serif"/>
          <w:b w:val="false"/>
          <w:color w:val="000000"/>
          <w:sz w:val="20"/>
        </w:rPr>
        <w:t>On March 26, 2020, as part of Newrow acquisition, the Company issued to Newrow’s former stockholders a warrant to purchase 613,255 shares of common stock subject to certain performance target (the “Newrow Warrant”). The Newrow Warrant was recorded as a liability in the Company's balance sheet and was measured at fair value at each interim reporting date. During 2020, the Company recorded remeasurement expenses related to the Newrow Warrant in the amount of $1,836. During November 2020, the performance target was achieved and the Newrow Warrant was reclassified to stockholders' deficit.</w:t>
      </w:r>
    </w:p>
    <w:p>
      <w:pPr>
        <w:pStyle w:val="TextBody"/>
        <w:spacing w:lineRule="auto" w:line="288" w:before="0" w:after="180"/>
        <w:ind w:left="0" w:right="0" w:firstLine="360"/>
        <w:jc w:val="both"/>
        <w:rPr/>
      </w:pPr>
      <w:r>
        <w:rPr>
          <w:rFonts w:ascii="Helvetica;sans-serif" w:hAnsi="Helvetica;sans-serif"/>
          <w:b w:val="false"/>
          <w:color w:val="000000"/>
          <w:sz w:val="20"/>
        </w:rPr>
        <w:t>f.</w:t>
      </w:r>
      <w:r>
        <w:rPr>
          <w:rFonts w:ascii="Helvetica;sans-serif" w:hAnsi="Helvetica;sans-serif"/>
          <w:b w:val="false"/>
          <w:color w:val="000000"/>
          <w:sz w:val="20"/>
        </w:rPr>
        <w:t>During the year ended December 31, 2020 and 2019 the Company recorded financial expenses from changes in the warrants' fair value in the amount of $41,505 and $ 5,300 (see also Note 2ab), respectively.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measures the warrants at fair value by applying the OPM in each reporting period until they are exercised or expired, with changes in fair values being recognized in the Company's consolidated statement of operations as financial income or expenses.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estimating the warrants' fair value, the Company used the following assumptions:</w:t>
      </w:r>
    </w:p>
    <w:tbl>
      <w:tblPr>
        <w:tblW w:w="4125" w:type="dxa"/>
        <w:jc w:val="left"/>
        <w:tblInd w:w="0" w:type="dxa"/>
        <w:tblCellMar>
          <w:top w:w="28" w:type="dxa"/>
          <w:left w:w="28" w:type="dxa"/>
          <w:bottom w:w="28" w:type="dxa"/>
          <w:right w:w="28" w:type="dxa"/>
        </w:tblCellMar>
      </w:tblPr>
      <w:tblGrid>
        <w:gridCol w:w="719"/>
        <w:gridCol w:w="633"/>
        <w:gridCol w:w="642"/>
        <w:gridCol w:w="270"/>
        <w:gridCol w:w="271"/>
        <w:gridCol w:w="286"/>
        <w:gridCol w:w="109"/>
        <w:gridCol w:w="109"/>
        <w:gridCol w:w="109"/>
        <w:gridCol w:w="323"/>
        <w:gridCol w:w="323"/>
        <w:gridCol w:w="331"/>
      </w:tblGrid>
      <w:tr>
        <w:trPr/>
        <w:tc>
          <w:tcPr>
            <w:tcW w:w="71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Volatility</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 yield</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life</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0.405 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right"/>
        <w:rPr>
          <w:rFonts w:ascii="Helvetica;sans-serif" w:hAnsi="Helvetica;sans-serif"/>
          <w:b/>
          <w:color w:val="000000"/>
          <w:sz w:val="20"/>
        </w:rPr>
      </w:pPr>
      <w:r>
        <w:br w:type="page"/>
      </w: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222250"/>
                <wp:effectExtent l="0" t="0" r="0" b="0"/>
                <wp:wrapNone/>
                <wp:docPr id="226" name="Frame22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F-29</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13. FAIR VALUE MEASUREMENTS (Cont.)</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(1)Dividend yield - was based on the fact that the Company has not paid dividends to its stockholders in the past and does not expect to pay dividends to its stockholders in the foreseeable future.</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(2)Expected volatility - was calculated based on actual historical stock price movements of companies in the same industry over the term that is equivalent to the expected term of the option.</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(3)Risk-free interest - based on yield rate of non-index linked U.S. Federal Reserve treasury stock.</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(4)Expected term - the expected term was based on the expected maturity date of the warrants.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Fair value measurement using significant unobservable inputs (Level 3):</w:t>
      </w:r>
    </w:p>
    <w:tbl>
      <w:tblPr>
        <w:tblW w:w="7608" w:type="dxa"/>
        <w:jc w:val="left"/>
        <w:tblInd w:w="0" w:type="dxa"/>
        <w:tblCellMar>
          <w:top w:w="28" w:type="dxa"/>
          <w:left w:w="28" w:type="dxa"/>
          <w:bottom w:w="28" w:type="dxa"/>
          <w:right w:w="28" w:type="dxa"/>
        </w:tblCellMar>
      </w:tblPr>
      <w:tblGrid>
        <w:gridCol w:w="1628"/>
        <w:gridCol w:w="1430"/>
        <w:gridCol w:w="1442"/>
        <w:gridCol w:w="211"/>
        <w:gridCol w:w="721"/>
        <w:gridCol w:w="109"/>
        <w:gridCol w:w="109"/>
        <w:gridCol w:w="109"/>
        <w:gridCol w:w="109"/>
        <w:gridCol w:w="211"/>
        <w:gridCol w:w="721"/>
        <w:gridCol w:w="109"/>
        <w:gridCol w:w="109"/>
        <w:gridCol w:w="109"/>
        <w:gridCol w:w="109"/>
        <w:gridCol w:w="109"/>
        <w:gridCol w:w="109"/>
        <w:gridCol w:w="154"/>
      </w:tblGrid>
      <w:tr>
        <w:trPr/>
        <w:tc>
          <w:tcPr>
            <w:tcW w:w="1628"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warrants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Reclassification of warrant to common stocks to equity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 in fair value of warrants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Composition of preferred stock capital of $ 0.0001 par value each as of December 31, 2019 and 2020:</w:t>
      </w:r>
    </w:p>
    <w:tbl>
      <w:tblPr>
        <w:tblW w:w="10205" w:type="dxa"/>
        <w:jc w:val="left"/>
        <w:tblInd w:w="0" w:type="dxa"/>
        <w:tblCellMar>
          <w:top w:w="28" w:type="dxa"/>
          <w:left w:w="28" w:type="dxa"/>
          <w:bottom w:w="28" w:type="dxa"/>
          <w:right w:w="28" w:type="dxa"/>
        </w:tblCellMar>
      </w:tblPr>
      <w:tblGrid>
        <w:gridCol w:w="1449"/>
        <w:gridCol w:w="1220"/>
        <w:gridCol w:w="1227"/>
        <w:gridCol w:w="562"/>
        <w:gridCol w:w="564"/>
        <w:gridCol w:w="331"/>
        <w:gridCol w:w="109"/>
        <w:gridCol w:w="109"/>
        <w:gridCol w:w="109"/>
        <w:gridCol w:w="664"/>
        <w:gridCol w:w="608"/>
        <w:gridCol w:w="582"/>
        <w:gridCol w:w="109"/>
        <w:gridCol w:w="109"/>
        <w:gridCol w:w="109"/>
        <w:gridCol w:w="404"/>
        <w:gridCol w:w="1641"/>
        <w:gridCol w:w="299"/>
      </w:tblGrid>
      <w:tr>
        <w:trPr/>
        <w:tc>
          <w:tcPr>
            <w:tcW w:w="1449"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2019</w:t>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liquidation preference</w:t>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A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1,043,778 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1,043,778 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B Preferred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3,240,085 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3,240,085 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12,631 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C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3,434,556 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3,403,141 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18,110 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D Preferred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2,870,544 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2,814,258 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17,287 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D-1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714,286 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714,286 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4,354 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E Preferred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4,042,693 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3,940,885 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40,000 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F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1,666,667 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1,666,667 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80,884 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and redeemable convertible Preferred stock</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17,012,609 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16,823,100 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175,187 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right"/>
        <w:rPr>
          <w:rFonts w:ascii="Helvetica;sans-serif" w:hAnsi="Helvetica;sans-serif"/>
          <w:b/>
          <w:color w:val="000000"/>
          <w:sz w:val="20"/>
        </w:rPr>
      </w:pPr>
      <w:r>
        <w:br w:type="page"/>
      </w: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222250"/>
                <wp:effectExtent l="0" t="0" r="0" b="0"/>
                <wp:wrapNone/>
                <wp:docPr id="227" name="Frame22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F-30</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tbl>
      <w:tblPr>
        <w:tblW w:w="10205" w:type="dxa"/>
        <w:jc w:val="left"/>
        <w:tblInd w:w="0" w:type="dxa"/>
        <w:tblCellMar>
          <w:top w:w="28" w:type="dxa"/>
          <w:left w:w="28" w:type="dxa"/>
          <w:bottom w:w="28" w:type="dxa"/>
          <w:right w:w="28" w:type="dxa"/>
        </w:tblCellMar>
      </w:tblPr>
      <w:tblGrid>
        <w:gridCol w:w="1449"/>
        <w:gridCol w:w="1220"/>
        <w:gridCol w:w="1227"/>
        <w:gridCol w:w="562"/>
        <w:gridCol w:w="564"/>
        <w:gridCol w:w="331"/>
        <w:gridCol w:w="109"/>
        <w:gridCol w:w="109"/>
        <w:gridCol w:w="109"/>
        <w:gridCol w:w="664"/>
        <w:gridCol w:w="608"/>
        <w:gridCol w:w="582"/>
        <w:gridCol w:w="109"/>
        <w:gridCol w:w="109"/>
        <w:gridCol w:w="109"/>
        <w:gridCol w:w="404"/>
        <w:gridCol w:w="1641"/>
        <w:gridCol w:w="299"/>
      </w:tblGrid>
      <w:tr>
        <w:trPr/>
        <w:tc>
          <w:tcPr>
            <w:tcW w:w="1449"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liquidation preference</w:t>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A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1,043,778 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1,043,778 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1,921 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B Preferred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3,240,085 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3,240,085 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12,631 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C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3,434,556 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3,403,141 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18,110 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D Preferred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2,870,544 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2,814,258 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17,287 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D-1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714,286 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714,286 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4,354 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E Preferred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4,042,693 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3,940,885 </w:t>
            </w:r>
          </w:p>
        </w:tc>
        <w:tc>
          <w:tcPr>
            <w:tcW w:w="5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40,000 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F Preferred stock</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1,666,667 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1,666,667 </w:t>
            </w:r>
          </w:p>
        </w:tc>
        <w:tc>
          <w:tcPr>
            <w:tcW w:w="5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93,043 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and redeemable convertible Preferred stock</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17,012,609 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16,823,100 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187,346 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b.1.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shares of common Stock confer upon their holders the right to receive notice to participate and vote in general stockholders meetings of the Company, and the right to receive dividends, if declared, and to participate in the distribution of the surplus assets of the Company upon liquidation of the Company, as more fully described in the Company's certificate of incorporation. The voting, dividend and liquidation rights of the holders of the Company's common Stock are subject to and qualified by the rights, powers and preferences of the holders of the Preferred Stock.</w:t>
      </w:r>
    </w:p>
    <w:p>
      <w:pPr>
        <w:pStyle w:val="TextBody"/>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2.     Convertible and Redeemable Convertible Preferred stock: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Series A Preferred Stock, Series B Preferred Stock, Series C Preferred Stock, Series D Preferred Stock, Series D-1 Preferred Stock and Series E Preferred Stock of the Company (the “Series A-E Stock”) confer upon their holders all of the rights of the shares of common Stock.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holders of shares of Series A-E Stock and Series F Stock (the “Series F Stock” and together with the Series A-E Stock, the “Preferred Stock”) also have the following rights, preferences and privileges:</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Voting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Each holder of Series A-E Stock shall be entitled to the number of votes equal to the number of shares of common Stock into which such Series A-E Stock could be converted as of immediately after the close of business on the applicable date and shall have voting rights and powers equal to the voting rights and powers of the common Stock.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Series F Stock have no voting rights or any other voting power except as expressly set forth in the Restated Certificate (including certain veto rights) or as required by applicable law (provided that in such event, all shares of Series F Stock shall entitle the holders thereof to an aggregate (for all such holders) of one vote).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holder of the GS Warrant shall be entitled to the number of votes equal to the number of shares of common Stock into which such GS Warrant is exercisable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222250"/>
                <wp:effectExtent l="0" t="0" r="0" b="0"/>
                <wp:wrapNone/>
                <wp:docPr id="228" name="Frame22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F-31</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Conversion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Each share of the applicable Series A-E Stock may, at the option of the holder thereof, be converted at any time into fully-paid and nonassessable shares of common stock as is determined by dividing the applicable Series A-E Stock original issuance prices by the applicable conversion price then in effect (which conversion price, in each case, has been proportionally decreased to account for the subdivision of the Company’s common stock in connection with the stock split described in Note 14e). The shares of Series A-E Stock shall automatically be converted into common stock at the applicable conversion price then in effect immediately prior to the closing of a Qualified IPO (as such term is defined in the Restated Certificate, which includes an IPO pursuant to the registration statement of which this prospectus forms a part). In addition, the shares of the applicable Series A-E Stock (separately) shall automatically be converted into common stock at the applicable conversion price then in effect upon the affirmative election of the holders of the applicable majority of the outstanding shares of such applicable Series A-E Stock (voting separately), in accordance with the terms and conditions set forth in the Restated Certificate.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Series F Stock shall be converted into shares of common stock immediately prior to the closing of a Series F Qualified IPO (as such term is defined in the Restated Certificate, which includes an IPO pursuant to the registration statement of which this prospectus forms a part) and only upon certain circumstances in accordance with the terms and conditions set forth in the Restated Certificate.</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Dividend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holders of Series F Stock shall be entitled to receive, in preference to the holders of all other Preferred Stock and common stock, cumulative dividends in an amount equal to 10% of the respective original issue price compounded semi-annually, for each outstanding share of Series F Stock; Such dividends shall be payable only when, as and if declared by the Board of Directors of the Company, out of any assets legally available therefor.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Thereafter, holders of the applicable Series E Preferred Stock, Series D-1 Preferred Stock, Series D Preferred Stock, Series C Preferred Stock and Series B Preferred Stock (the "Series B-E Stock") shall be entitled to receive non-cumulative dividends in an amount equal to 8% of the respective original issue price of each such series of Series B-E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holders of Series D-1 Preferred Stock, Series D Preferred Stock, Series C Preferred Stock and Series B Preferred Stock (the "Series B/D-1 Stock") are entitled to also receive (in addition to the foregoing dividends) their respective Retained Dividends (as such term is defined in the Sixth Amended and Restated Investor Rights Agreement by and amend the Company and the other parties thereto) for each outstanding share of such applicable Series B/D-1 Stock. The preference order among the Series B-E Stock is such that holders of Series E Stock, Series D-1 and Series D Stock (on a pari passu), Series C Stock and Series B Stock shall be entitled, in their respective order, to receive, prior and in preference to the above order, the dividends described above. Such dividends shall be payable only when, as and if declared by the Board of Directors of the Company, out of any assets legally available therefor.</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Liquidation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Upon any Liquidation Event (as defined in the Restated Certificate), before any distribution to the holders of common stock or Series A-E Preferred Stock, the holders of Series F Stock shall be entitled to be paid, out of the assets of the Company legally available for distribution, for each share of Series F Stock held by them, an amount per share of Series F Stock equal to the Series F original issue price plus all accrued but unpaid dividends on the Series F Stock (the "Series F Preference"); less any Prepayments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222250"/>
                <wp:effectExtent l="0" t="0" r="0" b="0"/>
                <wp:wrapNone/>
                <wp:docPr id="229" name="Frame22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F-32</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defined in the Restated Certificate); provided however, that in the event that the sum of (i) the aggregate amount payable in connection with a Liquidation Event to all holders of Series F Stock on account of the shares of Series F Stock; plus (ii) the aggregate amount payable to all holders of the GS Warrant on account of the shares of common stock issuable upon exercise of the GS Warrant (and to any other stockholder to which the GS Issued Warrant Shares (as defined in the Restated Certificate) were transferred) is less than the Minimum Return Amount (as such term is defined in the Restated Certificate), the aggregate Series F Preference shall be increased, on a dollar-for-dollar basis, until the sum of (i) the aggregate amount payable in connection with a Liquidation Event to all holders of Series F Stock on account of the shares of Series F Stock held thereby; plus (ii) the aggregate amount payable in connection with a Liquidation Event to (a) all holders of the GS Warrant on account of the common stock issuable upon exercise of the GS Warrant, and (b) to any other stockholder holding GS Issued Warrant Shares, on account of the GS Issued Warrant Shares held thereby, will equal the Minimum Return Amount.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Thereafter, holders of shares of Series B-E Stock shall be entitled to be paid, out of the assets of the Company legally available for distribution, for each share of such applicable Series B-E Stock, an amount per share of such applicable Series B-E Stock equal to the respective original issue price of such applicable Series B-E Stock plus an amount equal to all declared but unpaid dividends on such Series B-E Stock (plus, with respect to the Series B/D-1 Stock – also their respective Retained Dividends) and less all amounts previously paid to the holders of such applicable Series B-E Stock on such share.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liquidation order among the Series B-E Stock is such that holders of Series E Stock, Series D-1 Stock and Series D Stock (on a pari passu basis), Series C Stock and Series B Stock shall be entitled, in their respective order, to receive, prior and in preference to the above order any distribution of any asset, capital, earnings or surplus funds of the Company as described above.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Thereafter, holders of the Series A Preferred Stock shall be entitled to receive, prior to any distribution of any of the assets or surplus funds of the Company to the holders of the common stock, out of the assets of the Company legally available for distribution, for each share of Series A Preferred Stock held by them an amount equal to the original issue price of such Series A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Thereafter, holders of Series A-E Stock and common stock shall be entitled to receive all declared and unpaid dividends on the common stock, if any, on a pro rata basis.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Thereafter, the remaining assets of the Company legally available for distribution, if any, shall be distributed ratably to the holders of the common stock and the holders of Series B-E Stock (on an as if converted basis), until the holders of each applicable class of Series B-E Stock, as applicable, shall have received pursuant to the applicable provisions in the Restated Certificate, the applicable "Participation Cap" – as set forth in Section 3(h) of Article IV(D) of the Restated Certificate. Thereafter, the remaining assets of the Company legally available for distribution in such Liquidation Event, if any, shall be ratably distributed to the holders of the common stock.</w:t>
      </w:r>
    </w:p>
    <w:p>
      <w:pPr>
        <w:pStyle w:val="TextBody"/>
        <w:spacing w:lineRule="auto" w:line="288" w:before="120" w:after="180"/>
        <w:ind w:left="0" w:right="0" w:firstLine="360"/>
        <w:rPr>
          <w:rFonts w:ascii="Helvetica;sans-serif" w:hAnsi="Helvetica;sans-serif"/>
          <w:b w:val="false"/>
          <w:color w:val="000000"/>
          <w:sz w:val="20"/>
          <w:u w:val="single"/>
        </w:rPr>
      </w:pPr>
      <w:r>
        <w:rPr>
          <w:rFonts w:ascii="Helvetica;sans-serif" w:hAnsi="Helvetica;sans-serif"/>
          <w:b w:val="false"/>
          <w:color w:val="000000"/>
          <w:sz w:val="20"/>
          <w:u w:val="single"/>
        </w:rPr>
        <w:t>Redemption Rights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after the fifth anniversary of the original issue date set forth in the Restated Certificate, (a) holders of a majority of the Series F Stock may request the redemption of all or any part of the Series F Stock; and (b) the holder(s) of the GS Warrant may request the redemption of all or any part of the GS Warrant. The Company shall redeem all shares of Series F Stock and the GS Warrant, at a price per share, with respect to each applicable share of Series F Stock, equal to the Series F Liquidation Preference, subject to payment of the Minimum Return Amount, all subject to the terms and conditions in the Restated Certificate.</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222250"/>
                <wp:effectExtent l="0" t="0" r="0" b="0"/>
                <wp:wrapNone/>
                <wp:docPr id="230" name="Frame22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F-33</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after the fifth anniversary of the original issue date set forth in the Restated Certificate, the holders of a certain applicable majority of each applicable series of Series B-E Stock (voting separately as set forth in the Restated Certificate), may request the redemption of the respective series of Series B-E Stock, at a price per share equal to the applicable Preferred Preference amount applicable to the respective series of Series B-E Stock, all subject to the terms and conditions in the Restated Certificate.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presented its Convertible and Redeemable Convertible Preferred Stock as temporary equity in accordance with ASC 480-10-S99-3A. Changes in the redemption value were accreted over the period from the date of issuance (or from the date that it becomes probable that the instrument will become redeemable, if later) to the earliest redemption date of the instrument using an appropriate methodology, usually the interest method.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the second quarter of 2020, the Company determined that it is not probable that the instruments will become redeemable and stopped the accretion. The Company did not reverse prior measurement adjustments. The calculated redemption value of the Series F Stock based on the accretion method amounted to approximately $63,168 and $65,809 as of December 31, 2019 and 2020, respectively.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Series B, Series C, Series D, Series D-1, Series E and Series F Preferred stock are considered redeemable preferred stock and presented outside of permanent equity in the mezzanine section of the consolidated balance sheets.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Series A's liquidation preference provisions are considered contingent redemption provisions that are not solely within the Company’s control and have been presented outside of permanent equity in the mezzanine section of the consolidated balance sheet.</w:t>
      </w:r>
    </w:p>
    <w:p>
      <w:pPr>
        <w:pStyle w:val="TextBody"/>
        <w:spacing w:lineRule="auto" w:line="288" w:before="120" w:after="180"/>
        <w:ind w:left="0" w:right="0" w:firstLine="360"/>
        <w:rPr/>
      </w:pPr>
      <w:r>
        <w:rPr>
          <w:rFonts w:ascii="Helvetica;sans-serif" w:hAnsi="Helvetica;sans-serif"/>
          <w:b/>
          <w:i/>
          <w:color w:val="000000"/>
          <w:sz w:val="20"/>
        </w:rPr>
        <w:t>c.</w:t>
      </w:r>
      <w:r>
        <w:rPr>
          <w:rFonts w:ascii="Helvetica;sans-serif" w:hAnsi="Helvetica;sans-serif"/>
          <w:b/>
          <w:i/>
          <w:color w:val="000000"/>
          <w:sz w:val="20"/>
        </w:rPr>
        <w:t>Receivables on account of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May 2015, the Company entered into loan agreements with certain of its executive employees for the purpose of exercising vested options (the “Employee Loan Agreements”). The Employee Loan Agreements shall become due and payable in full in July 2021, unless certain events detailed in the Employee Loan Agreements occur prior to such date. In addition, such loans shall automatically be forgiven and deemed to have been repaid in full upon the consummation of an Exempted IPO, as such term is defined in the Employee Loan Agreements.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2021, after the balance sheet date, the Employee Loan Agreements were amended such that the loans will be automatically forgiven and deemed to have been repaid in full immediately prior to the public filing by the Company of a registration statement under the Securities Act of 1933, as amended.</w:t>
      </w:r>
    </w:p>
    <w:p>
      <w:pPr>
        <w:pStyle w:val="TextBody"/>
        <w:spacing w:lineRule="auto" w:line="288" w:before="120" w:after="180"/>
        <w:ind w:left="0" w:right="0" w:firstLine="360"/>
        <w:rPr/>
      </w:pPr>
      <w:r>
        <w:rPr>
          <w:rFonts w:ascii="Helvetica;sans-serif" w:hAnsi="Helvetica;sans-serif"/>
          <w:b/>
          <w:i/>
          <w:color w:val="000000"/>
          <w:sz w:val="20"/>
        </w:rPr>
        <w:t>d.</w:t>
      </w:r>
      <w:r>
        <w:rPr>
          <w:color w:val="000000"/>
        </w:rPr>
        <w:t xml:space="preserve"> </w:t>
      </w:r>
      <w:r>
        <w:rPr>
          <w:rFonts w:ascii="Helvetica;sans-serif" w:hAnsi="Helvetica;sans-serif"/>
          <w:b/>
          <w:i/>
          <w:color w:val="000000"/>
          <w:sz w:val="20"/>
        </w:rPr>
        <w:t>Stock Option Plans: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Company's 2007 U.S. and Israeli Stock Option Plans (the “2007 Plans”), options may be granted to officers, directors, employees, advisors and consultants of the Company or its subsidiaries.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2017, the Company adopted a new equity incentive plan, the “2017 Equity Incentive Plan” (the “2017 Plan” and together with the 2007 Plans, the "Plans"), and extended the term of the 2007 Israeli Stock Option Plan and the term of the options already granted thereunder for an additional ten year period.</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222250"/>
                <wp:effectExtent l="0" t="0" r="0" b="0"/>
                <wp:wrapNone/>
                <wp:docPr id="231" name="Frame22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F-34</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Plans, the Company reserved 10,107,262 shares of common stock for issuance. Following the adoption of a new option policy, the Company has reserved an additional 4,023,748 shares of common stock. As of December 31, 2020, an aggregate of 24,610 shares of common stock of the Company were still available for future grants under the 2017 Plan.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option granted under the Plans is exercisable until the earlier of ten years (or 20 years if granted under the 2007 Israeli Stock Option Plan) from the date of the grant of the option. The options vest primarily over a four year period. Any options that are forfeited or not exercised before expiration become available for future grants.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summary of the Company's stock option activity with respect to options granted under the Plans is as follows:</w:t>
      </w:r>
    </w:p>
    <w:tbl>
      <w:tblPr>
        <w:tblW w:w="10205" w:type="dxa"/>
        <w:jc w:val="left"/>
        <w:tblInd w:w="0" w:type="dxa"/>
        <w:tblCellMar>
          <w:top w:w="28" w:type="dxa"/>
          <w:left w:w="28" w:type="dxa"/>
          <w:bottom w:w="28" w:type="dxa"/>
          <w:right w:w="28" w:type="dxa"/>
        </w:tblCellMar>
      </w:tblPr>
      <w:tblGrid>
        <w:gridCol w:w="910"/>
        <w:gridCol w:w="800"/>
        <w:gridCol w:w="802"/>
        <w:gridCol w:w="563"/>
        <w:gridCol w:w="563"/>
        <w:gridCol w:w="427"/>
        <w:gridCol w:w="109"/>
        <w:gridCol w:w="109"/>
        <w:gridCol w:w="109"/>
        <w:gridCol w:w="359"/>
        <w:gridCol w:w="921"/>
        <w:gridCol w:w="185"/>
        <w:gridCol w:w="109"/>
        <w:gridCol w:w="109"/>
        <w:gridCol w:w="109"/>
        <w:gridCol w:w="857"/>
        <w:gridCol w:w="857"/>
        <w:gridCol w:w="859"/>
        <w:gridCol w:w="109"/>
        <w:gridCol w:w="109"/>
        <w:gridCol w:w="109"/>
        <w:gridCol w:w="211"/>
        <w:gridCol w:w="751"/>
        <w:gridCol w:w="159"/>
      </w:tblGrid>
      <w:tr>
        <w:trPr/>
        <w:tc>
          <w:tcPr>
            <w:tcW w:w="91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Weighted</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w:t>
              <w:br/>
              <w:t>Intrinsic</w:t>
              <w:br/>
              <w:t>Value</w:t>
            </w:r>
          </w:p>
        </w:tc>
      </w:tr>
      <w:tr>
        <w:trPr/>
        <w:tc>
          <w:tcPr>
            <w:tcW w:w="2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January 1, 2020</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18,131,737 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15,960,637 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(1,281,438)</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11,365 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(829,532)</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December 31, 2020</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31,981,404 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7.72 </w:t>
            </w:r>
          </w:p>
        </w:tc>
        <w:tc>
          <w:tcPr>
            <w:tcW w:w="8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22,134 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options at end of year</w:t>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13,686,784 </w:t>
            </w:r>
          </w:p>
        </w:tc>
        <w:tc>
          <w:tcPr>
            <w:tcW w:w="4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5.24 </w:t>
            </w:r>
          </w:p>
        </w:tc>
        <w:tc>
          <w:tcPr>
            <w:tcW w:w="8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18,536 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both"/>
        <w:rPr/>
      </w:pPr>
      <w:r>
        <w:rPr/>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each option award is estimated on the date of grant using the Black-Scholes model that uses the assumptions noted in the following table:</w:t>
      </w:r>
    </w:p>
    <w:tbl>
      <w:tblPr>
        <w:tblW w:w="4495" w:type="dxa"/>
        <w:jc w:val="left"/>
        <w:tblInd w:w="0" w:type="dxa"/>
        <w:tblCellMar>
          <w:top w:w="28" w:type="dxa"/>
          <w:left w:w="28" w:type="dxa"/>
          <w:bottom w:w="28" w:type="dxa"/>
          <w:right w:w="28" w:type="dxa"/>
        </w:tblCellMar>
      </w:tblPr>
      <w:tblGrid>
        <w:gridCol w:w="721"/>
        <w:gridCol w:w="635"/>
        <w:gridCol w:w="639"/>
        <w:gridCol w:w="352"/>
        <w:gridCol w:w="352"/>
        <w:gridCol w:w="360"/>
        <w:gridCol w:w="109"/>
        <w:gridCol w:w="109"/>
        <w:gridCol w:w="109"/>
        <w:gridCol w:w="323"/>
        <w:gridCol w:w="323"/>
        <w:gridCol w:w="463"/>
      </w:tblGrid>
      <w:tr>
        <w:trPr/>
        <w:tc>
          <w:tcPr>
            <w:tcW w:w="72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volatility</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1.7%-2.6%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0.8%-0.4%</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 yield</w:t>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life</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5.83</w:t>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These assumptions and estimates were determined as follows:</w:t>
      </w:r>
    </w:p>
    <w:p>
      <w:pPr>
        <w:pStyle w:val="TextBody"/>
        <w:spacing w:lineRule="auto" w:line="288" w:before="120" w:after="180"/>
        <w:ind w:left="0" w:right="0" w:hanging="360"/>
        <w:jc w:val="both"/>
        <w:rPr/>
      </w:pPr>
      <w:r>
        <w:rPr>
          <w:rFonts w:ascii="Helvetica;sans-serif" w:hAnsi="Helvetica;sans-serif"/>
          <w:b w:val="false"/>
          <w:color w:val="000000"/>
          <w:sz w:val="20"/>
        </w:rPr>
        <w:t>(1)</w:t>
      </w:r>
      <w:r>
        <w:rPr>
          <w:rFonts w:ascii="Helvetica;sans-serif" w:hAnsi="Helvetica;sans-serif"/>
          <w:b w:val="false"/>
          <w:color w:val="000000"/>
          <w:sz w:val="20"/>
          <w:u w:val="single"/>
        </w:rPr>
        <w:t>Fair value of common stock</w:t>
      </w:r>
      <w:r>
        <w:rPr>
          <w:color w:val="000000"/>
        </w:rPr>
        <w:t xml:space="preserve"> </w:t>
      </w:r>
      <w:r>
        <w:rPr>
          <w:rFonts w:ascii="Helvetica;sans-serif" w:hAnsi="Helvetica;sans-serif"/>
          <w:b w:val="false"/>
          <w:color w:val="000000"/>
          <w:sz w:val="20"/>
        </w:rPr>
        <w:t>- As the Company's common stock is not publicly traded, the fair value was determined by the Company's Board of Directors, with input from management and assisted by valuation reports prepared by a third-party valuation specialist.</w:t>
      </w:r>
    </w:p>
    <w:p>
      <w:pPr>
        <w:pStyle w:val="TextBody"/>
        <w:spacing w:lineRule="auto" w:line="288" w:before="120" w:after="180"/>
        <w:ind w:left="0" w:right="0" w:hanging="360"/>
        <w:jc w:val="both"/>
        <w:rPr/>
      </w:pPr>
      <w:r>
        <w:rPr>
          <w:rFonts w:ascii="Helvetica;sans-serif" w:hAnsi="Helvetica;sans-serif"/>
          <w:b w:val="false"/>
          <w:color w:val="000000"/>
          <w:sz w:val="20"/>
        </w:rPr>
        <w:t>(2)</w:t>
      </w:r>
      <w:r>
        <w:rPr>
          <w:rFonts w:ascii="Helvetica;sans-serif" w:hAnsi="Helvetica;sans-serif"/>
          <w:b w:val="false"/>
          <w:color w:val="000000"/>
          <w:sz w:val="20"/>
          <w:u w:val="single"/>
        </w:rPr>
        <w:t>Risk-free interest rate</w:t>
      </w:r>
      <w:r>
        <w:rPr>
          <w:color w:val="000000"/>
        </w:rPr>
        <w:t xml:space="preserve"> </w:t>
      </w:r>
      <w:r>
        <w:rPr>
          <w:rFonts w:ascii="Helvetica;sans-serif" w:hAnsi="Helvetica;sans-serif"/>
          <w:b w:val="false"/>
          <w:color w:val="000000"/>
          <w:sz w:val="20"/>
        </w:rPr>
        <w:t>- The risk-free rate for the expected term of the options is based on the yields of U.S. Treasury securities with maturities appropriate for the expected term of the employee share option awards.</w:t>
      </w:r>
    </w:p>
    <w:p>
      <w:pPr>
        <w:pStyle w:val="TextBody"/>
        <w:spacing w:lineRule="auto" w:line="288" w:before="120" w:after="180"/>
        <w:ind w:left="0" w:right="0" w:hanging="360"/>
        <w:jc w:val="both"/>
        <w:rPr/>
      </w:pPr>
      <w:r>
        <w:rPr>
          <w:rFonts w:ascii="Helvetica;sans-serif" w:hAnsi="Helvetica;sans-serif"/>
          <w:b w:val="false"/>
          <w:color w:val="000000"/>
          <w:sz w:val="20"/>
        </w:rPr>
        <w:t>(3)</w:t>
      </w:r>
      <w:r>
        <w:rPr>
          <w:rFonts w:ascii="Helvetica;sans-serif" w:hAnsi="Helvetica;sans-serif"/>
          <w:b w:val="false"/>
          <w:color w:val="000000"/>
          <w:sz w:val="20"/>
          <w:u w:val="single"/>
        </w:rPr>
        <w:t>Expected life</w:t>
      </w:r>
      <w:r>
        <w:rPr>
          <w:color w:val="000000"/>
        </w:rPr>
        <w:t xml:space="preserve"> </w:t>
      </w:r>
      <w:r>
        <w:rPr>
          <w:rFonts w:ascii="Helvetica;sans-serif" w:hAnsi="Helvetica;sans-serif"/>
          <w:b w:val="false"/>
          <w:color w:val="000000"/>
          <w:sz w:val="20"/>
        </w:rPr>
        <w:t>- The expected life represents the period that options are expected to be outstanding. For option grants that are considered to be "plain vanilla," the Company determines the expected term using the simplified method. The simplified method deems the term to be the average of the time-to-vesting and the contractual life of the options.</w:t>
      </w:r>
    </w:p>
    <w:p>
      <w:pPr>
        <w:pStyle w:val="TextBody"/>
        <w:spacing w:lineRule="auto" w:line="288" w:before="120" w:after="180"/>
        <w:ind w:left="0" w:right="0" w:hanging="360"/>
        <w:jc w:val="both"/>
        <w:rPr/>
      </w:pPr>
      <w:r>
        <w:rPr>
          <w:rFonts w:ascii="Helvetica;sans-serif" w:hAnsi="Helvetica;sans-serif"/>
          <w:b w:val="false"/>
          <w:color w:val="000000"/>
          <w:sz w:val="20"/>
        </w:rPr>
        <w:t>(4)</w:t>
      </w:r>
      <w:r>
        <w:rPr>
          <w:rFonts w:ascii="Helvetica;sans-serif" w:hAnsi="Helvetica;sans-serif"/>
          <w:b w:val="false"/>
          <w:color w:val="000000"/>
          <w:sz w:val="20"/>
          <w:u w:val="single"/>
        </w:rPr>
        <w:t>Expected volatility</w:t>
      </w:r>
      <w:r>
        <w:rPr>
          <w:color w:val="000000"/>
        </w:rPr>
        <w:t xml:space="preserve"> </w:t>
      </w:r>
      <w:r>
        <w:rPr>
          <w:rFonts w:ascii="Helvetica;sans-serif" w:hAnsi="Helvetica;sans-serif"/>
          <w:b w:val="false"/>
          <w:color w:val="000000"/>
          <w:sz w:val="20"/>
        </w:rPr>
        <w:t xml:space="preserve">- Since the Company has no trading history of its ordinary shares, the expected volatility is derived from the average historical share volatilities of several unrelated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222250"/>
                <wp:effectExtent l="0" t="0" r="0" b="0"/>
                <wp:wrapNone/>
                <wp:docPr id="232" name="Frame22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F-35</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p>
      <w:pPr>
        <w:pStyle w:val="TextBody"/>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public companies within the Company's industry that the Company considers to be comparable to its own business over a period equivalent to the option's expected term.</w:t>
      </w:r>
    </w:p>
    <w:p>
      <w:pPr>
        <w:pStyle w:val="TextBody"/>
        <w:spacing w:lineRule="auto" w:line="288" w:before="120" w:after="180"/>
        <w:ind w:left="0" w:right="0" w:hanging="360"/>
        <w:jc w:val="both"/>
        <w:rPr/>
      </w:pPr>
      <w:r>
        <w:rPr>
          <w:rFonts w:ascii="Helvetica;sans-serif" w:hAnsi="Helvetica;sans-serif"/>
          <w:b w:val="false"/>
          <w:color w:val="000000"/>
          <w:sz w:val="20"/>
        </w:rPr>
        <w:t>(5)</w:t>
      </w:r>
      <w:r>
        <w:rPr>
          <w:rFonts w:ascii="Helvetica;sans-serif" w:hAnsi="Helvetica;sans-serif"/>
          <w:b w:val="false"/>
          <w:color w:val="000000"/>
          <w:sz w:val="20"/>
          <w:u w:val="single"/>
        </w:rPr>
        <w:t>Expected dividend yield</w:t>
      </w:r>
      <w:r>
        <w:rPr>
          <w:color w:val="000000"/>
        </w:rPr>
        <w:t xml:space="preserve"> </w:t>
      </w:r>
      <w:r>
        <w:rPr>
          <w:rFonts w:ascii="Helvetica;sans-serif" w:hAnsi="Helvetica;sans-serif"/>
          <w:b w:val="false"/>
          <w:color w:val="000000"/>
          <w:sz w:val="20"/>
        </w:rPr>
        <w:t>- The Company has never declared or paid any cash dividends and does not presently plan to pay cash dividends in the foreseeable future. As a result, an expected dividend yield of zero percent was used.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weighted average fair value of the service-based awards granted in the years ended December 31, 2019 and 2020 was $ 0.83 and $2.78 per option.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each market-based award is estimated on the date of grant using the Monte Carlo model that uses the assumptions noted in the following table:</w:t>
      </w:r>
    </w:p>
    <w:tbl>
      <w:tblPr>
        <w:tblW w:w="2867" w:type="dxa"/>
        <w:jc w:val="left"/>
        <w:tblInd w:w="0" w:type="dxa"/>
        <w:tblCellMar>
          <w:top w:w="28" w:type="dxa"/>
          <w:left w:w="28" w:type="dxa"/>
          <w:bottom w:w="28" w:type="dxa"/>
          <w:right w:w="28" w:type="dxa"/>
        </w:tblCellMar>
      </w:tblPr>
      <w:tblGrid>
        <w:gridCol w:w="721"/>
        <w:gridCol w:w="635"/>
        <w:gridCol w:w="639"/>
        <w:gridCol w:w="270"/>
        <w:gridCol w:w="271"/>
        <w:gridCol w:w="331"/>
      </w:tblGrid>
      <w:tr>
        <w:trPr/>
        <w:tc>
          <w:tcPr>
            <w:tcW w:w="72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volatility</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0.94 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 yield</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120" w:after="180"/>
        <w:ind w:left="0" w:right="0" w:hanging="360"/>
        <w:jc w:val="both"/>
        <w:rPr/>
      </w:pPr>
      <w:r>
        <w:rPr>
          <w:rFonts w:ascii="Helvetica;sans-serif" w:hAnsi="Helvetica;sans-serif"/>
          <w:b w:val="false"/>
          <w:color w:val="000000"/>
          <w:sz w:val="20"/>
        </w:rPr>
        <w:t>(1)</w:t>
      </w:r>
      <w:r>
        <w:rPr>
          <w:rFonts w:ascii="Helvetica;sans-serif" w:hAnsi="Helvetica;sans-serif"/>
          <w:b w:val="false"/>
          <w:color w:val="000000"/>
          <w:sz w:val="20"/>
          <w:u w:val="single"/>
        </w:rPr>
        <w:t>Expected volatility</w:t>
      </w:r>
      <w:r>
        <w:rPr>
          <w:color w:val="000000"/>
        </w:rPr>
        <w:t xml:space="preserve"> </w:t>
      </w:r>
      <w:r>
        <w:rPr>
          <w:rFonts w:ascii="Helvetica;sans-serif" w:hAnsi="Helvetica;sans-serif"/>
          <w:b w:val="false"/>
          <w:color w:val="000000"/>
          <w:sz w:val="20"/>
        </w:rPr>
        <w:t>- Because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pStyle w:val="TextBody"/>
        <w:spacing w:lineRule="auto" w:line="288" w:before="120" w:after="180"/>
        <w:ind w:left="0" w:right="0" w:hanging="360"/>
        <w:jc w:val="both"/>
        <w:rPr/>
      </w:pPr>
      <w:r>
        <w:rPr>
          <w:rFonts w:ascii="Helvetica;sans-serif" w:hAnsi="Helvetica;sans-serif"/>
          <w:b w:val="false"/>
          <w:color w:val="000000"/>
          <w:sz w:val="20"/>
        </w:rPr>
        <w:t>(2)</w:t>
      </w:r>
      <w:r>
        <w:rPr>
          <w:rFonts w:ascii="Helvetica;sans-serif" w:hAnsi="Helvetica;sans-serif"/>
          <w:b w:val="false"/>
          <w:color w:val="000000"/>
          <w:sz w:val="20"/>
          <w:u w:val="single"/>
        </w:rPr>
        <w:t>Risk-free interest rate</w:t>
      </w:r>
      <w:r>
        <w:rPr>
          <w:color w:val="000000"/>
        </w:rPr>
        <w:t xml:space="preserve"> </w:t>
      </w:r>
      <w:r>
        <w:rPr>
          <w:rFonts w:ascii="Helvetica;sans-serif" w:hAnsi="Helvetica;sans-serif"/>
          <w:b w:val="false"/>
          <w:color w:val="000000"/>
          <w:sz w:val="20"/>
        </w:rPr>
        <w:t>- The risk-free rate for the expected term of the options is based on the yields of U.S. Treasury securities with maturities appropriate for the expected term of the employee share option awards.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weighted average fair value of the market-based awards granted in the year ended December 31, 2020 was $2.26 per option. These costs are expected to be recognized over a weighted-average period of approximately five and a half years.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share-based compensation expense by line item in the accompanying consolidated statement of operations is summarized as follows:</w:t>
      </w:r>
    </w:p>
    <w:tbl>
      <w:tblPr>
        <w:tblW w:w="4794" w:type="dxa"/>
        <w:jc w:val="left"/>
        <w:tblInd w:w="0" w:type="dxa"/>
        <w:tblCellMar>
          <w:top w:w="28" w:type="dxa"/>
          <w:left w:w="28" w:type="dxa"/>
          <w:bottom w:w="28" w:type="dxa"/>
          <w:right w:w="28" w:type="dxa"/>
        </w:tblCellMar>
      </w:tblPr>
      <w:tblGrid>
        <w:gridCol w:w="903"/>
        <w:gridCol w:w="791"/>
        <w:gridCol w:w="796"/>
        <w:gridCol w:w="211"/>
        <w:gridCol w:w="646"/>
        <w:gridCol w:w="109"/>
        <w:gridCol w:w="109"/>
        <w:gridCol w:w="109"/>
        <w:gridCol w:w="109"/>
        <w:gridCol w:w="211"/>
        <w:gridCol w:w="646"/>
        <w:gridCol w:w="154"/>
      </w:tblGrid>
      <w:tr>
        <w:trPr/>
        <w:tc>
          <w:tcPr>
            <w:tcW w:w="903"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there were $ 52,618 of total unrecognized compensation cost related to non-vested stock-based compensation arrangements granted under the Plans. These costs are expected to be recognized over a weighted-average period of approximately three and a half years.</w:t>
      </w:r>
    </w:p>
    <w:p>
      <w:pPr>
        <w:pStyle w:val="TextBody"/>
        <w:spacing w:lineRule="auto" w:line="288" w:before="120" w:after="180"/>
        <w:ind w:left="0" w:right="0" w:firstLine="360"/>
        <w:rPr/>
      </w:pPr>
      <w:r>
        <w:rPr>
          <w:rFonts w:ascii="Helvetica;sans-serif" w:hAnsi="Helvetica;sans-serif"/>
          <w:b/>
          <w:i/>
          <w:color w:val="000000"/>
          <w:sz w:val="20"/>
        </w:rPr>
        <w:t>e.</w:t>
      </w:r>
      <w:r>
        <w:rPr>
          <w:color w:val="000000"/>
        </w:rPr>
        <w:t xml:space="preserve"> </w:t>
      </w:r>
      <w:r>
        <w:rPr>
          <w:rFonts w:ascii="Helvetica;sans-serif" w:hAnsi="Helvetica;sans-serif"/>
          <w:b/>
          <w:i/>
          <w:color w:val="000000"/>
          <w:sz w:val="20"/>
        </w:rPr>
        <w:t>Stock split: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March 2021, the Company’s board of directors and the stockholders of the Company approved a four and a half (4.5)-for-one forward stock split of the Company’s common stock, which became effective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222250"/>
                <wp:effectExtent l="0" t="0" r="0" b="0"/>
                <wp:wrapNone/>
                <wp:docPr id="233" name="Frame22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F-36</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14. CONVERTIBLE AND REDEEMABLE CONVERTIBLE PREFERRED STOCK AND STOCKHOLDERS' DEFICIT (Cont.)</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March 19, 2021. The par value of each class of capital stock was not adjusted as a result of this forward stock split. All common stock, convertible and redeemable convertible preferred stock, stock options, warrants, and per share information presented within these consolidated financial statements have been adjusted to reflect this forward stock split on a retroactive basis for all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15: INCOME TAXES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subsidiaries are separately taxed under the domestic tax laws of the jurisdiction of incorporation of each entity.</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Loss before taxes on income is comprised as follows:</w:t>
      </w:r>
    </w:p>
    <w:tbl>
      <w:tblPr>
        <w:tblW w:w="5153" w:type="dxa"/>
        <w:jc w:val="left"/>
        <w:tblInd w:w="0" w:type="dxa"/>
        <w:tblCellMar>
          <w:top w:w="28" w:type="dxa"/>
          <w:left w:w="28" w:type="dxa"/>
          <w:bottom w:w="28" w:type="dxa"/>
          <w:right w:w="28" w:type="dxa"/>
        </w:tblCellMar>
      </w:tblPr>
      <w:tblGrid>
        <w:gridCol w:w="954"/>
        <w:gridCol w:w="840"/>
        <w:gridCol w:w="845"/>
        <w:gridCol w:w="211"/>
        <w:gridCol w:w="751"/>
        <w:gridCol w:w="109"/>
        <w:gridCol w:w="109"/>
        <w:gridCol w:w="109"/>
        <w:gridCol w:w="109"/>
        <w:gridCol w:w="211"/>
        <w:gridCol w:w="751"/>
        <w:gridCol w:w="154"/>
      </w:tblGrid>
      <w:tr>
        <w:trPr/>
        <w:tc>
          <w:tcPr>
            <w:tcW w:w="95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taxes on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provision for income taxes was as follows:</w:t>
      </w:r>
    </w:p>
    <w:tbl>
      <w:tblPr>
        <w:tblW w:w="5214" w:type="dxa"/>
        <w:jc w:val="left"/>
        <w:tblInd w:w="0" w:type="dxa"/>
        <w:tblCellMar>
          <w:top w:w="28" w:type="dxa"/>
          <w:left w:w="28" w:type="dxa"/>
          <w:bottom w:w="28" w:type="dxa"/>
          <w:right w:w="28" w:type="dxa"/>
        </w:tblCellMar>
      </w:tblPr>
      <w:tblGrid>
        <w:gridCol w:w="1050"/>
        <w:gridCol w:w="927"/>
        <w:gridCol w:w="933"/>
        <w:gridCol w:w="211"/>
        <w:gridCol w:w="646"/>
        <w:gridCol w:w="109"/>
        <w:gridCol w:w="109"/>
        <w:gridCol w:w="109"/>
        <w:gridCol w:w="109"/>
        <w:gridCol w:w="211"/>
        <w:gridCol w:w="646"/>
        <w:gridCol w:w="154"/>
      </w:tblGrid>
      <w:tr>
        <w:trPr/>
        <w:tc>
          <w:tcPr>
            <w:tcW w:w="1050"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pPr>
      <w:r>
        <w:rPr>
          <w:rFonts w:ascii="Helvetica;sans-serif" w:hAnsi="Helvetica;sans-serif"/>
          <w:b/>
          <w:i/>
          <w:color w:val="000000"/>
          <w:sz w:val="20"/>
        </w:rPr>
        <w:t>b.</w:t>
      </w:r>
      <w:r>
        <w:rPr>
          <w:rFonts w:ascii="Helvetica;sans-serif" w:hAnsi="Helvetica;sans-serif"/>
          <w:b/>
          <w:i/>
          <w:color w:val="000000"/>
          <w:sz w:val="20"/>
        </w:rPr>
        <w:t>Deferred income taxes: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Deferred income taxes reflect the net tax effects of temporary differences between the carrying amounts of assets and liabilities for financial reporting purposes and the amounts used for income tax purposes.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2019 and 2020, the Company has provided a full valuation allowance in respect of deferred tax assets. Management currently believes that it is more likely than not that the deferred tax regarding the tax loss carry forwards and other temporary differences will not be realized in the foreseeable future.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Significant components of the Company's deferred tax assets are as follows:</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222250"/>
                <wp:effectExtent l="0" t="0" r="0" b="0"/>
                <wp:wrapNone/>
                <wp:docPr id="234" name="Frame22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F-37</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15. INCOME TAXES (Cont.)</w:t>
      </w:r>
    </w:p>
    <w:tbl>
      <w:tblPr>
        <w:tblW w:w="6699" w:type="dxa"/>
        <w:jc w:val="left"/>
        <w:tblInd w:w="0" w:type="dxa"/>
        <w:tblCellMar>
          <w:top w:w="28" w:type="dxa"/>
          <w:left w:w="28" w:type="dxa"/>
          <w:bottom w:w="28" w:type="dxa"/>
          <w:right w:w="28" w:type="dxa"/>
        </w:tblCellMar>
      </w:tblPr>
      <w:tblGrid>
        <w:gridCol w:w="1516"/>
        <w:gridCol w:w="1329"/>
        <w:gridCol w:w="1340"/>
        <w:gridCol w:w="211"/>
        <w:gridCol w:w="751"/>
        <w:gridCol w:w="109"/>
        <w:gridCol w:w="109"/>
        <w:gridCol w:w="109"/>
        <w:gridCol w:w="109"/>
        <w:gridCol w:w="211"/>
        <w:gridCol w:w="751"/>
        <w:gridCol w:w="154"/>
      </w:tblGrid>
      <w:tr>
        <w:trPr/>
        <w:tc>
          <w:tcPr>
            <w:tcW w:w="1516"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operating losses carryforward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60,905 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temporary differences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 before valuation allowance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Valuation allowance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Acquired Intangible Assets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costs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 net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pPr>
      <w:r>
        <w:rPr>
          <w:rFonts w:ascii="Helvetica;sans-serif" w:hAnsi="Helvetica;sans-serif"/>
          <w:b/>
          <w:i/>
          <w:color w:val="000000"/>
          <w:sz w:val="20"/>
        </w:rPr>
        <w:t>c.</w:t>
      </w:r>
      <w:r>
        <w:rPr>
          <w:rFonts w:ascii="Helvetica;sans-serif" w:hAnsi="Helvetica;sans-serif"/>
          <w:b/>
          <w:i/>
          <w:color w:val="000000"/>
          <w:sz w:val="20"/>
        </w:rPr>
        <w:t>Net operating losses carry forward:</w:t>
      </w:r>
    </w:p>
    <w:p>
      <w:pPr>
        <w:pStyle w:val="TextBody"/>
        <w:spacing w:lineRule="auto" w:line="288" w:before="0" w:after="180"/>
        <w:ind w:left="0" w:right="0" w:firstLine="360"/>
        <w:jc w:val="both"/>
        <w:rPr/>
      </w:pPr>
      <w:r>
        <w:rPr>
          <w:rFonts w:ascii="Helvetica;sans-serif" w:hAnsi="Helvetica;sans-serif"/>
          <w:b w:val="false"/>
          <w:color w:val="000000"/>
          <w:sz w:val="20"/>
        </w:rPr>
        <w:t xml:space="preserve">As of December 31, 2020, the U.S. parent company had a net U.S. operating loss carry forward ("NOLs") for federal income tax purposes of approximately $ 217,519 and U.S. state NOLs of approximately $ 122,503. </w:t>
      </w:r>
      <w:r>
        <w:rPr>
          <w:rFonts w:ascii="Helvetica;sans-serif" w:hAnsi="Helvetica;sans-serif"/>
          <w:b w:val="false"/>
          <w:color w:val="000000"/>
          <w:sz w:val="20"/>
          <w:highlight w:val="white"/>
        </w:rPr>
        <w:t xml:space="preserve">Out of the operating losses attributed to the U.S. parent company, $ 169,095 were generated before January 1, 2018 and are subject to the 20-year carryforward period. The </w:t>
      </w:r>
      <w:r>
        <w:rPr>
          <w:rFonts w:ascii="Helvetica;sans-serif" w:hAnsi="Helvetica;sans-serif"/>
          <w:b w:val="false"/>
          <w:color w:val="000000"/>
          <w:sz w:val="20"/>
        </w:rPr>
        <w:t xml:space="preserve">remaining $ 48,424 </w:t>
      </w:r>
      <w:r>
        <w:rPr>
          <w:rFonts w:ascii="Helvetica;sans-serif" w:hAnsi="Helvetica;sans-serif"/>
          <w:b w:val="false"/>
          <w:color w:val="000000"/>
          <w:sz w:val="20"/>
          <w:highlight w:val="white"/>
        </w:rPr>
        <w:t>can be carried forward indefinitely but are subject to the 80% taxable income limitation.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Utilization of the U.S. net operating losses above may be subject to substantial annual limitations due to the "change in ownership" provisions of the Internal Revenue Code of 1986 and similar state provisions. The annual limitation may result in the expiration of substantial net operating losses before utilization (the 80% limitation was waived for NOLs utilized in 2019 and 2020 under the CARES Act).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analyzed the impact of Section 382 on its NOLs through 2020 and believes that the NOLs are not materially limited by Section 382. However, any future changes of ownership could impact the Company’s ability to utilize NOLs.</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222250"/>
                <wp:effectExtent l="0" t="0" r="0" b="0"/>
                <wp:wrapNone/>
                <wp:docPr id="235" name="Frame22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F-38</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15. INCOME TAXES (Cont.)</w:t>
      </w:r>
    </w:p>
    <w:p>
      <w:pPr>
        <w:pStyle w:val="TextBody"/>
        <w:spacing w:lineRule="auto" w:line="288" w:before="120" w:after="180"/>
        <w:ind w:left="0" w:right="0" w:firstLine="360"/>
        <w:rPr/>
      </w:pPr>
      <w:r>
        <w:rPr>
          <w:rFonts w:ascii="Helvetica;sans-serif" w:hAnsi="Helvetica;sans-serif"/>
          <w:b/>
          <w:i/>
          <w:color w:val="000000"/>
          <w:sz w:val="20"/>
        </w:rPr>
        <w:t>d.</w:t>
      </w:r>
      <w:r>
        <w:rPr>
          <w:rFonts w:ascii="Helvetica;sans-serif" w:hAnsi="Helvetica;sans-serif"/>
          <w:b/>
          <w:i/>
          <w:color w:val="000000"/>
          <w:sz w:val="20"/>
        </w:rPr>
        <w:t>A reconciliation of the Company’s theoretical income tax expense to actual income tax expense is as follows:</w:t>
      </w:r>
    </w:p>
    <w:tbl>
      <w:tblPr>
        <w:tblW w:w="9197" w:type="dxa"/>
        <w:jc w:val="left"/>
        <w:tblInd w:w="0" w:type="dxa"/>
        <w:tblCellMar>
          <w:top w:w="28" w:type="dxa"/>
          <w:left w:w="28" w:type="dxa"/>
          <w:bottom w:w="28" w:type="dxa"/>
          <w:right w:w="28" w:type="dxa"/>
        </w:tblCellMar>
      </w:tblPr>
      <w:tblGrid>
        <w:gridCol w:w="2290"/>
        <w:gridCol w:w="2014"/>
        <w:gridCol w:w="2025"/>
        <w:gridCol w:w="211"/>
        <w:gridCol w:w="751"/>
        <w:gridCol w:w="286"/>
        <w:gridCol w:w="109"/>
        <w:gridCol w:w="109"/>
        <w:gridCol w:w="109"/>
        <w:gridCol w:w="211"/>
        <w:gridCol w:w="751"/>
        <w:gridCol w:w="331"/>
      </w:tblGrid>
      <w:tr>
        <w:trPr/>
        <w:tc>
          <w:tcPr>
            <w:tcW w:w="2290"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tax as reported at the consolidated statement of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tax rate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Theoretical tax benefit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(2,933)</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(11,594)</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Non-deductible expenses and other permanent differences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Remeasurement of warrants to fair value</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8,716 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1,081 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valuation allowance</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tax at rate other than the U.S. statutory tax rate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Exchange rate differences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tax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pPr>
      <w:r>
        <w:rPr>
          <w:rFonts w:ascii="Helvetica;sans-serif" w:hAnsi="Helvetica;sans-serif"/>
          <w:b/>
          <w:i/>
          <w:color w:val="000000"/>
          <w:sz w:val="20"/>
        </w:rPr>
        <w:t>e.</w:t>
      </w:r>
      <w:r>
        <w:rPr>
          <w:rFonts w:ascii="Helvetica;sans-serif" w:hAnsi="Helvetica;sans-serif"/>
          <w:b/>
          <w:i/>
          <w:color w:val="000000"/>
          <w:sz w:val="20"/>
        </w:rPr>
        <w:t>The Tax Cuts and Jobs Act: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December 22, 2017, the U.S. enacted the Tax Cuts and Jobs Act, a comprehensive tax law that includes significant changes to the taxation of business entities. These changes include several key tax provisions, among others: (i) a permanent reduction to the statutory federal corporate income tax rate from 35% to 21% effective for tax years beginning after December 31, 2017; (ii) a partial limitation on the tax deductibility of business interest expenses; (iii) a shift of the U.S. taxation of multinational corporations from a tax on worldwide income to a territorial system (along with certain rules designed to prevent erosion of the U.S. income tax base) and (iv) a one-time deemed repatriation tax on accumulated offshore earnings held in cash and illiquid assets, with the latter taxed at a lower rate.</w:t>
      </w:r>
    </w:p>
    <w:p>
      <w:pPr>
        <w:pStyle w:val="TextBody"/>
        <w:spacing w:lineRule="auto" w:line="288" w:before="120" w:after="180"/>
        <w:ind w:left="0" w:right="0" w:firstLine="360"/>
        <w:rPr/>
      </w:pPr>
      <w:r>
        <w:rPr>
          <w:rFonts w:ascii="Helvetica;sans-serif" w:hAnsi="Helvetica;sans-serif"/>
          <w:b/>
          <w:i/>
          <w:color w:val="000000"/>
          <w:sz w:val="20"/>
        </w:rPr>
        <w:t>f.</w:t>
      </w:r>
      <w:r>
        <w:rPr>
          <w:rFonts w:ascii="Helvetica;sans-serif" w:hAnsi="Helvetica;sans-serif"/>
          <w:b/>
          <w:i/>
          <w:color w:val="000000"/>
          <w:sz w:val="20"/>
        </w:rPr>
        <w:t>Tax laws applicable to the Company's subsidiary in Israel: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Israeli corporate tax rate was 23% for the years ended December 31, 2019 and 2020. However, the effective tax rate payable by a company that derives income from a "Benefited Enterprise" or a "Preferred Enterprise" (as discussed below) may be considerably less. Capital gains derived by an Israeli company are generally subject to the prevailing corporate tax rate.</w:t>
      </w:r>
    </w:p>
    <w:p>
      <w:pPr>
        <w:pStyle w:val="TextBody"/>
        <w:spacing w:lineRule="auto" w:line="288" w:before="0" w:after="180"/>
        <w:ind w:left="0" w:right="0" w:firstLine="360"/>
        <w:jc w:val="both"/>
        <w:rPr/>
      </w:pPr>
      <w:r>
        <w:rPr>
          <w:rFonts w:ascii="Helvetica;sans-serif" w:hAnsi="Helvetica;sans-serif"/>
          <w:b w:val="false"/>
          <w:color w:val="000000"/>
          <w:sz w:val="20"/>
          <w:u w:val="single"/>
        </w:rPr>
        <w:t>Tax benefits by virtue of the Law for the Encouragement of Capital Investments, 1959 ("the Investment Law"):</w:t>
      </w:r>
      <w:r>
        <w:rPr>
          <w:color w:val="000000"/>
        </w:rPr>
        <w:t xml:space="preserv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Until tax year 2014, Kaltura Israel utilized various tax benefits by virtue of the "Benefited Enterprise" status granted to its enterprise, pursuant to the Investment Law.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Kaltura Israel elected benefits under the alternative track of benefits according to which it was exempt from income tax in the first two years (from the date Kaltura Israel earned taxable income) and subject to corporate tax at the rate of 10%-25% for up to a total of seven years commencing with the year in which the Benefited Enterprise first generates taxable income. </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222250"/>
                <wp:effectExtent l="0" t="0" r="0" b="0"/>
                <wp:wrapNone/>
                <wp:docPr id="236" name="Frame23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F-39</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15. INCOME TAXES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According to the provisions of section 51d of the Investment Law, Kaltura Israel elected the year 2011 as the Election Year and started utilizing tax benefits by virtue of the Investment Law.</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a dividend is distributed out of tax exempt income earned by a Benefited Enterprise the amount distributed will be subject to corporate tax at the rate that would have otherwise been applicable on the Benefited Enterprise income. Dividends paid out of income attributed to a Beneficiary Enterprise are generally subject to withholding tax at source at the rate of 15% or such lower rate as may be provided in an applicable tax treaty.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2020, approximately $ 369 was derived from tax exempt profits earned by Kaltura Israel's "Beneficiary Enterprise." The Company and its Board of Directors have determined that such tax-exempt income will not be distributed as dividends and intends to reinvest the amount of its tax-exempt income earned by Kaltura Israel. Accordingly, no provision for deferred income taxes has been provided on income attributable to Kaltura Israel's "Beneficiary Enterprise" as such income is essentially permanently reinvested.</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Kaltura Israel's retained tax-exempt income is distributed, the income would be taxed at the applicable corporate tax rate as if it had not elected the alternative tax benefits under the Investment Law and an income tax liability of up to $ 92 would be incurred as of December 31,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2011, new legislation amending the Investment Law was adopted. Under this new legislation, a unified corporate tax rate applied to all qualifying income generated by a "Preferred Company" through its Preferred Enterprise (as such terms are defined in the Investment Law) as of January 1, 2011.</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Industrial Companies under the Preferred Enterprise status according to the new law as amended in July 2013, and starting January 1, 2014 are entitled to a uniform reduced corporate tax rate of 9% in areas in Israel designated as Development Zone A and 16% elsewhere in Israel.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2011 Amendment also provided transitional provisions to address companies already enjoying current benefits under the Investment Law. Under the transition provisions, the Company decided to irrevocably implement the new law, effective January 1, 2015.</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Dividends distributed from income which is attributed to a “Preferred Enterprise” will be subject to withholding tax at source at the rate of 20% or such lower rate as may be provided in an applicable tax treaty.</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Kaltura Israel's income from other sources is subject to tax at the regular Corporate Income rate.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2019 and 2020, $1,438 and $1,802 of undistributed earnings held by the Company's foreign subsidiaries are designated as indefinitely reinvested. If these earnings were re-patriated to the US, they would be subject to income taxes and to an adjustment for foreign tax credits and foreign withholding taxes. The amount of unrecognized deferred tax liability related to these earnings was not material.</w:t>
      </w:r>
    </w:p>
    <w:p>
      <w:pPr>
        <w:pStyle w:val="TextBody"/>
        <w:spacing w:lineRule="auto" w:line="288" w:before="120" w:after="180"/>
        <w:ind w:left="0" w:right="0" w:firstLine="360"/>
        <w:rPr/>
      </w:pPr>
      <w:r>
        <w:rPr>
          <w:rFonts w:ascii="Helvetica;sans-serif" w:hAnsi="Helvetica;sans-serif"/>
          <w:b/>
          <w:i/>
          <w:color w:val="000000"/>
          <w:sz w:val="20"/>
        </w:rPr>
        <w:t>g.</w:t>
      </w:r>
      <w:r>
        <w:rPr>
          <w:rFonts w:ascii="Helvetica;sans-serif" w:hAnsi="Helvetica;sans-serif"/>
          <w:b/>
          <w:i/>
          <w:color w:val="000000"/>
          <w:sz w:val="20"/>
        </w:rPr>
        <w:t xml:space="preserve">Tax assessment: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Generally, in U.S. federal and state taxing jurisdictions, tax periods in which certain loss and credit carryovers are generated remain open for audit until such time as the limitation period ends for the year in which such losses or credits are utilized.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Kaltura Israel received final tax assessments through 2016 while the rest of the Company’s subsidiaries did not have any final tax assessments as of December 31, 2020.</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222250"/>
                <wp:effectExtent l="0" t="0" r="0" b="0"/>
                <wp:wrapNone/>
                <wp:docPr id="237" name="Frame23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F-40</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15. INCOME TAXES (Cont.)</w:t>
      </w:r>
    </w:p>
    <w:p>
      <w:pPr>
        <w:pStyle w:val="TextBody"/>
        <w:spacing w:lineRule="auto" w:line="288" w:before="120" w:after="180"/>
        <w:ind w:left="0" w:right="0" w:firstLine="360"/>
        <w:rPr/>
      </w:pPr>
      <w:r>
        <w:rPr>
          <w:rFonts w:ascii="Helvetica;sans-serif" w:hAnsi="Helvetica;sans-serif"/>
          <w:b/>
          <w:i/>
          <w:color w:val="000000"/>
          <w:sz w:val="20"/>
        </w:rPr>
        <w:t>h.</w:t>
      </w:r>
      <w:r>
        <w:rPr>
          <w:rFonts w:ascii="Helvetica;sans-serif" w:hAnsi="Helvetica;sans-serif"/>
          <w:b/>
          <w:i/>
          <w:color w:val="000000"/>
          <w:sz w:val="20"/>
        </w:rPr>
        <w:t xml:space="preserve">Uncertain tax position: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reconciliation of the opening and closing amounts of total unrecognized tax benefits is as follows:</w:t>
      </w:r>
    </w:p>
    <w:tbl>
      <w:tblPr>
        <w:tblW w:w="6554" w:type="dxa"/>
        <w:jc w:val="left"/>
        <w:tblInd w:w="0" w:type="dxa"/>
        <w:tblCellMar>
          <w:top w:w="28" w:type="dxa"/>
          <w:left w:w="28" w:type="dxa"/>
          <w:bottom w:w="28" w:type="dxa"/>
          <w:right w:w="28" w:type="dxa"/>
        </w:tblCellMar>
      </w:tblPr>
      <w:tblGrid>
        <w:gridCol w:w="1542"/>
        <w:gridCol w:w="1356"/>
        <w:gridCol w:w="1362"/>
        <w:gridCol w:w="478"/>
        <w:gridCol w:w="1465"/>
        <w:gridCol w:w="351"/>
      </w:tblGrid>
      <w:tr>
        <w:trPr/>
        <w:tc>
          <w:tcPr>
            <w:tcW w:w="154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Unrecognized Tax Benefits</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January 1, 2019</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Increases related to prior years’ tax positions</w:t>
            </w:r>
          </w:p>
        </w:tc>
        <w:tc>
          <w:tcPr>
            <w:tcW w:w="1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Increases related to current years’ tax positions</w:t>
            </w:r>
          </w:p>
        </w:tc>
        <w:tc>
          <w:tcPr>
            <w:tcW w:w="1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December 21, 2019</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2,665 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Increases related to prior years’ tax positions</w:t>
            </w:r>
          </w:p>
        </w:tc>
        <w:tc>
          <w:tcPr>
            <w:tcW w:w="194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Increases related to current years’ tax positions</w:t>
            </w:r>
          </w:p>
        </w:tc>
        <w:tc>
          <w:tcPr>
            <w:tcW w:w="1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887 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December 31, 2020</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3,863 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2020, the total amount of gross unrecognized tax benefits was $ 3,863 and if recognized, would favorably impact the Company’s effective tax rate.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interest related to uncertain tax positions in income tax expense. For the years ended December 31, 2019 and 2020, the Company recorded $97 and $90 interest accordingly related to uncertain tax positions.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currently does not expect uncertain tax positions to change significantly over the next 12 months, except in the case of settlements with tax authorities, the likelihood and timing of which is difficult to estimate.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 xml:space="preserve">NOTE 16: SELECTED STATEMENT OF OPERATIONS DATA </w:t>
      </w:r>
    </w:p>
    <w:tbl>
      <w:tblPr>
        <w:tblW w:w="6564" w:type="dxa"/>
        <w:jc w:val="left"/>
        <w:tblInd w:w="0" w:type="dxa"/>
        <w:tblCellMar>
          <w:top w:w="28" w:type="dxa"/>
          <w:left w:w="28" w:type="dxa"/>
          <w:bottom w:w="28" w:type="dxa"/>
          <w:right w:w="28" w:type="dxa"/>
        </w:tblCellMar>
      </w:tblPr>
      <w:tblGrid>
        <w:gridCol w:w="1466"/>
        <w:gridCol w:w="1290"/>
        <w:gridCol w:w="1294"/>
        <w:gridCol w:w="211"/>
        <w:gridCol w:w="751"/>
        <w:gridCol w:w="109"/>
        <w:gridCol w:w="109"/>
        <w:gridCol w:w="109"/>
        <w:gridCol w:w="109"/>
        <w:gridCol w:w="211"/>
        <w:gridCol w:w="751"/>
        <w:gridCol w:w="154"/>
      </w:tblGrid>
      <w:tr>
        <w:trPr/>
        <w:tc>
          <w:tcPr>
            <w:tcW w:w="1466"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income: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Bank fees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Remeasurement of warrants to fair value</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 net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17: NET LOSS PER SHARE ATTRIBUTABLE TO COMMON STOCKHOLDERS</w:t>
      </w:r>
    </w:p>
    <w:p>
      <w:pPr>
        <w:pStyle w:val="TextBody"/>
        <w:spacing w:lineRule="auto" w:line="288" w:before="120" w:after="180"/>
        <w:ind w:left="0" w:right="0" w:firstLine="360"/>
        <w:rPr/>
      </w:pPr>
      <w:r>
        <w:rPr>
          <w:rFonts w:ascii="Helvetica;sans-serif" w:hAnsi="Helvetica;sans-serif"/>
          <w:b/>
          <w:i/>
          <w:color w:val="000000"/>
          <w:sz w:val="20"/>
        </w:rPr>
        <w:t>1.</w:t>
      </w:r>
      <w:r>
        <w:rPr>
          <w:rFonts w:ascii="Helvetica;sans-serif" w:hAnsi="Helvetica;sans-serif"/>
          <w:b/>
          <w:i/>
          <w:color w:val="000000"/>
          <w:sz w:val="20"/>
        </w:rPr>
        <w:t>Historical net loss per share attributable to common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computation of basic and diluted net loss per share attributable to common stockholders for the periods presented:</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222250"/>
                <wp:effectExtent l="0" t="0" r="0" b="0"/>
                <wp:wrapNone/>
                <wp:docPr id="238" name="Frame23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F-41</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17. NET LOSS PER SHARE ATTRIBUTABLE TO COMMON STOCKHOLDERS (Cont.)</w:t>
      </w:r>
    </w:p>
    <w:tbl>
      <w:tblPr>
        <w:tblW w:w="10205" w:type="dxa"/>
        <w:jc w:val="left"/>
        <w:tblInd w:w="0" w:type="dxa"/>
        <w:tblCellMar>
          <w:top w:w="28" w:type="dxa"/>
          <w:left w:w="28" w:type="dxa"/>
          <w:bottom w:w="28" w:type="dxa"/>
          <w:right w:w="28" w:type="dxa"/>
        </w:tblCellMar>
      </w:tblPr>
      <w:tblGrid>
        <w:gridCol w:w="2794"/>
        <w:gridCol w:w="2281"/>
        <w:gridCol w:w="2287"/>
        <w:gridCol w:w="246"/>
        <w:gridCol w:w="880"/>
        <w:gridCol w:w="109"/>
        <w:gridCol w:w="109"/>
        <w:gridCol w:w="109"/>
        <w:gridCol w:w="109"/>
        <w:gridCol w:w="246"/>
        <w:gridCol w:w="880"/>
        <w:gridCol w:w="155"/>
      </w:tblGrid>
      <w:tr>
        <w:trPr/>
        <w:tc>
          <w:tcPr>
            <w:tcW w:w="2794"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Numerator:</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Helvetica;sans-serif" w:hAnsi="Helvetica;sans-serif"/>
                <w:b w:val="false"/>
                <w:color w:val="000000"/>
                <w:sz w:val="20"/>
              </w:rPr>
            </w:pPr>
            <w:r>
              <w:rPr>
                <w:rFonts w:ascii="Helvetica;sans-serif" w:hAnsi="Helvetica;sans-serif"/>
                <w:b w:val="false"/>
                <w:color w:val="000000"/>
                <w:sz w:val="20"/>
              </w:rPr>
              <w:t>Preferred stock accretion and cumulative undeclared dividends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loss attributable to common stockholders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70,697 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Denominator:</w:t>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net loss per share attributable to common stockholders, basic and diluted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22,754,499 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24,939,901 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per share attributable to common stockholders, basic and diluted</w:t>
            </w:r>
          </w:p>
        </w:tc>
        <w:tc>
          <w:tcPr>
            <w:tcW w:w="2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Instruments potentially exercisable for common stock that were excluded from the computation of diluted net loss per share attributable to common stockholders for the periods presented because including them would have been anti-dilutive are as follows:</w:t>
      </w:r>
    </w:p>
    <w:tbl>
      <w:tblPr>
        <w:tblW w:w="8288" w:type="dxa"/>
        <w:jc w:val="left"/>
        <w:tblInd w:w="0" w:type="dxa"/>
        <w:tblCellMar>
          <w:top w:w="28" w:type="dxa"/>
          <w:left w:w="28" w:type="dxa"/>
          <w:bottom w:w="28" w:type="dxa"/>
          <w:right w:w="28" w:type="dxa"/>
        </w:tblCellMar>
      </w:tblPr>
      <w:tblGrid>
        <w:gridCol w:w="1913"/>
        <w:gridCol w:w="1679"/>
        <w:gridCol w:w="1688"/>
        <w:gridCol w:w="563"/>
        <w:gridCol w:w="563"/>
        <w:gridCol w:w="156"/>
        <w:gridCol w:w="129"/>
        <w:gridCol w:w="129"/>
        <w:gridCol w:w="129"/>
        <w:gridCol w:w="563"/>
        <w:gridCol w:w="563"/>
        <w:gridCol w:w="213"/>
      </w:tblGrid>
      <w:tr>
        <w:trPr/>
        <w:tc>
          <w:tcPr>
            <w:tcW w:w="1913"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and redeemable and convertible preferred stock</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16,823,100 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16,823,100 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to purchase preferred and common stock</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6,164,020 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6,777,275 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stock options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18,131,737 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31,981,404 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41,118,857 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55,581,779 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pPr>
      <w:r>
        <w:rPr>
          <w:rFonts w:ascii="Helvetica;sans-serif" w:hAnsi="Helvetica;sans-serif"/>
          <w:b/>
          <w:i/>
          <w:color w:val="000000"/>
          <w:sz w:val="20"/>
        </w:rPr>
        <w:t>2.</w:t>
      </w:r>
      <w:r>
        <w:rPr>
          <w:rFonts w:ascii="Helvetica;sans-serif" w:hAnsi="Helvetica;sans-serif"/>
          <w:b/>
          <w:i/>
          <w:color w:val="000000"/>
          <w:sz w:val="20"/>
        </w:rPr>
        <w:t>Unaudited pro forma net loss per share attributable to common stockholders: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unaudited pro forma basic and diluted net loss per share attributable to common stockholders for the year ended December 31, 2020 has been prepared to give effect to the occurrence of (i) the Warrant Exercises, (ii) the Preferred Stock Conversion, (iii) the Series C Warrant Conversion (in each case, as defined in note 2(d) above), and (iv) the forgiveness of the Employee Loan Agreements (see also Note 14c). The Company has calculated unaudited pro forma basic and diluted net loss per share attributable to common stockholders giving effect to the impact of the foregoing events using the if-converted method, as though each such event had occurred as of the beginning of the period or the original date of issuance of the applicable security, if later. This calculation does not give effect to any shares of common stock to be issued in the IPO.</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222250"/>
                <wp:effectExtent l="0" t="0" r="0" b="0"/>
                <wp:wrapNone/>
                <wp:docPr id="239" name="Frame23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F-42</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17. NET LOSS PER SHARE ATTRIBUTABLE TO COMMON STOCKHOLDERS (Cont.)</w:t>
      </w:r>
    </w:p>
    <w:tbl>
      <w:tblPr>
        <w:tblW w:w="10205" w:type="dxa"/>
        <w:jc w:val="left"/>
        <w:tblInd w:w="0" w:type="dxa"/>
        <w:tblCellMar>
          <w:top w:w="28" w:type="dxa"/>
          <w:left w:w="28" w:type="dxa"/>
          <w:bottom w:w="28" w:type="dxa"/>
          <w:right w:w="28" w:type="dxa"/>
        </w:tblCellMar>
      </w:tblPr>
      <w:tblGrid>
        <w:gridCol w:w="3180"/>
        <w:gridCol w:w="2712"/>
        <w:gridCol w:w="2740"/>
        <w:gridCol w:w="306"/>
        <w:gridCol w:w="1056"/>
        <w:gridCol w:w="211"/>
      </w:tblGrid>
      <w:tr>
        <w:trPr/>
        <w:tc>
          <w:tcPr>
            <w:tcW w:w="3180" w:type="dxa"/>
            <w:tcBorders/>
            <w:shd w:fill="auto" w:val="clear"/>
            <w:vAlign w:val="center"/>
          </w:tcPr>
          <w:p>
            <w:pPr>
              <w:pStyle w:val="TableContents"/>
              <w:spacing w:before="0" w:after="283"/>
              <w:rPr>
                <w:sz w:val="4"/>
                <w:szCs w:val="4"/>
              </w:rPr>
            </w:pPr>
            <w:r>
              <w:rPr>
                <w:sz w:val="4"/>
                <w:szCs w:val="4"/>
              </w:rPr>
            </w:r>
          </w:p>
        </w:tc>
        <w:tc>
          <w:tcPr>
            <w:tcW w:w="2712"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8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8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8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Numerator:</w:t>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attributable to common stockholders</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70,697 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fair value of warrant liabilities</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(41,505)</w:t>
            </w:r>
          </w:p>
        </w:tc>
        <w:tc>
          <w:tcPr>
            <w:tcW w:w="21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Preferred stock accretion and cumulative undeclared dividends</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(11,934)</w:t>
            </w:r>
          </w:p>
        </w:tc>
        <w:tc>
          <w:tcPr>
            <w:tcW w:w="21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Forgiveness of Employee Loan Agreements (see also Note 14c)</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used in unaudited pro forma net loss per share calculation</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18,140 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Denominator:</w:t>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net loss per share attributable to common stockholders, basic and diluted</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24,939,901 </w:t>
            </w:r>
          </w:p>
        </w:tc>
        <w:tc>
          <w:tcPr>
            <w:tcW w:w="21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 forma adjustment to reflect Warrant Exercises and Preferred Stock Conversion</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80,075,962 </w:t>
            </w:r>
          </w:p>
        </w:tc>
        <w:tc>
          <w:tcPr>
            <w:tcW w:w="21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shares used in computing pro forma net loss per share, basic and diluted</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105,015,863 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 forma net loss per share attributable to common stockholders, basic and diluted</w:t>
            </w:r>
          </w:p>
        </w:tc>
        <w:tc>
          <w:tcPr>
            <w:tcW w:w="30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21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18: REPORTABLE SEGMENTS AND GEOGRAPHICAL INFORMATION</w:t>
      </w:r>
    </w:p>
    <w:p>
      <w:pPr>
        <w:pStyle w:val="TextBody"/>
        <w:spacing w:lineRule="auto" w:line="288" w:before="120" w:after="180"/>
        <w:ind w:left="0" w:right="0" w:firstLine="360"/>
        <w:rPr/>
      </w:pPr>
      <w:r>
        <w:rPr>
          <w:rFonts w:ascii="Helvetica;sans-serif" w:hAnsi="Helvetica;sans-serif"/>
          <w:b/>
          <w:i/>
          <w:color w:val="000000"/>
          <w:sz w:val="20"/>
        </w:rPr>
        <w:t>a.</w:t>
      </w:r>
      <w:r>
        <w:rPr>
          <w:rFonts w:ascii="Helvetica;sans-serif" w:hAnsi="Helvetica;sans-serif"/>
          <w:b/>
          <w:i/>
          <w:color w:val="000000"/>
          <w:sz w:val="20"/>
        </w:rPr>
        <w:t>Reportable segments: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its Chief Executive Officer ("CODM"). The Company's CODM does not regularly review asset information by segments and, therefore, the Company does not report asset information by segment.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organizes its operations in two segments: Enterprise, Education and Technology and Media and Telecom. The Enterprise, Education and Technology segment represents products related to industry solutions for education customers, and media services (except for Media and Telecom customers). The Media and Telecom segment primarily represents TV solutions that are sold to media and telecom operators.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measurement of the reportable operating segments is based on the same accounting principles applied in these financial statements, which includes certain corporate overhead allocations.</w:t>
      </w:r>
      <w:r>
        <w:br w:type="page"/>
      </w: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222250"/>
                <wp:effectExtent l="0" t="0" r="0" b="0"/>
                <wp:wrapNone/>
                <wp:docPr id="240" name="Frame23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F-43</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18: REPORTABLE SEGMENTS AND GEOGRAPHICAL INFORMATION (Cont.)</w:t>
      </w:r>
    </w:p>
    <w:tbl>
      <w:tblPr>
        <w:tblW w:w="8999" w:type="dxa"/>
        <w:jc w:val="left"/>
        <w:tblInd w:w="0" w:type="dxa"/>
        <w:tblCellMar>
          <w:top w:w="28" w:type="dxa"/>
          <w:left w:w="28" w:type="dxa"/>
          <w:bottom w:w="28" w:type="dxa"/>
          <w:right w:w="28" w:type="dxa"/>
        </w:tblCellMar>
      </w:tblPr>
      <w:tblGrid>
        <w:gridCol w:w="885"/>
        <w:gridCol w:w="777"/>
        <w:gridCol w:w="783"/>
        <w:gridCol w:w="620"/>
        <w:gridCol w:w="2209"/>
        <w:gridCol w:w="320"/>
        <w:gridCol w:w="109"/>
        <w:gridCol w:w="109"/>
        <w:gridCol w:w="109"/>
        <w:gridCol w:w="322"/>
        <w:gridCol w:w="1147"/>
        <w:gridCol w:w="166"/>
        <w:gridCol w:w="109"/>
        <w:gridCol w:w="109"/>
        <w:gridCol w:w="109"/>
        <w:gridCol w:w="211"/>
        <w:gridCol w:w="751"/>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 2019</w:t>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Enterprise, Education and Technology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Media and Telecom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64,839 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income</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0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50,273 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11,458 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1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net</w:t>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104" w:type="dxa"/>
        <w:jc w:val="left"/>
        <w:tblInd w:w="0" w:type="dxa"/>
        <w:tblCellMar>
          <w:top w:w="28" w:type="dxa"/>
          <w:left w:w="28" w:type="dxa"/>
          <w:bottom w:w="28" w:type="dxa"/>
          <w:right w:w="28" w:type="dxa"/>
        </w:tblCellMar>
      </w:tblPr>
      <w:tblGrid>
        <w:gridCol w:w="885"/>
        <w:gridCol w:w="777"/>
        <w:gridCol w:w="783"/>
        <w:gridCol w:w="620"/>
        <w:gridCol w:w="2209"/>
        <w:gridCol w:w="320"/>
        <w:gridCol w:w="109"/>
        <w:gridCol w:w="109"/>
        <w:gridCol w:w="109"/>
        <w:gridCol w:w="322"/>
        <w:gridCol w:w="1147"/>
        <w:gridCol w:w="166"/>
        <w:gridCol w:w="109"/>
        <w:gridCol w:w="109"/>
        <w:gridCol w:w="109"/>
        <w:gridCol w:w="211"/>
        <w:gridCol w:w="856"/>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9"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Enterprise, Education and Technology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Media and Telecom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80,449 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income</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0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58,539 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14,236 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72,755 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1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81,264 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net</w:t>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firstLine="360"/>
        <w:rPr/>
      </w:pPr>
      <w:r>
        <w:rPr>
          <w:rFonts w:ascii="Helvetica;sans-serif" w:hAnsi="Helvetica;sans-serif"/>
          <w:b/>
          <w:i/>
          <w:color w:val="000000"/>
          <w:sz w:val="20"/>
        </w:rPr>
        <w:t>b.</w:t>
      </w:r>
      <w:r>
        <w:rPr>
          <w:rFonts w:ascii="Helvetica;sans-serif" w:hAnsi="Helvetica;sans-serif"/>
          <w:b/>
          <w:i/>
          <w:color w:val="000000"/>
          <w:sz w:val="20"/>
        </w:rPr>
        <w:t>Geographical information: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Revenue by location is determined by the billing address of the customer. Total revenues from external customers on the basis of the Company's geographical areas are as follows: </w:t>
      </w:r>
    </w:p>
    <w:tbl>
      <w:tblPr>
        <w:tblW w:w="6654" w:type="dxa"/>
        <w:jc w:val="left"/>
        <w:tblInd w:w="0" w:type="dxa"/>
        <w:tblCellMar>
          <w:top w:w="28" w:type="dxa"/>
          <w:left w:w="28" w:type="dxa"/>
          <w:bottom w:w="28" w:type="dxa"/>
          <w:right w:w="28" w:type="dxa"/>
        </w:tblCellMar>
      </w:tblPr>
      <w:tblGrid>
        <w:gridCol w:w="1460"/>
        <w:gridCol w:w="1285"/>
        <w:gridCol w:w="1290"/>
        <w:gridCol w:w="211"/>
        <w:gridCol w:w="751"/>
        <w:gridCol w:w="109"/>
        <w:gridCol w:w="109"/>
        <w:gridCol w:w="109"/>
        <w:gridCol w:w="109"/>
        <w:gridCol w:w="211"/>
        <w:gridCol w:w="856"/>
        <w:gridCol w:w="154"/>
      </w:tblGrid>
      <w:tr>
        <w:trPr/>
        <w:tc>
          <w:tcPr>
            <w:tcW w:w="146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Year ended </w:t>
            </w:r>
          </w:p>
          <w:p>
            <w:pPr>
              <w:pStyle w:val="TableContents"/>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December 31, </w:t>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54,476 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68,781 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Europe, the Middle East and Africa (“EMEA”)</w:t>
            </w:r>
          </w:p>
        </w:tc>
        <w:tc>
          <w:tcPr>
            <w:tcW w:w="96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29,648 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37,592 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13,225 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Helvetica;sans-serif" w:hAnsi="Helvetica;sans-serif"/>
                <w:b w:val="false"/>
                <w:color w:val="000000"/>
                <w:sz w:val="20"/>
              </w:rPr>
            </w:pPr>
            <w:r>
              <w:rPr>
                <w:rFonts w:ascii="Helvetica;sans-serif" w:hAnsi="Helvetica;sans-serif"/>
                <w:b w:val="false"/>
                <w:color w:val="000000"/>
                <w:sz w:val="20"/>
              </w:rPr>
              <w:t>14,067 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presents long-lived assets as of December 31, 2019 and 2020, based on geographical areas:</w:t>
      </w:r>
    </w:p>
    <w:tbl>
      <w:tblPr>
        <w:tblW w:w="2995" w:type="dxa"/>
        <w:jc w:val="left"/>
        <w:tblInd w:w="0" w:type="dxa"/>
        <w:tblCellMar>
          <w:top w:w="28" w:type="dxa"/>
          <w:left w:w="28" w:type="dxa"/>
          <w:bottom w:w="28" w:type="dxa"/>
          <w:right w:w="28" w:type="dxa"/>
        </w:tblCellMar>
      </w:tblPr>
      <w:tblGrid>
        <w:gridCol w:w="249"/>
        <w:gridCol w:w="219"/>
        <w:gridCol w:w="223"/>
        <w:gridCol w:w="211"/>
        <w:gridCol w:w="646"/>
        <w:gridCol w:w="109"/>
        <w:gridCol w:w="109"/>
        <w:gridCol w:w="109"/>
        <w:gridCol w:w="109"/>
        <w:gridCol w:w="211"/>
        <w:gridCol w:w="646"/>
        <w:gridCol w:w="154"/>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EMEA</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222250"/>
                <wp:effectExtent l="0" t="0" r="0" b="0"/>
                <wp:wrapNone/>
                <wp:docPr id="241" name="Frame23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F-44</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before="120" w:after="180"/>
        <w:rPr/>
      </w:pPr>
      <w:r>
        <w:rPr/>
      </w: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19: RELATED PARTIES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June 2019, the Company entered into an agreement with a certain investor under which the investor received a one-year subscription to use the Company’s software. Under the agreement, the investor has made minimum, non-cancelable revenue commitments, in the amount of $548. During 2020 the Company and the investor renewed the agreement. During the years ended December 31, 2019 and 2020, the Company recognized total revenue of $357 and $524, respectively, related to this agreement. As of December 31, 2019 and 2020, trade receivables included nil and deferred revenue, current of $191 and $161, respectively, associated with this investor.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20: RESTATEMENT OF PREVIOUSLY ISSUED CONSOLIDATED FINANCIAL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restated its previously issued consolidated financial statements as of the year ended December 31, 2020 to amend the underlying assumptions used in its common stock valuation work. Management was assisted by a third party valuator on both the initial valuation work and the updated valuation work as of December 31, 2020 conducted as part of the Company's IPO process. The primary changes were in the assumptions used in the updated valuation, such as the probability for an IPO, the valuation of peer companies and the inclusion of the Company`s results and forecasts up to and including December 2020.</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previously used underlying assumptions resulted in an understatement of the stock-based compensation of grants made on December 24, 2020 and the fair value of the warrants to purchase preferred and common stock. The impact of the previously used underlying assumptions reported on the December 31, 2020 consolidated balance sheet was an understatement of $19,680 in the warrants to purchase preferred and common stock. In addition, the impact on the previously reported year ended December 31, 2020 consolidated statement of operation was an understatement of $37, $99, $51 and $182 in the cost of revenue expenses, research and development expenses, sales and marketing expenses and general and administrative expenses, respectively, as it relates to the stock-based compensation and $19,680 in the financial expenses, net as it relates to the valuation of the warrants to purchase preferred and common stock.</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such change, the Company has restated its previously issued 2020 consolidated financial statements.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effects of the restatement on the line items within the Company's consolidated balance sheet as of December 31, 2020 are as follows:</w:t>
      </w:r>
    </w:p>
    <w:tbl>
      <w:tblPr>
        <w:tblW w:w="9411" w:type="dxa"/>
        <w:jc w:val="left"/>
        <w:tblInd w:w="0" w:type="dxa"/>
        <w:tblCellMar>
          <w:top w:w="28" w:type="dxa"/>
          <w:left w:w="28" w:type="dxa"/>
          <w:bottom w:w="28" w:type="dxa"/>
          <w:right w:w="28" w:type="dxa"/>
        </w:tblCellMar>
      </w:tblPr>
      <w:tblGrid>
        <w:gridCol w:w="1642"/>
        <w:gridCol w:w="1439"/>
        <w:gridCol w:w="1449"/>
        <w:gridCol w:w="310"/>
        <w:gridCol w:w="1345"/>
        <w:gridCol w:w="160"/>
        <w:gridCol w:w="109"/>
        <w:gridCol w:w="109"/>
        <w:gridCol w:w="109"/>
        <w:gridCol w:w="211"/>
        <w:gridCol w:w="811"/>
        <w:gridCol w:w="109"/>
        <w:gridCol w:w="109"/>
        <w:gridCol w:w="109"/>
        <w:gridCol w:w="109"/>
        <w:gridCol w:w="211"/>
        <w:gridCol w:w="916"/>
        <w:gridCol w:w="154"/>
      </w:tblGrid>
      <w:tr>
        <w:trPr/>
        <w:tc>
          <w:tcPr>
            <w:tcW w:w="1642"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originally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Adjusted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to purchase preferred and common stock</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1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171,818 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191,498 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 in capital</w:t>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(243,234)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(263,283)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deficit</w:t>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(240,976)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(260,656)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jc w:val="right"/>
        <w:rPr>
          <w:rFonts w:ascii="Helvetica;sans-serif" w:hAnsi="Helvetica;sans-serif"/>
          <w:b/>
          <w:color w:val="000000"/>
          <w:sz w:val="20"/>
        </w:rPr>
      </w:pPr>
      <w:r>
        <w:br w:type="page"/>
      </w: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222250"/>
                <wp:effectExtent l="0" t="0" r="0" b="0"/>
                <wp:wrapNone/>
                <wp:docPr id="242" name="Frame23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F-45</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20: RESTATEMENT OF PREVIOUSLY ISSUED CONSOLIDATED FINANCIAL STATEMENTS (Cont.)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effects of the restatement on the line items within the Company's consolidated statement of operations for the year ended December 31, 2020 are as follows:</w:t>
      </w:r>
    </w:p>
    <w:tbl>
      <w:tblPr>
        <w:tblW w:w="10205" w:type="dxa"/>
        <w:jc w:val="left"/>
        <w:tblInd w:w="0" w:type="dxa"/>
        <w:tblCellMar>
          <w:top w:w="28" w:type="dxa"/>
          <w:left w:w="28" w:type="dxa"/>
          <w:bottom w:w="28" w:type="dxa"/>
          <w:right w:w="28" w:type="dxa"/>
        </w:tblCellMar>
      </w:tblPr>
      <w:tblGrid>
        <w:gridCol w:w="2154"/>
        <w:gridCol w:w="1853"/>
        <w:gridCol w:w="1848"/>
        <w:gridCol w:w="338"/>
        <w:gridCol w:w="1205"/>
        <w:gridCol w:w="174"/>
        <w:gridCol w:w="109"/>
        <w:gridCol w:w="109"/>
        <w:gridCol w:w="109"/>
        <w:gridCol w:w="211"/>
        <w:gridCol w:w="541"/>
        <w:gridCol w:w="109"/>
        <w:gridCol w:w="109"/>
        <w:gridCol w:w="109"/>
        <w:gridCol w:w="109"/>
        <w:gridCol w:w="211"/>
        <w:gridCol w:w="751"/>
        <w:gridCol w:w="156"/>
      </w:tblGrid>
      <w:tr>
        <w:trPr/>
        <w:tc>
          <w:tcPr>
            <w:tcW w:w="2154"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5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originally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Adjusted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Cost of revenue: </w:t>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Subscription</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28,477 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Professional services</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19,151 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47,628 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72,812 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29,468 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29,424 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22,040 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80,932 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Financial expenses, net</w:t>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27,041 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38,714 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per share attributable to common stockholders, basic and diluted</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effects of the restatement on the line items within the Company’s consolidated statement of changes in convertible and redeemable convertible preferred stock and stockholders' deficit for the year ended December 31, 2020 are as follows:</w:t>
      </w:r>
    </w:p>
    <w:tbl>
      <w:tblPr>
        <w:tblW w:w="7221" w:type="dxa"/>
        <w:jc w:val="left"/>
        <w:tblInd w:w="0" w:type="dxa"/>
        <w:tblCellMar>
          <w:top w:w="28" w:type="dxa"/>
          <w:left w:w="28" w:type="dxa"/>
          <w:bottom w:w="28" w:type="dxa"/>
          <w:right w:w="28" w:type="dxa"/>
        </w:tblCellMar>
      </w:tblPr>
      <w:tblGrid>
        <w:gridCol w:w="846"/>
        <w:gridCol w:w="746"/>
        <w:gridCol w:w="748"/>
        <w:gridCol w:w="310"/>
        <w:gridCol w:w="1345"/>
        <w:gridCol w:w="160"/>
        <w:gridCol w:w="109"/>
        <w:gridCol w:w="109"/>
        <w:gridCol w:w="109"/>
        <w:gridCol w:w="211"/>
        <w:gridCol w:w="811"/>
        <w:gridCol w:w="109"/>
        <w:gridCol w:w="109"/>
        <w:gridCol w:w="109"/>
        <w:gridCol w:w="109"/>
        <w:gridCol w:w="211"/>
        <w:gridCol w:w="916"/>
        <w:gridCol w:w="154"/>
      </w:tblGrid>
      <w:tr>
        <w:trPr/>
        <w:tc>
          <w:tcPr>
            <w:tcW w:w="8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originally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Adjusted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 in capital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(243,234)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(263,283)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deficit</w:t>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(240,976)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(260,656)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Although there was no impact to net cash provided by operating activities, net cash used in investing activities or net cash used in financing activities, the effects of the restatement on the line items within the consolidated statements of cash flows for the year ended December 31, 2020 are as follows:</w:t>
      </w:r>
    </w:p>
    <w:tbl>
      <w:tblPr>
        <w:tblW w:w="10205" w:type="dxa"/>
        <w:jc w:val="left"/>
        <w:tblInd w:w="0" w:type="dxa"/>
        <w:tblCellMar>
          <w:top w:w="28" w:type="dxa"/>
          <w:left w:w="28" w:type="dxa"/>
          <w:bottom w:w="28" w:type="dxa"/>
          <w:right w:w="28" w:type="dxa"/>
        </w:tblCellMar>
      </w:tblPr>
      <w:tblGrid>
        <w:gridCol w:w="2017"/>
        <w:gridCol w:w="1772"/>
        <w:gridCol w:w="1791"/>
        <w:gridCol w:w="315"/>
        <w:gridCol w:w="1204"/>
        <w:gridCol w:w="163"/>
        <w:gridCol w:w="109"/>
        <w:gridCol w:w="109"/>
        <w:gridCol w:w="109"/>
        <w:gridCol w:w="211"/>
        <w:gridCol w:w="800"/>
        <w:gridCol w:w="109"/>
        <w:gridCol w:w="109"/>
        <w:gridCol w:w="109"/>
        <w:gridCol w:w="109"/>
        <w:gridCol w:w="211"/>
        <w:gridCol w:w="800"/>
        <w:gridCol w:w="158"/>
      </w:tblGrid>
      <w:tr>
        <w:trPr/>
        <w:tc>
          <w:tcPr>
            <w:tcW w:w="2017"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2020</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originally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Adjusted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Restated</w:t>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 based compensation expenses</w:t>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5,114 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fair value of warrants to purchase preferred and common stock</w:t>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(21,825)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(41,505)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impacts of the restatement to stock-based compensation expense and the fair value of the warrants to purchase preferred and common stock affect certain notes to the consolidated financial statements, and conforming changes have been made to Notes 13,14, 15, 16, 17 and 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right"/>
        <w:rPr>
          <w:rFonts w:ascii="Helvetica;sans-serif" w:hAnsi="Helvetica;sans-serif"/>
          <w:b/>
          <w:color w:val="000000"/>
          <w:sz w:val="20"/>
        </w:rPr>
      </w:pPr>
      <w:r>
        <w:rPr>
          <w:rFonts w:ascii="Helvetica;sans-serif" w:hAnsi="Helvetica;sans-serif"/>
          <w:b/>
          <w:color w:val="000000"/>
          <w:sz w:val="20"/>
        </w:rPr>
        <w:t>K</w:t>
      </w:r>
      <w:r>
        <w:rPr>
          <w:rFonts w:ascii="Helvetica;sans-serif" w:hAnsi="Helvetica;sans-serif"/>
          <w:b/>
          <w:color w:val="000000"/>
          <w:sz w:val="20"/>
        </w:rPr>
        <w:t>ALTURA, INC. AND SUBSIDIARIES</w:t>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222250"/>
                <wp:effectExtent l="0" t="0" r="0" b="0"/>
                <wp:wrapNone/>
                <wp:docPr id="243" name="Frame23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309.75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F-46</w:t>
                      </w:r>
                    </w:p>
                  </w:txbxContent>
                </v:textbox>
              </v:rect>
            </w:pict>
          </mc:Fallback>
        </mc:AlternateContent>
      </w:r>
    </w:p>
    <w:tbl>
      <w:tblPr>
        <w:tblW w:w="5670" w:type="dxa"/>
        <w:jc w:val="left"/>
        <w:tblInd w:w="0" w:type="dxa"/>
        <w:tblCellMar>
          <w:top w:w="28" w:type="dxa"/>
          <w:left w:w="28" w:type="dxa"/>
          <w:bottom w:w="28" w:type="dxa"/>
          <w:right w:w="28" w:type="dxa"/>
        </w:tblCellMar>
      </w:tblPr>
      <w:tblGrid>
        <w:gridCol w:w="1816"/>
        <w:gridCol w:w="1594"/>
        <w:gridCol w:w="2260"/>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NOTES TO CONSOLIDATED FINANCIAL STATEMENTS</w:t>
            </w:r>
          </w:p>
        </w:tc>
      </w:tr>
      <w:tr>
        <w:trPr/>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Helvetica;sans-serif" w:hAnsi="Helvetica;sans-serif"/>
                <w:b/>
                <w:color w:val="000000"/>
                <w:sz w:val="20"/>
              </w:rPr>
            </w:pPr>
            <w:r>
              <w:rPr>
                <w:rFonts w:ascii="Helvetica;sans-serif" w:hAnsi="Helvetica;sans-serif"/>
                <w:b/>
                <w:color w:val="000000"/>
                <w:sz w:val="20"/>
              </w:rPr>
              <w:t>U.S. dollars in thousands (except share and per share data)</w:t>
            </w:r>
          </w:p>
        </w:tc>
      </w:tr>
    </w:tbl>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NOTE 21: SUBSEQUENT EVENTS</w:t>
      </w:r>
    </w:p>
    <w:p>
      <w:pPr>
        <w:pStyle w:val="TextBody"/>
        <w:spacing w:lineRule="auto" w:line="288" w:before="0" w:after="180"/>
        <w:ind w:left="0" w:right="0" w:firstLine="360"/>
        <w:jc w:val="both"/>
        <w:rPr/>
      </w:pPr>
      <w:r>
        <w:rPr>
          <w:rFonts w:ascii="Helvetica;sans-serif" w:hAnsi="Helvetica;sans-serif"/>
          <w:b w:val="false"/>
          <w:color w:val="000000"/>
          <w:sz w:val="20"/>
        </w:rPr>
        <w:t>a.</w:t>
      </w:r>
      <w:r>
        <w:rPr>
          <w:rFonts w:ascii="Helvetica;sans-serif" w:hAnsi="Helvetica;sans-serif"/>
          <w:b w:val="false"/>
          <w:color w:val="000000"/>
          <w:sz w:val="20"/>
        </w:rPr>
        <w:t>The Company has evaluated subsequent events from the balance sheet date through March 1, 2021, the date at which the consolidated financial statements were available to be issued.</w:t>
      </w:r>
    </w:p>
    <w:p>
      <w:pPr>
        <w:pStyle w:val="TextBody"/>
        <w:spacing w:lineRule="auto" w:line="288" w:before="0" w:after="180"/>
        <w:ind w:left="0" w:right="0" w:firstLine="360"/>
        <w:jc w:val="both"/>
        <w:rPr/>
      </w:pPr>
      <w:r>
        <w:rPr>
          <w:rFonts w:ascii="Helvetica;sans-serif" w:hAnsi="Helvetica;sans-serif"/>
          <w:b w:val="false"/>
          <w:color w:val="000000"/>
          <w:sz w:val="20"/>
        </w:rPr>
        <w:t>b.</w:t>
      </w:r>
      <w:r>
        <w:rPr>
          <w:rFonts w:ascii="Helvetica;sans-serif" w:hAnsi="Helvetica;sans-serif"/>
          <w:b w:val="false"/>
          <w:color w:val="000000"/>
          <w:sz w:val="20"/>
        </w:rPr>
        <w:t xml:space="preserve">In January 2021, the Company repaid all amounts outstanding under the 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Borrowings under the Credit Facilities are subject to interest, determined as follows: (a) Eurodollar loans accrue interest at a rate per annum equal to the Eurodollar rate plus a 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 </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Facility is payable in consecutive quarterly installments on the last day of each fiscal quarter in an amount equal to (i) $250 for installments payable on March 31, 2021 through December 31, 2021, (ii) $750 for installments payable on March 31, 2022 through December 31, 2022, and (iii) $1,500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 Amounts outstanding under the Credit Facilities may be voluntarily prepaid at any time and from time to time, in whole or in part, without premium or penalty.</w:t>
      </w:r>
    </w:p>
    <w:p>
      <w:pPr>
        <w:pStyle w:val="TextBody"/>
        <w:spacing w:lineRule="auto" w:line="288" w:before="0" w:after="180"/>
        <w:ind w:left="0" w:right="0" w:firstLine="360"/>
        <w:jc w:val="both"/>
        <w:rPr/>
      </w:pPr>
      <w:r>
        <w:rPr>
          <w:rFonts w:ascii="Helvetica;sans-serif" w:hAnsi="Helvetica;sans-serif"/>
          <w:b w:val="false"/>
          <w:color w:val="000000"/>
          <w:sz w:val="20"/>
        </w:rPr>
        <w:t>c.</w:t>
      </w:r>
      <w:r>
        <w:rPr>
          <w:rFonts w:ascii="Helvetica;sans-serif" w:hAnsi="Helvetica;sans-serif"/>
          <w:b w:val="false"/>
          <w:color w:val="000000"/>
          <w:sz w:val="20"/>
        </w:rPr>
        <w:t>On February 3, 2021, SVB Financial Group (“SVB”) converted a Warrant to Purchase Stock issued on February 3, 2011 (the “Series C Warrant”) into shares of the Company’s Series C Convertible Preferred Stock pursuant to the cashless conversion mechanism described in the Series C Warrant. The conversion was exercised for all of the 31,413 shares covered by the Series C Warrant and resulted in the net issuance of 27,011 shares of the Company’s Series C Convertible Preferred Stock. Pursuant to the terms of the Series C Warrant, the number of net shares issued was determined by dividing (a) the aggregate fair market value of the shares otherwise issuable upon exercise of the Series C Warrant minus the aggregate exercise price of such shares by (b) the fair market value of one share of the Company’s Series C Convertible Preferred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222250"/>
                <wp:effectExtent l="0" t="0" r="0" b="0"/>
                <wp:wrapNone/>
                <wp:docPr id="244" name="Frame23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F-47</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Through and including           ,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pStyle w:val="TextBody"/>
        <w:spacing w:lineRule="auto" w:line="288" w:before="480" w:after="283"/>
        <w:jc w:val="center"/>
        <w:rPr>
          <w:rFonts w:ascii="Helvetica;sans-serif" w:hAnsi="Helvetica;sans-serif"/>
          <w:b w:val="false"/>
          <w:color w:val="000000"/>
          <w:sz w:val="36"/>
        </w:rPr>
      </w:pPr>
      <w:r>
        <w:rPr>
          <w:rFonts w:ascii="Helvetica;sans-serif" w:hAnsi="Helvetica;sans-serif"/>
          <w:b w:val="false"/>
          <w:color w:val="000000"/>
          <w:sz w:val="36"/>
        </w:rPr>
        <w:t>23,500,000 Shares</w:t>
      </w:r>
    </w:p>
    <w:p>
      <w:pPr>
        <w:pStyle w:val="TextBody"/>
        <w:spacing w:before="200" w:after="360"/>
        <w:jc w:val="center"/>
        <w:rPr/>
      </w:pPr>
      <w:r>
        <w:rPr/>
        <w:drawing>
          <wp:inline distT="0" distB="63500" distL="0" distR="0">
            <wp:extent cx="4552950" cy="1171575"/>
            <wp:effectExtent l="0" t="0" r="0" b="0"/>
            <wp:docPr id="2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7" descr=""/>
                    <pic:cNvPicPr>
                      <a:picLocks noChangeAspect="1" noChangeArrowheads="1"/>
                    </pic:cNvPicPr>
                  </pic:nvPicPr>
                  <pic:blipFill>
                    <a:blip r:embed="rId8"/>
                    <a:stretch>
                      <a:fillRect/>
                    </a:stretch>
                  </pic:blipFill>
                  <pic:spPr bwMode="auto">
                    <a:xfrm>
                      <a:off x="0" y="0"/>
                      <a:ext cx="4552950" cy="1171575"/>
                    </a:xfrm>
                    <a:prstGeom prst="rect">
                      <a:avLst/>
                    </a:prstGeom>
                  </pic:spPr>
                </pic:pic>
              </a:graphicData>
            </a:graphic>
          </wp:inline>
        </w:drawing>
      </w:r>
    </w:p>
    <w:p>
      <w:pPr>
        <w:pStyle w:val="TextBody"/>
        <w:spacing w:lineRule="auto" w:line="288" w:before="60" w:after="120"/>
        <w:jc w:val="center"/>
        <w:rPr>
          <w:rFonts w:ascii="Helvetica;sans-serif" w:hAnsi="Helvetica;sans-serif"/>
          <w:b/>
          <w:color w:val="000000"/>
          <w:sz w:val="36"/>
        </w:rPr>
      </w:pPr>
      <w:r>
        <w:rPr>
          <w:rFonts w:ascii="Helvetica;sans-serif" w:hAnsi="Helvetica;sans-serif"/>
          <w:b/>
          <w:color w:val="000000"/>
          <w:sz w:val="36"/>
        </w:rPr>
        <w:t>Kaltura, Inc.</w:t>
      </w:r>
    </w:p>
    <w:p>
      <w:pPr>
        <w:pStyle w:val="TextBody"/>
        <w:spacing w:lineRule="auto" w:line="288" w:before="120" w:after="180"/>
        <w:jc w:val="center"/>
        <w:rPr>
          <w:rFonts w:ascii="Helvetica;sans-serif" w:hAnsi="Helvetica;sans-serif"/>
          <w:b/>
          <w:color w:val="000000"/>
          <w:sz w:val="28"/>
        </w:rPr>
      </w:pPr>
      <w:r>
        <w:rPr>
          <w:rFonts w:ascii="Helvetica;sans-serif" w:hAnsi="Helvetica;sans-serif"/>
          <w:b/>
          <w:color w:val="000000"/>
          <w:sz w:val="28"/>
        </w:rPr>
        <w:t>Common Stock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60"/>
        <w:jc w:val="center"/>
        <w:rPr>
          <w:rFonts w:ascii="Helvetica;sans-serif" w:hAnsi="Helvetica;sans-serif"/>
          <w:b/>
          <w:color w:val="000000"/>
          <w:sz w:val="20"/>
        </w:rPr>
      </w:pPr>
      <w:r>
        <w:rPr>
          <w:rFonts w:ascii="Helvetica;sans-serif" w:hAnsi="Helvetica;sans-serif"/>
          <w:b/>
          <w:color w:val="000000"/>
          <w:sz w:val="20"/>
        </w:rPr>
        <w:t>PRELIMINARY PROSPECTUS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Helvetica;sans-serif" w:hAnsi="Helvetica;sans-serif"/>
          <w:b/>
          <w:color w:val="000000"/>
          <w:sz w:val="28"/>
        </w:rPr>
      </w:pPr>
      <w:r>
        <w:rPr>
          <w:rFonts w:ascii="Helvetica;sans-serif" w:hAnsi="Helvetica;sans-serif"/>
          <w:b/>
          <w:color w:val="000000"/>
          <w:sz w:val="28"/>
        </w:rPr>
        <w:t>Goldman Sachs &amp; Co. LLC</w:t>
      </w:r>
    </w:p>
    <w:p>
      <w:pPr>
        <w:pStyle w:val="TextBody"/>
        <w:spacing w:lineRule="auto" w:line="288" w:before="120" w:after="180"/>
        <w:jc w:val="center"/>
        <w:rPr>
          <w:rFonts w:ascii="Helvetica;sans-serif" w:hAnsi="Helvetica;sans-serif"/>
          <w:b/>
          <w:color w:val="000000"/>
          <w:sz w:val="28"/>
        </w:rPr>
      </w:pPr>
      <w:r>
        <w:rPr>
          <w:rFonts w:ascii="Helvetica;sans-serif" w:hAnsi="Helvetica;sans-serif"/>
          <w:b/>
          <w:color w:val="000000"/>
          <w:sz w:val="28"/>
        </w:rPr>
        <w:t>BofA Securities</w:t>
      </w:r>
    </w:p>
    <w:p>
      <w:pPr>
        <w:pStyle w:val="TextBody"/>
        <w:spacing w:lineRule="auto" w:line="288" w:before="120" w:after="180"/>
        <w:jc w:val="center"/>
        <w:rPr>
          <w:rFonts w:ascii="Helvetica;sans-serif" w:hAnsi="Helvetica;sans-serif"/>
          <w:b/>
          <w:color w:val="000000"/>
          <w:sz w:val="24"/>
        </w:rPr>
      </w:pPr>
      <w:r>
        <w:rPr>
          <w:rFonts w:ascii="Helvetica;sans-serif" w:hAnsi="Helvetica;sans-serif"/>
          <w:b/>
          <w:color w:val="000000"/>
          <w:sz w:val="24"/>
        </w:rPr>
        <w:t>Wells Fargo Securities</w:t>
      </w:r>
    </w:p>
    <w:p>
      <w:pPr>
        <w:pStyle w:val="TextBody"/>
        <w:spacing w:lineRule="auto" w:line="288" w:before="120" w:after="180"/>
        <w:jc w:val="center"/>
        <w:rPr>
          <w:rFonts w:ascii="Helvetica;sans-serif" w:hAnsi="Helvetica;sans-serif"/>
          <w:b/>
          <w:color w:val="000000"/>
          <w:sz w:val="24"/>
        </w:rPr>
      </w:pPr>
      <w:r>
        <w:rPr>
          <w:rFonts w:ascii="Helvetica;sans-serif" w:hAnsi="Helvetica;sans-serif"/>
          <w:b/>
          <w:color w:val="000000"/>
          <w:sz w:val="24"/>
        </w:rPr>
        <w:t>Deutsche Bank Securities</w: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Canaccord Genuity</w: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JMP Securities</w: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KeyBanc Capital Markets</w: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Needham &amp; Company</w:t>
      </w:r>
    </w:p>
    <w:p>
      <w:pPr>
        <w:pStyle w:val="TextBody"/>
        <w:spacing w:lineRule="auto" w:line="288" w:before="60" w:after="640"/>
        <w:jc w:val="center"/>
        <w:rPr>
          <w:rFonts w:ascii="Helvetica;sans-serif" w:hAnsi="Helvetica;sans-serif"/>
          <w:b/>
          <w:color w:val="000000"/>
          <w:sz w:val="20"/>
        </w:rPr>
      </w:pPr>
      <w:r>
        <w:rPr>
          <w:rFonts w:ascii="Helvetica;sans-serif" w:hAnsi="Helvetica;sans-serif"/>
          <w:b/>
          <w:color w:val="000000"/>
          <w:sz w:val="20"/>
        </w:rPr>
        <w:t>Oppenheimer &amp; Co.</w:t>
      </w:r>
    </w:p>
    <w:p>
      <w:pPr>
        <w:pStyle w:val="TextBody"/>
        <w:spacing w:lineRule="auto" w:line="288" w:before="120" w:after="600"/>
        <w:jc w:val="center"/>
        <w:rPr>
          <w:color w:val="000000"/>
        </w:rPr>
      </w:pPr>
      <w:r>
        <w:rPr>
          <w:color w:val="000000"/>
        </w:rPr>
        <w:t>          </w:t>
      </w:r>
      <w:r>
        <w:rPr>
          <w:rFonts w:ascii="Helvetica;sans-serif" w:hAnsi="Helvetica;sans-serif"/>
          <w:b/>
          <w:color w:val="000000"/>
          <w:sz w:val="20"/>
        </w:rPr>
        <w:t>, 2021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246" name="Frame2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w: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INFORMATION NOT REQUIRED IN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Item 13. Other Expenses of Issuance and Distribution.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tbl>
      <w:tblPr>
        <w:tblW w:w="6163" w:type="dxa"/>
        <w:jc w:val="left"/>
        <w:tblInd w:w="0" w:type="dxa"/>
        <w:tblCellMar>
          <w:top w:w="28" w:type="dxa"/>
          <w:left w:w="28" w:type="dxa"/>
          <w:bottom w:w="28" w:type="dxa"/>
          <w:right w:w="28" w:type="dxa"/>
        </w:tblCellMar>
      </w:tblPr>
      <w:tblGrid>
        <w:gridCol w:w="1733"/>
        <w:gridCol w:w="1522"/>
        <w:gridCol w:w="1530"/>
        <w:gridCol w:w="124"/>
        <w:gridCol w:w="124"/>
        <w:gridCol w:w="124"/>
        <w:gridCol w:w="293"/>
        <w:gridCol w:w="293"/>
        <w:gridCol w:w="420"/>
      </w:tblGrid>
      <w:tr>
        <w:trPr/>
        <w:tc>
          <w:tcPr>
            <w:tcW w:w="1733"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and Exchange Commission registration fee</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47,175</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FINRA filing fee</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65,360</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Nasdaq listing fee</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295,000</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Accountants’ fees and expenses</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 fees and expenses</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2,500,000</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Transfer Agent’s fees and expenses</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Printing and engraving expenses</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225,000</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Miscellaneous</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662,965</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expenses</w:t>
            </w:r>
          </w:p>
        </w:tc>
        <w:tc>
          <w:tcPr>
            <w:tcW w:w="3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4,800,000</w:t>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Item 14. Indemnification of Directors and Officers.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Registrant is governed by the Delaware General Corporation Law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Registrant’s amended and restated certificate of incorporation, which will be in effect upon the closing of this offering, will authorize the indemnification of its officers and directors, consistent with Section 145 of the DGCL.</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222250"/>
                <wp:effectExtent l="0" t="0" r="0" b="0"/>
                <wp:wrapNone/>
                <wp:docPr id="247" name="Frame24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II-1</w:t>
                      </w:r>
                    </w:p>
                  </w:txbxContent>
                </v:textbox>
              </v:rect>
            </w:pict>
          </mc:Fallback>
        </mc:AlternateConten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this offering, 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maintain a general liability insurance policy that covers certain liabilities of directors and officers of our corporation arising out of claims based on acts or omissions in their capacities as directors or officers.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Item 15. Recent Sales of Unregistered Securities.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Set forth below is information regarding all unregistered securities sold by us since January 1, 2018. Also included is the consideration received by us for such shares and information relating to the section of the Securities Act, or rule of the Securities and Exchange Commission, under which exemption from registration was claimed.</w:t>
      </w:r>
    </w:p>
    <w:p>
      <w:pPr>
        <w:pStyle w:val="TextBody"/>
        <w:spacing w:lineRule="auto" w:line="288" w:before="120" w:after="120"/>
        <w:ind w:left="0" w:right="0" w:hanging="360"/>
        <w:jc w:val="both"/>
        <w:rPr>
          <w:rFonts w:ascii="Helvetica;sans-serif" w:hAnsi="Helvetica;sans-serif"/>
          <w:b w:val="false"/>
          <w:color w:val="000000"/>
          <w:sz w:val="20"/>
        </w:rPr>
      </w:pPr>
      <w:r>
        <w:rPr>
          <w:rFonts w:ascii="Helvetica;sans-serif" w:hAnsi="Helvetica;sans-serif"/>
          <w:b w:val="false"/>
          <w:color w:val="000000"/>
          <w:sz w:val="20"/>
        </w:rPr>
        <w:t>(a)Issuance of Capital Stock.</w:t>
      </w:r>
    </w:p>
    <w:p>
      <w:pPr>
        <w:pStyle w:val="TextBody"/>
        <w:spacing w:lineRule="auto" w:line="288" w:before="120" w:after="120"/>
        <w:ind w:left="0" w:right="0" w:hanging="360"/>
        <w:jc w:val="both"/>
        <w:rPr>
          <w:rFonts w:ascii="Helvetica;sans-serif" w:hAnsi="Helvetica;sans-serif"/>
          <w:b w:val="false"/>
          <w:color w:val="000000"/>
          <w:sz w:val="20"/>
        </w:rPr>
      </w:pPr>
      <w:r>
        <w:rPr>
          <w:rFonts w:ascii="Helvetica;sans-serif" w:hAnsi="Helvetica;sans-serif"/>
          <w:b w:val="false"/>
          <w:color w:val="000000"/>
          <w:sz w:val="20"/>
        </w:rPr>
        <w:t>1.In March 2020, we issued an aggregate of 1,226,515 shares of our common stock to the former stockholders of Newrow, Inc. as partial consideration for our acquisition of all outstanding shares of capital stock of such entity.</w:t>
      </w:r>
    </w:p>
    <w:p>
      <w:pPr>
        <w:pStyle w:val="TextBody"/>
        <w:spacing w:lineRule="auto" w:line="288" w:before="120" w:after="120"/>
        <w:ind w:left="0" w:right="0" w:hanging="360"/>
        <w:jc w:val="both"/>
        <w:rPr>
          <w:rFonts w:ascii="Helvetica;sans-serif" w:hAnsi="Helvetica;sans-serif"/>
          <w:b w:val="false"/>
          <w:color w:val="000000"/>
          <w:sz w:val="20"/>
        </w:rPr>
      </w:pPr>
      <w:r>
        <w:rPr>
          <w:rFonts w:ascii="Helvetica;sans-serif" w:hAnsi="Helvetica;sans-serif"/>
          <w:b w:val="false"/>
          <w:color w:val="000000"/>
          <w:sz w:val="20"/>
        </w:rPr>
        <w:t>2.In February 2021, we issued an aggregate of 27,011 shares of our Series C convertible preferred stock pursuant to the automatic cashless exercise of the Series C Warrant.</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(b)Equity Awards.</w:t>
      </w:r>
    </w:p>
    <w:p>
      <w:pPr>
        <w:pStyle w:val="TextBody"/>
        <w:spacing w:lineRule="auto" w:line="288" w:before="60" w:after="120"/>
        <w:ind w:left="0" w:right="0" w:hanging="360"/>
        <w:jc w:val="both"/>
        <w:rPr>
          <w:rFonts w:ascii="Helvetica;sans-serif" w:hAnsi="Helvetica;sans-serif"/>
          <w:b w:val="false"/>
          <w:color w:val="000000"/>
          <w:sz w:val="20"/>
        </w:rPr>
      </w:pPr>
      <w:r>
        <w:rPr>
          <w:rFonts w:ascii="Helvetica;sans-serif" w:hAnsi="Helvetica;sans-serif"/>
          <w:b w:val="false"/>
          <w:color w:val="000000"/>
          <w:sz w:val="20"/>
        </w:rPr>
        <w:t>1.Since January 1, 2018 we have granted stock options to employees, directors and consultants, covering an aggregate of approximately 25,989,790 shares of our common stock, having exercise prices ranging from $0.0001 to $13.34 per share, in connection with services provided to us by such parties.</w:t>
      </w:r>
    </w:p>
    <w:p>
      <w:pPr>
        <w:pStyle w:val="TextBody"/>
        <w:spacing w:lineRule="auto" w:line="288" w:before="60" w:after="120"/>
        <w:ind w:left="0" w:right="0" w:hanging="360"/>
        <w:jc w:val="both"/>
        <w:rPr>
          <w:rFonts w:ascii="Helvetica;sans-serif" w:hAnsi="Helvetica;sans-serif"/>
          <w:b w:val="false"/>
          <w:color w:val="000000"/>
          <w:sz w:val="20"/>
        </w:rPr>
      </w:pPr>
      <w:r>
        <w:rPr>
          <w:rFonts w:ascii="Helvetica;sans-serif" w:hAnsi="Helvetica;sans-serif"/>
          <w:b w:val="false"/>
          <w:color w:val="000000"/>
          <w:sz w:val="20"/>
        </w:rPr>
        <w:t>2.Since January 1, 2018, we have issued an aggregate of approximately 3,035,011 shares of our common stock to employees, directors and consultants upon their exercise of stock options, for aggregate cash consideration of approximately $0.6 million.</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 of the foregoing transactions involved any underwriters, underwriting discounts or commissions or any public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222250"/>
                <wp:effectExtent l="0" t="0" r="0" b="0"/>
                <wp:wrapNone/>
                <wp:docPr id="248" name="Frame24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II-2</w:t>
                      </w:r>
                    </w:p>
                  </w:txbxContent>
                </v:textbox>
              </v:rect>
            </w:pict>
          </mc:Fallback>
        </mc:AlternateContent>
      </w:r>
    </w:p>
    <w:p>
      <w:pPr>
        <w:pStyle w:val="TextBody"/>
        <w:spacing w:lineRule="auto" w:line="288" w:before="0" w:after="0"/>
        <w:rPr>
          <w:rFonts w:ascii="Helvetica;sans-serif" w:hAnsi="Helvetica;sans-serif"/>
          <w:b/>
          <w:color w:val="000000"/>
          <w:sz w:val="20"/>
        </w:rPr>
      </w:pPr>
      <w:r>
        <w:rPr>
          <w:rFonts w:ascii="Helvetica;sans-serif" w:hAnsi="Helvetica;sans-serif"/>
          <w:b/>
          <w:color w:val="000000"/>
          <w:sz w:val="20"/>
        </w:rPr>
        <w:t>Item 16. Exhibits and Financial Statement Schedules.</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(a)Exhibits.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documents are filed as exhibits to this registration statement.</w:t>
      </w:r>
    </w:p>
    <w:tbl>
      <w:tblPr>
        <w:tblW w:w="10205" w:type="dxa"/>
        <w:jc w:val="left"/>
        <w:tblInd w:w="0" w:type="dxa"/>
        <w:tblCellMar>
          <w:top w:w="28" w:type="dxa"/>
          <w:left w:w="28" w:type="dxa"/>
          <w:bottom w:w="28" w:type="dxa"/>
          <w:right w:w="28" w:type="dxa"/>
        </w:tblCellMar>
      </w:tblPr>
      <w:tblGrid>
        <w:gridCol w:w="287"/>
        <w:gridCol w:w="252"/>
        <w:gridCol w:w="253"/>
        <w:gridCol w:w="109"/>
        <w:gridCol w:w="109"/>
        <w:gridCol w:w="109"/>
        <w:gridCol w:w="3084"/>
        <w:gridCol w:w="2482"/>
        <w:gridCol w:w="3520"/>
      </w:tblGrid>
      <w:tr>
        <w:trPr/>
        <w:tc>
          <w:tcPr>
            <w:tcW w:w="28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4"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rPr>
                <w:sz w:val="4"/>
                <w:szCs w:val="4"/>
              </w:rPr>
            </w:pPr>
            <w:r>
              <w:rPr>
                <w:sz w:val="4"/>
                <w:szCs w:val="4"/>
              </w:rPr>
            </w:r>
          </w:p>
        </w:tc>
        <w:tc>
          <w:tcPr>
            <w:tcW w:w="3520" w:type="dxa"/>
            <w:tcBorders/>
            <w:shd w:fill="auto" w:val="cle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 of Exhibit</w:t>
            </w:r>
          </w:p>
        </w:tc>
      </w:tr>
      <w:tr>
        <w:trPr/>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Form of Underwriting Agreement</w:t>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Helvetica;sans-serif" w:hAnsi="Helvetica;sans-serif"/>
                  <w:b w:val="false"/>
                  <w:color w:val="0000FF"/>
                  <w:sz w:val="18"/>
                  <w:u w:val="single"/>
                </w:rPr>
                <w:t>Certificate of Incorporation of Kaltura, Inc. (currently in effect)</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Helvetica;sans-serif" w:hAnsi="Helvetica;sans-serif"/>
                  <w:b w:val="false"/>
                  <w:color w:val="0000FF"/>
                  <w:sz w:val="18"/>
                  <w:u w:val="single"/>
                </w:rPr>
                <w:t>Bylaws of Kaltura, Inc. (currently in effect)</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Helvetica;sans-serif" w:hAnsi="Helvetica;sans-serif"/>
                  <w:b w:val="false"/>
                  <w:color w:val="0000FF"/>
                  <w:sz w:val="18"/>
                  <w:u w:val="single"/>
                </w:rPr>
                <w:t>Form of Amended and Restated Certificate of Incorporation of Kaltura, Inc. (to be in effect upon the closing of this offering)</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Helvetica;sans-serif" w:hAnsi="Helvetica;sans-serif"/>
                  <w:b w:val="false"/>
                  <w:color w:val="0000FF"/>
                  <w:sz w:val="18"/>
                  <w:u w:val="single"/>
                </w:rPr>
                <w:t>Form of Amended and Restated Bylaws of Kaltura, Inc. (to be in effect upon the closing of this offering)</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Helvetica;sans-serif" w:hAnsi="Helvetica;sans-serif"/>
                  <w:b w:val="false"/>
                  <w:color w:val="0000FF"/>
                  <w:sz w:val="18"/>
                  <w:u w:val="single"/>
                </w:rPr>
                <w:t>Form of Certificate of Common Stock</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Helvetica;sans-serif" w:hAnsi="Helvetica;sans-serif"/>
                  <w:b w:val="false"/>
                  <w:color w:val="0000FF"/>
                  <w:sz w:val="18"/>
                  <w:u w:val="single"/>
                </w:rPr>
                <w:t>Sixth Amended and Restated Investor Rights Agreement, dated as of July 22, 2016, by and among Kaltura, Inc. and each of the investors listed on Exhibit A thereto,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Helvetica;sans-serif" w:hAnsi="Helvetica;sans-serif"/>
                  <w:b w:val="false"/>
                  <w:color w:val="0000FF"/>
                  <w:sz w:val="18"/>
                  <w:u w:val="single"/>
                </w:rPr>
                <w:t>Warrant to Purchase Shares of Series E Convertible Preferred Stock, dated as of October 28, 2015, issued by Kaltura, Inc. to ORIX Finance Equity Investors, LP</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Pr>
                <w:t>Purchase Warrant for Common Stock, dated as of July 22, 2016, by and between Kaltura, Inc. and Goldman, Sachs &amp; Co.</w:t>
              </w:r>
            </w:hyperlink>
            <w:hyperlink r:id="rId17">
              <w:r>
                <w:rPr>
                  <w:rStyle w:val="InternetLink"/>
                </w:rPr>
                <w:t>,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Helvetica;sans-serif" w:hAnsi="Helvetica;sans-serif"/>
                  <w:b w:val="false"/>
                  <w:color w:val="0000FF"/>
                  <w:sz w:val="18"/>
                  <w:u w:val="single"/>
                </w:rPr>
                <w:t>Amended and Restated Warrant to Purchase Shares of Series D Convertible Preferred Stock, dated as of November 8, 2018, issued by Kaltura, Inc. to ORIX Finance Equity Investors, LP</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Helvetica;sans-serif" w:hAnsi="Helvetica;sans-serif"/>
                  <w:b w:val="false"/>
                  <w:color w:val="0000FF"/>
                  <w:sz w:val="18"/>
                  <w:u w:val="single"/>
                </w:rPr>
                <w:t>Amended and Restated Warrant to Purchase Shares of Series E Convertible Preferred Stock, dated as of November 8, 2018, issued by Kaltura, Inc. to ORIX Finance Equity Investors, LP</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Helvetica;sans-serif" w:hAnsi="Helvetica;sans-serif"/>
                  <w:b w:val="false"/>
                  <w:color w:val="0000FF"/>
                  <w:sz w:val="18"/>
                  <w:u w:val="single"/>
                </w:rPr>
                <w:t>Warrant to Purchase Shares of Common Stock, dated as of March 26, 2020, issued by Kaltura, Inc. to Zarom Holding Limited,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Helvetica;sans-serif" w:hAnsi="Helvetica;sans-serif"/>
                  <w:b w:val="false"/>
                  <w:color w:val="0000FF"/>
                  <w:sz w:val="18"/>
                  <w:u w:val="single"/>
                </w:rPr>
                <w:t>Opinion of Latham &amp; Watkins LLP</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sx1a2.htm">
              <w:r>
                <w:rPr>
                  <w:rStyle w:val="InternetLink"/>
                  <w:rFonts w:ascii="Helvetica;sans-serif" w:hAnsi="Helvetica;sans-serif"/>
                  <w:b w:val="false"/>
                  <w:color w:val="0000FF"/>
                  <w:sz w:val="18"/>
                  <w:u w:val="single"/>
                </w:rPr>
                <w:t>Credit Agreement, dated as of January 14, 2021, by and among Kaltura, Inc., the several banks and other financial institutions or entities from time to time party thereto, Silicon Valley Bank, as the Issuing Lender and the Swingline Lender, and SVB, as Administrative Agent</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sx1a2.htm">
              <w:r>
                <w:rPr>
                  <w:rStyle w:val="InternetLink"/>
                  <w:rFonts w:ascii="Helvetica;sans-serif" w:hAnsi="Helvetica;sans-serif"/>
                  <w:b w:val="false"/>
                  <w:color w:val="0000FF"/>
                  <w:sz w:val="18"/>
                  <w:u w:val="single"/>
                </w:rPr>
                <w:t>Guarantee and Collateral Agreement, dated as of January 14, 2021, by and among Kaltura, Inc., the other Grantors referred to therein, and Silicon Valley Bank, as Administrative Agent</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3-sx1a2.htm">
              <w:r>
                <w:rPr>
                  <w:rStyle w:val="InternetLink"/>
                  <w:rFonts w:ascii="Helvetica;sans-serif" w:hAnsi="Helvetica;sans-serif"/>
                  <w:b w:val="false"/>
                  <w:color w:val="0000FF"/>
                  <w:sz w:val="18"/>
                  <w:u w:val="single"/>
                </w:rPr>
                <w:t>Debenture, dated as of January 14, 2021, by and among Kaltura Europe Limited and Kaltura, Inc., as Original Chargors, and Silicon Valley Bank, as Administrative Agent</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Helvetica;sans-serif" w:hAnsi="Helvetica;sans-serif"/>
                  <w:b w:val="false"/>
                  <w:color w:val="0000FF"/>
                  <w:sz w:val="18"/>
                  <w:u w:val="single"/>
                </w:rPr>
                <w:t>Kaltura, Inc. 2007 Israeli Share Option Plan and form of option agreements thereunder</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Helvetica;sans-serif" w:hAnsi="Helvetica;sans-serif"/>
                  <w:b w:val="false"/>
                  <w:color w:val="0000FF"/>
                  <w:sz w:val="18"/>
                  <w:u w:val="single"/>
                </w:rPr>
                <w:t>Kaltura, Inc. 2007 Stock Option Plan and form of option agreements thereunder</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Helvetica;sans-serif" w:hAnsi="Helvetica;sans-serif"/>
                  <w:b w:val="false"/>
                  <w:color w:val="0000FF"/>
                  <w:sz w:val="18"/>
                  <w:u w:val="single"/>
                </w:rPr>
                <w:t>Kaltura, Inc. 2017 Equity Incentive Plan and form of option agreements thereunder</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Helvetica;sans-serif" w:hAnsi="Helvetica;sans-serif"/>
                  <w:b w:val="false"/>
                  <w:color w:val="0000FF"/>
                  <w:sz w:val="18"/>
                  <w:u w:val="single"/>
                </w:rPr>
                <w:t>Kaltura, Inc. 2021 Incentive Award Plan</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Helvetica;sans-serif" w:hAnsi="Helvetica;sans-serif"/>
                  <w:b w:val="false"/>
                  <w:color w:val="0000FF"/>
                  <w:sz w:val="18"/>
                  <w:u w:val="single"/>
                </w:rPr>
                <w:t>Form of Stock Option Award Agreement under the Kaltura, Inc. 2021 Incentive Award Plan</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Helvetica;sans-serif" w:hAnsi="Helvetica;sans-serif"/>
                  <w:b w:val="false"/>
                  <w:color w:val="0000FF"/>
                  <w:sz w:val="18"/>
                  <w:u w:val="single"/>
                </w:rPr>
                <w:t>Form of Restricted Stock Unit Award Agreement under the Kaltura, Inc. 2021 Incentive Award Plan</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0-sx1a2.htm">
              <w:r>
                <w:rPr>
                  <w:rStyle w:val="InternetLink"/>
                  <w:rFonts w:ascii="Helvetica;sans-serif" w:hAnsi="Helvetica;sans-serif"/>
                  <w:b w:val="false"/>
                  <w:color w:val="0000FF"/>
                  <w:sz w:val="18"/>
                  <w:u w:val="single"/>
                </w:rPr>
                <w:t>Employment Agreement, dated as of May 1, 2012, by and between Kaltura Ltd. and Ron Yekutiel,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1011-sx1a2.htm">
              <w:r>
                <w:rPr>
                  <w:rStyle w:val="InternetLink"/>
                  <w:rFonts w:ascii="Helvetica;sans-serif" w:hAnsi="Helvetica;sans-serif"/>
                  <w:b w:val="false"/>
                  <w:color w:val="0000FF"/>
                  <w:sz w:val="18"/>
                  <w:u w:val="single"/>
                </w:rPr>
                <w:t>Consulting Agreement by and between Kaltura, Inc. and Ron Yekutiel, effective November 1, 2006</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1012-sx1a2.htm">
              <w:r>
                <w:rPr>
                  <w:rStyle w:val="InternetLink"/>
                  <w:rFonts w:ascii="Helvetica;sans-serif" w:hAnsi="Helvetica;sans-serif"/>
                  <w:b w:val="false"/>
                  <w:color w:val="0000FF"/>
                  <w:sz w:val="18"/>
                  <w:u w:val="single"/>
                </w:rPr>
                <w:t>Consulting Agreement by and between Kaltura, Inc. and Ron Yekutiel, effective January 1, 2018,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1013-sx1a2.htm">
              <w:r>
                <w:rPr>
                  <w:rStyle w:val="InternetLink"/>
                  <w:rFonts w:ascii="Helvetica;sans-serif" w:hAnsi="Helvetica;sans-serif"/>
                  <w:b w:val="false"/>
                  <w:color w:val="0000FF"/>
                  <w:sz w:val="18"/>
                  <w:u w:val="single"/>
                </w:rPr>
                <w:t>Consulting Agreement by and between Kaltura Europe Limited and Ron Yekutiel, effective May 1, 2014,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4-sx1a2.htm">
              <w:r>
                <w:rPr>
                  <w:rStyle w:val="InternetLink"/>
                  <w:rFonts w:ascii="Helvetica;sans-serif" w:hAnsi="Helvetica;sans-serif"/>
                  <w:b w:val="false"/>
                  <w:color w:val="0000FF"/>
                  <w:sz w:val="18"/>
                  <w:u w:val="single"/>
                </w:rPr>
                <w:t>Employment Agreement, dated as of June 18, 2017, by and between Kaltura Ltd. and Yaron Garmazi, as amended</w:t>
              </w:r>
            </w:hyperlink>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Helvetica;sans-serif" w:hAnsi="Helvetica;sans-serif"/>
                  <w:b w:val="false"/>
                  <w:color w:val="0000FF"/>
                  <w:sz w:val="18"/>
                  <w:u w:val="single"/>
                </w:rPr>
                <w:t>Employment Agreement, dated as of April 1, 2018, by and between Kaltura Ltd. and Michal Tsur, as amended</w:t>
              </w:r>
            </w:hyperlink>
          </w:p>
        </w:tc>
      </w:tr>
    </w:tbl>
    <w:p>
      <w:pPr>
        <w:pStyle w:val="TextBody"/>
        <w:spacing w:before="0" w:after="180"/>
        <w:ind w:left="0" w:right="0" w:firstLine="360"/>
        <w:jc w:val="both"/>
        <w:rPr/>
      </w:pPr>
      <w:r>
        <w:br w:type="page"/>
      </w: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050"/>
                <wp:effectExtent l="0" t="0" r="0" b="0"/>
                <wp:wrapNone/>
                <wp:docPr id="249" name="Frame2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II-3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68"/>
        <w:gridCol w:w="236"/>
        <w:gridCol w:w="238"/>
        <w:gridCol w:w="109"/>
        <w:gridCol w:w="109"/>
        <w:gridCol w:w="109"/>
        <w:gridCol w:w="2735"/>
        <w:gridCol w:w="2647"/>
        <w:gridCol w:w="3754"/>
      </w:tblGrid>
      <w:tr>
        <w:trPr/>
        <w:tc>
          <w:tcPr>
            <w:tcW w:w="26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3754" w:type="dxa"/>
            <w:tcBorders/>
            <w:shd w:fill="auto" w:val="clear"/>
            <w:vAlign w:val="center"/>
          </w:tcPr>
          <w:p>
            <w:pPr>
              <w:pStyle w:val="TableContents"/>
              <w:spacing w:before="0" w:after="283"/>
              <w:rPr>
                <w:sz w:val="4"/>
                <w:szCs w:val="4"/>
              </w:rPr>
            </w:pPr>
            <w:r>
              <w:rPr>
                <w:sz w:val="4"/>
                <w:szCs w:val="4"/>
              </w:rPr>
            </w:r>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6-sx1a2.htm">
              <w:r>
                <w:rPr>
                  <w:rStyle w:val="InternetLink"/>
                  <w:rFonts w:ascii="Helvetica;sans-serif" w:hAnsi="Helvetica;sans-serif"/>
                  <w:b w:val="false"/>
                  <w:color w:val="0000FF"/>
                  <w:sz w:val="18"/>
                  <w:u w:val="single"/>
                </w:rPr>
                <w:t>Employment Agreement, dated as of January 28, 2019, by and between Kaltura Ltd. and Sergei Liakhovetsky, as amended</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Helvetica;sans-serif" w:hAnsi="Helvetica;sans-serif"/>
                  <w:b w:val="false"/>
                  <w:color w:val="0000FF"/>
                  <w:sz w:val="18"/>
                  <w:u w:val="single"/>
                </w:rPr>
                <w:t>Kaltura, Inc. Non-Employee Director Compensation Policy</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Helvetica;sans-serif" w:hAnsi="Helvetica;sans-serif"/>
                  <w:b w:val="false"/>
                  <w:color w:val="0000FF"/>
                  <w:sz w:val="18"/>
                  <w:u w:val="single"/>
                </w:rPr>
                <w:t>Form of Indemnification Agreement between Kaltura, Inc. and its directors and officers</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Helvetica;sans-serif" w:hAnsi="Helvetica;sans-serif"/>
                  <w:b w:val="false"/>
                  <w:color w:val="0000FF"/>
                  <w:sz w:val="18"/>
                  <w:u w:val="single"/>
                </w:rPr>
                <w:t>Subsidiaries of Kaltura, Inc.</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sx1a2.htm">
              <w:r>
                <w:rPr>
                  <w:rStyle w:val="InternetLink"/>
                  <w:rFonts w:ascii="Helvetica;sans-serif" w:hAnsi="Helvetica;sans-serif"/>
                  <w:b w:val="false"/>
                  <w:color w:val="0000FF"/>
                  <w:sz w:val="18"/>
                  <w:u w:val="single"/>
                </w:rPr>
                <w:t>Consent of Kost Forer Gabbay &amp; Kasierer, a member of Ernst &amp; Young Global</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Helvetica;sans-serif" w:hAnsi="Helvetica;sans-serif"/>
                  <w:b w:val="false"/>
                  <w:color w:val="0000FF"/>
                  <w:sz w:val="18"/>
                  <w:u w:val="single"/>
                </w:rPr>
                <w:t>Consent of Latham &amp; Watkins LLP (included in Exhibit 5.1)</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fldChar w:fldCharType="begin"/>
            </w:r>
            <w:r>
              <w:rPr>
                <w:rStyle w:val="InternetLink"/>
                <w:sz w:val="18"/>
                <w:u w:val="single"/>
                <w:b w:val="false"/>
                <w:rFonts w:ascii="Helvetica;sans-serif" w:hAnsi="Helvetica;sans-serif"/>
              </w:rPr>
              <w:instrText> HYPERLINK "https://www.sec.gov/Archives/edgar/data/1432133/000162828021003617/kalturas-1.htm" \l "idaacbb16e45c4b55be4efdb687fb35b2_49"</w:instrText>
            </w:r>
            <w:r>
              <w:rPr>
                <w:rStyle w:val="InternetLink"/>
                <w:sz w:val="18"/>
                <w:u w:val="single"/>
                <w:b w:val="false"/>
                <w:rFonts w:ascii="Helvetica;sans-serif" w:hAnsi="Helvetica;sans-serif"/>
              </w:rPr>
              <w:fldChar w:fldCharType="separate"/>
            </w:r>
            <w:r>
              <w:rPr>
                <w:rStyle w:val="InternetLink"/>
                <w:rFonts w:ascii="Helvetica;sans-serif" w:hAnsi="Helvetica;sans-serif"/>
                <w:b w:val="false"/>
                <w:color w:val="0000FF"/>
                <w:sz w:val="18"/>
                <w:u w:val="single"/>
              </w:rPr>
              <w:t>Power of Attorney (included on signature page)</w:t>
            </w:r>
            <w:r>
              <w:rPr>
                <w:rStyle w:val="InternetLink"/>
                <w:sz w:val="18"/>
                <w:u w:val="single"/>
                <w:b w:val="false"/>
                <w:rFonts w:ascii="Helvetica;sans-serif" w:hAnsi="Helvetica;sans-serif"/>
              </w:rPr>
              <w:fldChar w:fldCharType="end"/>
            </w:r>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Helvetica;sans-serif" w:hAnsi="Helvetica;sans-serif"/>
                  <w:b w:val="false"/>
                  <w:color w:val="0000FF"/>
                  <w:sz w:val="18"/>
                  <w:u w:val="single"/>
                </w:rPr>
                <w:t>Consent of Naama Halevi Davidov to be Named as Director Nominee</w:t>
              </w:r>
            </w:hyperlink>
          </w:p>
        </w:tc>
      </w:tr>
      <w:tr>
        <w:trPr/>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Helvetica;sans-serif" w:hAnsi="Helvetica;sans-serif"/>
                  <w:b w:val="false"/>
                  <w:color w:val="0000FF"/>
                  <w:sz w:val="18"/>
                  <w:u w:val="single"/>
                </w:rPr>
                <w:t>Consent of Ronen Faier to be Named as Director Nominee</w:t>
              </w:r>
            </w:hyperlink>
          </w:p>
        </w:tc>
      </w:tr>
    </w:tbl>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Previously filed.</w:t>
      </w:r>
    </w:p>
    <w:p>
      <w:pPr>
        <w:pStyle w:val="TextBody"/>
        <w:spacing w:lineRule="auto" w:line="288" w:before="0" w:after="0"/>
        <w:ind w:left="0" w:right="0" w:hanging="360"/>
        <w:jc w:val="both"/>
        <w:rPr>
          <w:color w:val="000000"/>
        </w:rPr>
      </w:pPr>
      <w:r>
        <w:rPr>
          <w:color w:val="000000"/>
        </w:rPr>
        <w:t>♣    </w:t>
      </w:r>
      <w:r>
        <w:rPr>
          <w:rFonts w:ascii="Helvetica;sans-serif" w:hAnsi="Helvetica;sans-serif"/>
          <w:b w:val="false"/>
          <w:color w:val="000000"/>
          <w:sz w:val="18"/>
        </w:rPr>
        <w:t>To be filed by amendment.</w:t>
      </w:r>
    </w:p>
    <w:p>
      <w:pPr>
        <w:pStyle w:val="TextBody"/>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Indicates management contract or compensatory plan.</w:t>
      </w:r>
    </w:p>
    <w:p>
      <w:pPr>
        <w:pStyle w:val="TextBody"/>
        <w:spacing w:lineRule="auto" w:line="288" w:before="0" w:after="0"/>
        <w:ind w:left="0" w:right="0" w:hanging="360"/>
        <w:jc w:val="both"/>
        <w:rPr>
          <w:color w:val="000000"/>
        </w:rPr>
      </w:pPr>
      <w:r>
        <w:rPr>
          <w:color w:val="000000"/>
        </w:rPr>
        <w:t>†   </w:t>
      </w:r>
      <w:r>
        <w:rPr>
          <w:rFonts w:ascii="Helvetica;sans-serif" w:hAnsi="Helvetica;sans-serif"/>
          <w:b w:val="false"/>
          <w:color w:val="000000"/>
          <w:sz w:val="18"/>
        </w:rPr>
        <w:t>Certain of the schedules and attachments to this exhibit have been omitted pursuant to Regulation S-K, Item 601(a)(5). The registrant hereby undertakes to provide further information regarding such omitted materials to the Commission upon request.</w:t>
      </w:r>
    </w:p>
    <w:p>
      <w:pPr>
        <w:pStyle w:val="TextBody"/>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   Certain portions of this exhibit (indicated by “####”) have been redacted pursuant to Regulation S-K, Item 601(a)(6).</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(b)Financial Statement Schedules. Schedules not listed above have been omitted because the information required to be set forth therein is not applicable or is shown in the financial statements or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Helvetica;sans-serif" w:hAnsi="Helvetica;sans-serif"/>
          <w:b/>
          <w:color w:val="000000"/>
          <w:sz w:val="20"/>
        </w:rPr>
      </w:pPr>
      <w:r>
        <w:rPr>
          <w:rFonts w:ascii="Helvetica;sans-serif" w:hAnsi="Helvetica;sans-serif"/>
          <w:b/>
          <w:color w:val="000000"/>
          <w:sz w:val="20"/>
        </w:rPr>
        <w:t>Item 17. Undertakings.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undersigned hereby undertakes that:</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(1)For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(2)For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222250"/>
                <wp:effectExtent l="0" t="0" r="0" b="0"/>
                <wp:wrapNone/>
                <wp:docPr id="250" name="Frame24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II-4</w:t>
                      </w:r>
                    </w:p>
                  </w:txbxContent>
                </v:textbox>
              </v:rect>
            </w:pict>
          </mc:Fallback>
        </mc:AlternateContent>
      </w:r>
    </w:p>
    <w:p>
      <w:pPr>
        <w:pStyle w:val="TextBody"/>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Act, the registrant has duly caused this registration statement to be signed on its behalf by the undersigned, thereunto duly authorized, in the City of New York, State of New York, on this 26th day of March, 2021.</w:t>
      </w:r>
    </w:p>
    <w:tbl>
      <w:tblPr>
        <w:tblW w:w="4509" w:type="dxa"/>
        <w:jc w:val="left"/>
        <w:tblInd w:w="0" w:type="dxa"/>
        <w:tblCellMar>
          <w:top w:w="28" w:type="dxa"/>
          <w:left w:w="28" w:type="dxa"/>
          <w:bottom w:w="28" w:type="dxa"/>
          <w:right w:w="28" w:type="dxa"/>
        </w:tblCellMar>
      </w:tblPr>
      <w:tblGrid>
        <w:gridCol w:w="124"/>
        <w:gridCol w:w="109"/>
        <w:gridCol w:w="109"/>
        <w:gridCol w:w="244"/>
        <w:gridCol w:w="244"/>
        <w:gridCol w:w="244"/>
        <w:gridCol w:w="999"/>
        <w:gridCol w:w="999"/>
        <w:gridCol w:w="14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KALTURA,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 Ron Yekutiel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Ron Yekutiel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Chairman and Chief Executive Officer</w:t>
            </w:r>
          </w:p>
        </w:tc>
      </w:tr>
    </w:tbl>
    <w:p>
      <w:pPr>
        <w:pStyle w:val="TextBody"/>
        <w:spacing w:before="0" w:after="180"/>
        <w:ind w:left="0" w:right="0" w:firstLine="360"/>
        <w:jc w:val="both"/>
        <w:rPr/>
      </w:pPr>
      <w:r>
        <w:rPr/>
      </w:r>
    </w:p>
    <w:p>
      <w:pPr>
        <w:pStyle w:val="TextBody"/>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Act of 1933, this Registration Statement has been signed by the following persons in the capacities held on the dates indicated.</w:t>
      </w:r>
    </w:p>
    <w:tbl>
      <w:tblPr>
        <w:tblW w:w="10205" w:type="dxa"/>
        <w:jc w:val="left"/>
        <w:tblInd w:w="0" w:type="dxa"/>
        <w:tblCellMar>
          <w:top w:w="28" w:type="dxa"/>
          <w:left w:w="28" w:type="dxa"/>
          <w:bottom w:w="28" w:type="dxa"/>
          <w:right w:w="28" w:type="dxa"/>
        </w:tblCellMar>
      </w:tblPr>
      <w:tblGrid>
        <w:gridCol w:w="612"/>
        <w:gridCol w:w="531"/>
        <w:gridCol w:w="533"/>
        <w:gridCol w:w="109"/>
        <w:gridCol w:w="109"/>
        <w:gridCol w:w="109"/>
        <w:gridCol w:w="2140"/>
        <w:gridCol w:w="2135"/>
        <w:gridCol w:w="2162"/>
        <w:gridCol w:w="109"/>
        <w:gridCol w:w="109"/>
        <w:gridCol w:w="109"/>
        <w:gridCol w:w="417"/>
        <w:gridCol w:w="417"/>
        <w:gridCol w:w="604"/>
      </w:tblGrid>
      <w:tr>
        <w:trPr/>
        <w:tc>
          <w:tcPr>
            <w:tcW w:w="612"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Date</w:t>
            </w:r>
          </w:p>
        </w:tc>
      </w:tr>
      <w:tr>
        <w:trPr/>
        <w:tc>
          <w:tcPr>
            <w:tcW w:w="1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 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Chairman and Chief Executive Officer (principal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March 26, 2021</w:t>
            </w:r>
          </w:p>
        </w:tc>
      </w:tr>
      <w:tr>
        <w:trPr/>
        <w:tc>
          <w:tcPr>
            <w:tcW w:w="1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 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Chief Financial Officer (principal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March 26, 2021</w:t>
            </w:r>
          </w:p>
        </w:tc>
      </w:tr>
      <w:tr>
        <w:trPr/>
        <w:tc>
          <w:tcPr>
            <w:tcW w:w="1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March 26, 2021</w:t>
            </w:r>
          </w:p>
        </w:tc>
      </w:tr>
      <w:tr>
        <w:trPr/>
        <w:tc>
          <w:tcPr>
            <w:tcW w:w="1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Narendra K. Gupta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March 26, 2021</w:t>
            </w:r>
          </w:p>
        </w:tc>
      </w:tr>
      <w:tr>
        <w:trPr/>
        <w:tc>
          <w:tcPr>
            <w:tcW w:w="1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Richard Levandov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March 26, 2021</w:t>
            </w:r>
          </w:p>
        </w:tc>
      </w:tr>
      <w:tr>
        <w:trPr/>
        <w:tc>
          <w:tcPr>
            <w:tcW w:w="1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Shay David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180"/>
        <w:ind w:left="0" w:right="0" w:firstLine="360"/>
        <w:jc w:val="both"/>
        <w:rPr/>
      </w:pPr>
      <w:r>
        <w:rPr/>
      </w:r>
    </w:p>
    <w:tbl>
      <w:tblPr>
        <w:tblW w:w="2233" w:type="dxa"/>
        <w:jc w:val="left"/>
        <w:tblInd w:w="0" w:type="dxa"/>
        <w:tblCellMar>
          <w:top w:w="28" w:type="dxa"/>
          <w:left w:w="28" w:type="dxa"/>
          <w:bottom w:w="28" w:type="dxa"/>
          <w:right w:w="28" w:type="dxa"/>
        </w:tblCellMar>
      </w:tblPr>
      <w:tblGrid>
        <w:gridCol w:w="179"/>
        <w:gridCol w:w="156"/>
        <w:gridCol w:w="159"/>
        <w:gridCol w:w="508"/>
        <w:gridCol w:w="508"/>
        <w:gridCol w:w="723"/>
      </w:tblGrid>
      <w:tr>
        <w:trPr/>
        <w:tc>
          <w:tcPr>
            <w:tcW w:w="1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r>
      <w:tr>
        <w:trPr/>
        <w:tc>
          <w:tcPr>
            <w:tcW w:w="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Yaron Garmazi</w:t>
            </w:r>
          </w:p>
        </w:tc>
      </w:tr>
      <w:tr>
        <w:trPr/>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Yaron Garmazi</w:t>
            </w:r>
          </w:p>
        </w:tc>
      </w:tr>
      <w:tr>
        <w:trPr/>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Attorney-in-Fact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251" name="Frame2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spacing w:before="0" w:after="2000"/>
        <w:jc w:val="center"/>
        <w:rPr/>
      </w:pPr>
      <w:r>
        <w:rPr/>
      </w:r>
    </w:p>
    <w:p>
      <w:pPr>
        <w:pStyle w:val="TextBody"/>
        <w:spacing w:lineRule="auto" w:line="288" w:before="0" w:after="400"/>
        <w:jc w:val="center"/>
        <w:rPr>
          <w:rFonts w:ascii="Times New Roman;sans-serif" w:hAnsi="Times New Roman;sans-serif"/>
          <w:b/>
          <w:color w:val="000000"/>
          <w:sz w:val="22"/>
        </w:rPr>
      </w:pPr>
      <w:r>
        <w:rPr>
          <w:rFonts w:ascii="Times New Roman;sans-serif" w:hAnsi="Times New Roman;sans-serif"/>
          <w:b/>
          <w:color w:val="000000"/>
          <w:sz w:val="22"/>
        </w:rPr>
        <w:t xml:space="preserve">SENIOR SECURED CREDIT FACILITIES </w:t>
      </w:r>
    </w:p>
    <w:p>
      <w:pPr>
        <w:pStyle w:val="TextBody"/>
        <w:spacing w:lineRule="auto" w:line="288" w:before="0" w:after="40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dated as of January 14, 2021, </w:t>
      </w:r>
    </w:p>
    <w:p>
      <w:pPr>
        <w:pStyle w:val="TextBody"/>
        <w:spacing w:lineRule="auto" w:line="288" w:before="0" w:after="40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spacing w:lineRule="auto" w:line="288" w:before="0" w:after="0"/>
        <w:jc w:val="center"/>
        <w:rPr/>
      </w:pPr>
      <w:r>
        <w:rPr>
          <w:rFonts w:ascii="Times New Roman;sans-serif" w:hAnsi="Times New Roman;sans-serif"/>
          <w:b/>
          <w:color w:val="000000"/>
          <w:sz w:val="22"/>
        </w:rPr>
        <w:t>KALTURA, INC.</w:t>
      </w:r>
      <w:r>
        <w:rPr>
          <w:rFonts w:ascii="Times New Roman;sans-serif" w:hAnsi="Times New Roman;sans-serif"/>
          <w:b w:val="false"/>
          <w:color w:val="000000"/>
          <w:sz w:val="22"/>
        </w:rPr>
        <w:t>,</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p>
      <w:pPr>
        <w:pStyle w:val="TextBody"/>
        <w:spacing w:lineRule="auto" w:line="288" w:before="0" w:after="400"/>
        <w:jc w:val="center"/>
        <w:rPr>
          <w:rFonts w:ascii="Times New Roman;sans-serif" w:hAnsi="Times New Roman;sans-serif"/>
          <w:b/>
          <w:color w:val="000000"/>
          <w:sz w:val="22"/>
        </w:rPr>
      </w:pPr>
      <w:r>
        <w:rPr>
          <w:rFonts w:ascii="Times New Roman;sans-serif" w:hAnsi="Times New Roman;sans-serif"/>
          <w:b/>
          <w:color w:val="000000"/>
          <w:sz w:val="22"/>
        </w:rPr>
        <w:t>THE SEVERAL LENDERS FROM TIME TO TIME PARTY HERETO,</w:t>
      </w:r>
    </w:p>
    <w:p>
      <w:pPr>
        <w:pStyle w:val="TextBody"/>
        <w:spacing w:lineRule="auto" w:line="288" w:before="0" w:after="40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spacing w:lineRule="auto" w:line="288" w:before="0" w:after="0"/>
        <w:jc w:val="center"/>
        <w:rPr/>
      </w:pPr>
      <w:r>
        <w:rPr>
          <w:rFonts w:ascii="Times New Roman;sans-serif" w:hAnsi="Times New Roman;sans-serif"/>
          <w:b/>
          <w:color w:val="000000"/>
          <w:sz w:val="22"/>
        </w:rPr>
        <w:t>SILICON VALLEY BANK</w:t>
      </w:r>
      <w:r>
        <w:rPr>
          <w:rFonts w:ascii="Times New Roman;sans-serif" w:hAnsi="Times New Roman;sans-serif"/>
          <w:b w:val="false"/>
          <w:color w:val="000000"/>
          <w:sz w:val="22"/>
        </w:rPr>
        <w:t>,</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Administrative Agent, Issuing Lender and Swingline Lender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w:t>
      </w:r>
      <w:r>
        <w:rPr>
          <w:rFonts w:ascii="Times New Roman;sans-serif" w:hAnsi="Times New Roman;sans-serif"/>
          <w:b/>
          <w:color w:val="000000"/>
          <w:sz w:val="22"/>
        </w:rPr>
        <w:t>able of Contents</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252" name="Frame2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spacing w:before="0" w:after="0"/>
                        <w:jc w:val="center"/>
                        <w:rPr/>
                      </w:pPr>
                      <w:r>
                        <w:rPr/>
                      </w:r>
                    </w:p>
                  </w:txbxContent>
                </v:textbox>
              </v:rect>
            </w:pict>
          </mc:Fallback>
        </mc:AlternateContent>
      </w:r>
    </w:p>
    <w:tbl>
      <w:tblPr>
        <w:tblW w:w="8986" w:type="dxa"/>
        <w:jc w:val="left"/>
        <w:tblInd w:w="0" w:type="dxa"/>
        <w:tblCellMar>
          <w:top w:w="28" w:type="dxa"/>
          <w:left w:w="28" w:type="dxa"/>
          <w:bottom w:w="28" w:type="dxa"/>
          <w:right w:w="28" w:type="dxa"/>
        </w:tblCellMar>
      </w:tblPr>
      <w:tblGrid>
        <w:gridCol w:w="656"/>
        <w:gridCol w:w="580"/>
        <w:gridCol w:w="580"/>
        <w:gridCol w:w="2177"/>
        <w:gridCol w:w="2177"/>
        <w:gridCol w:w="2185"/>
        <w:gridCol w:w="184"/>
        <w:gridCol w:w="184"/>
        <w:gridCol w:w="263"/>
      </w:tblGrid>
      <w:tr>
        <w:trPr/>
        <w:tc>
          <w:tcPr>
            <w:tcW w:w="65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 DEFINITIONS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Defined Terms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Other Definitional Provisions.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Rounding</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w:t>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 AMOUNT AND TERMS OF COMMITMENTS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w:t>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Term Commitments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Procedure for Term Loan Borrowing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Repayment of Term Loans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Revolving Commitments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Procedure for Revolving Loan Borrowing</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Swingline Commitment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Procedure for Swingline Borrowing; Refunding of Swingline Loans.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Overadvances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2.10</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Termination or Reduction of Revolving Commitments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2.11</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Optional Loan Prepayments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2.12</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Mandatory Prepayments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2.13</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Conversion and Continuation Options.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2.14</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Limitations on Eurodollar Tranches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2.15</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Rates and Payment Dates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2.16</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Computation of Interest and Fees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2.17</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Inability to Determine Interest Rate</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2.18</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 Rata Treatment and Payments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2.19</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Illegality; Requirements of Law.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2.20</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2.21</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Indemnity</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2.22</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of Lending Office</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2.23</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Substitution of Lenders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2.24</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Defaulting Lenders.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2.25</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2.26</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Facility</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w:t>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 LETTERS OF CREDIT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w:t>
            </w:r>
          </w:p>
        </w:tc>
      </w:tr>
      <w:tr>
        <w:trPr/>
        <w:tc>
          <w:tcPr>
            <w:tcW w:w="1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L/C Commitment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Procedure for Issuance of Letters of Credit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Fees and Other Charges.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L/C Participations; Existing Letters of Credit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Reimbursement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3.6</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Obligations Absolute</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Letter of Credit Payments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Applications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w:t>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3.9</w:t>
            </w:r>
          </w:p>
        </w:tc>
        <w:tc>
          <w:tcPr>
            <w:tcW w:w="6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Interim Interest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w:t>
            </w:r>
          </w:p>
        </w:tc>
      </w:tr>
    </w:tbl>
    <w:p>
      <w:pPr>
        <w:pStyle w:val="TextBody"/>
        <w:spacing w:lineRule="auto" w:line="288" w:before="0" w:after="0"/>
        <w:jc w:val="center"/>
        <w:rPr>
          <w:rFonts w:ascii="Times New Roman;sans-serif" w:hAnsi="Times New Roman;sans-serif"/>
          <w:b/>
          <w:color w:val="000000"/>
          <w:sz w:val="22"/>
        </w:rPr>
      </w:pPr>
      <w:r>
        <w:br w:type="page"/>
      </w:r>
      <w:r>
        <w:rPr>
          <w:rFonts w:ascii="Times New Roman;sans-serif" w:hAnsi="Times New Roman;sans-serif"/>
          <w:b/>
          <w:color w:val="000000"/>
          <w:sz w:val="22"/>
        </w:rPr>
        <w:t>T</w:t>
      </w:r>
      <w:r>
        <w:rPr>
          <w:rFonts w:ascii="Times New Roman;sans-serif" w:hAnsi="Times New Roman;sans-serif"/>
          <w:b/>
          <w:color w:val="000000"/>
          <w:sz w:val="22"/>
        </w:rPr>
        <w:t>able of Contents</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60655"/>
                <wp:effectExtent l="0" t="0" r="0" b="0"/>
                <wp:wrapNone/>
                <wp:docPr id="253" name="Frame2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6148" w:type="dxa"/>
        <w:jc w:val="left"/>
        <w:tblInd w:w="0" w:type="dxa"/>
        <w:tblCellMar>
          <w:top w:w="28" w:type="dxa"/>
          <w:left w:w="28" w:type="dxa"/>
          <w:bottom w:w="28" w:type="dxa"/>
          <w:right w:w="28" w:type="dxa"/>
        </w:tblCellMar>
      </w:tblPr>
      <w:tblGrid>
        <w:gridCol w:w="279"/>
        <w:gridCol w:w="245"/>
        <w:gridCol w:w="246"/>
        <w:gridCol w:w="1581"/>
        <w:gridCol w:w="1581"/>
        <w:gridCol w:w="1585"/>
        <w:gridCol w:w="184"/>
        <w:gridCol w:w="184"/>
        <w:gridCol w:w="263"/>
      </w:tblGrid>
      <w:tr>
        <w:trPr/>
        <w:tc>
          <w:tcPr>
            <w:tcW w:w="27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3.10</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Collateral.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Issuing Lenders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Resignation of the Issuing Lender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3.13</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Applicability of UCP and ISP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w:t>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1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4 REPRESENTATIONS AND WARRANTIES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Condition.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Change</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Existence; Compliance with Law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Power, Authorization; Enforceable Obligations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 Legal Bar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Litigation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Default</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Ownership of Property; Liens; Investments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Intellectual Property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4.10</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Taxes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4.11</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Federal Regulations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4.12</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Labor Matters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4.13</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ERISA and Other Pension Matters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4.14</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Company Act; Other Regulations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4.15</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Subsidiaries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4.16</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Use of Proceeds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4.17</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Environmental Matters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4.18</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Accuracy of Information, etc.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4.19</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Security Documents.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4.20</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Solvency</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4.21</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Regulation H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4.22</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Designated Senior Indebtedness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4.23</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[Reserved]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4.24</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Insurance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4.25</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 Casualty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4.26</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Contracts..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4.27</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Capitalization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4.28</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OFAC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4.29</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Anti-Corruption Laws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4.30</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Representations as to Foreign Obligors.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1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5 CONDITIONS PRECEDENT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w:t>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Conditions to Initial Extension of Credit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Conditions to Each Extension of Credit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78</w:t>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Post-Closing Conditions Subsequent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78</w:t>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1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6 AFFIRMATIVE COVENANTS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w:t>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c>
          <w:tcPr>
            <w:tcW w:w="4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Statements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w:t>
            </w:r>
          </w:p>
        </w:tc>
      </w:tr>
    </w:tbl>
    <w:p>
      <w:pPr>
        <w:pStyle w:val="TextBody"/>
        <w:spacing w:lineRule="auto" w:line="288" w:before="0" w:after="0"/>
        <w:jc w:val="center"/>
        <w:rPr>
          <w:rFonts w:ascii="Times New Roman;sans-serif" w:hAnsi="Times New Roman;sans-serif"/>
          <w:b/>
          <w:color w:val="000000"/>
          <w:sz w:val="22"/>
        </w:rPr>
      </w:pPr>
      <w:r>
        <w:br w:type="page"/>
      </w:r>
      <w:r>
        <w:rPr>
          <w:rFonts w:ascii="Times New Roman;sans-serif" w:hAnsi="Times New Roman;sans-serif"/>
          <w:b/>
          <w:color w:val="000000"/>
          <w:sz w:val="22"/>
        </w:rPr>
        <w:t>T</w:t>
      </w:r>
      <w:r>
        <w:rPr>
          <w:rFonts w:ascii="Times New Roman;sans-serif" w:hAnsi="Times New Roman;sans-serif"/>
          <w:b/>
          <w:color w:val="000000"/>
          <w:sz w:val="22"/>
        </w:rPr>
        <w:t>able of Contents</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60655"/>
                <wp:effectExtent l="0" t="0" r="0" b="0"/>
                <wp:wrapNone/>
                <wp:docPr id="254" name="Frame2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8207" w:type="dxa"/>
        <w:jc w:val="left"/>
        <w:tblInd w:w="0" w:type="dxa"/>
        <w:tblCellMar>
          <w:top w:w="28" w:type="dxa"/>
          <w:left w:w="28" w:type="dxa"/>
          <w:bottom w:w="28" w:type="dxa"/>
          <w:right w:w="28" w:type="dxa"/>
        </w:tblCellMar>
      </w:tblPr>
      <w:tblGrid>
        <w:gridCol w:w="195"/>
        <w:gridCol w:w="172"/>
        <w:gridCol w:w="174"/>
        <w:gridCol w:w="2343"/>
        <w:gridCol w:w="2343"/>
        <w:gridCol w:w="2349"/>
        <w:gridCol w:w="184"/>
        <w:gridCol w:w="184"/>
        <w:gridCol w:w="263"/>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Certificates; Reports; Other Information</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Contracts.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Payment of Obligations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82</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Maintenance of Existence; Compliance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82</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Maintenance of Property; Insurance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Inspection of Property; Books and Records; Discussions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Notices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Environmental Laws.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6.10</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Accounts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6.11</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Audits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6.12</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Collateral, Etc.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6.13</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[Reserved]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6.14</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Use of Proceeds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6.15</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Designated Senior Indebtedness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6.16</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Anti-Corruption Laws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6.17</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Further Assurances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7 NEGATIVE COVENANTS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Condition Covenants.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Indebtedness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Liens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7.4</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Fundamental Changes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92</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7.5</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Disposition of Property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92</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Restricted Payments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93</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[Reserved]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7.8</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ERISA and Other Pension Matters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7.10</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Optional Payments and Modifications of Certain Preferred Stock and Debt</w:t>
              <w:br/>
              <w:t>Instruments</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7.11</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Transactions with Affiliates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7.12</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Sale Leaseback Transactions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7.13</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Swap Agreements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7.14</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Accounting Changes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7.15</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Negative Pledge Clauses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7.16</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Clauses Restricting Subsidiary Distributions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7.17</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Lines of Business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7.18</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Designation of other Indebtedness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7.19</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Amendments to Organizational Agreements and Material Contracts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7.20</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Use of Proceeds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7.21</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Subordinated Debt.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7.22</w:t>
            </w:r>
          </w:p>
        </w:tc>
        <w:tc>
          <w:tcPr>
            <w:tcW w:w="7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Anti-Terrorism Laws.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8 EVENTS OF DEFAULT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br w:type="page"/>
      </w:r>
      <w:r>
        <w:rPr>
          <w:rFonts w:ascii="Times New Roman;sans-serif" w:hAnsi="Times New Roman;sans-serif"/>
          <w:b/>
          <w:color w:val="000000"/>
          <w:sz w:val="22"/>
        </w:rPr>
        <w:t>T</w:t>
      </w:r>
      <w:r>
        <w:rPr>
          <w:rFonts w:ascii="Times New Roman;sans-serif" w:hAnsi="Times New Roman;sans-serif"/>
          <w:b/>
          <w:color w:val="000000"/>
          <w:sz w:val="22"/>
        </w:rPr>
        <w:t>able of Contents</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60655"/>
                <wp:effectExtent l="0" t="0" r="0" b="0"/>
                <wp:wrapNone/>
                <wp:docPr id="255" name="Frame2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7157" w:type="dxa"/>
        <w:jc w:val="left"/>
        <w:tblInd w:w="0" w:type="dxa"/>
        <w:tblCellMar>
          <w:top w:w="28" w:type="dxa"/>
          <w:left w:w="28" w:type="dxa"/>
          <w:bottom w:w="28" w:type="dxa"/>
          <w:right w:w="28" w:type="dxa"/>
        </w:tblCellMar>
      </w:tblPr>
      <w:tblGrid>
        <w:gridCol w:w="238"/>
        <w:gridCol w:w="210"/>
        <w:gridCol w:w="213"/>
        <w:gridCol w:w="1953"/>
        <w:gridCol w:w="1953"/>
        <w:gridCol w:w="1959"/>
        <w:gridCol w:w="184"/>
        <w:gridCol w:w="184"/>
        <w:gridCol w:w="263"/>
      </w:tblGrid>
      <w:tr>
        <w:trPr/>
        <w:tc>
          <w:tcPr>
            <w:tcW w:w="2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Events of Default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8.2</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Remedies Upon Event of Default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103</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Application of Funds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9 THE ADMINISTRATIVE AGENT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Appointment and Authority.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9.2</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Delegation of Duties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9.3</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Exculpatory Provisions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9.4</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Reliance by Administrative Agent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9.5</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Notice of Default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9.6</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Non-Reliance on Administrative Agent and Other Lenders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9.7</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Indemnification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9.8</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Agent in Its Individual Capacity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9.9</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Successor Administrative Agent.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9.10</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Collateral and Guaranty Matters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111</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9.11</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Administrative Agent May File Proofs of Claim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113</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9.12</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113</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9.13</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Management Bank and Qualified Counterparty Reports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113</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9.14</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Survival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113</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10 MISCELLANEOUS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114</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Amendments and Waivers.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114</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Notices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116</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10.3</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 Waiver; Cumulative Remedies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Survival of Representations and Warranties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10.5</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Expenses; Indemnity; Damage Waiver.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10.6</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Successors and Assigns; Participations and Assignments.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119</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10.7</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Adjustments; Set-off.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10.8</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 Set Aside</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10.9</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Interest Rate Limitation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10.10</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Counterparts; Electronic Execution of Assignments.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10.11</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125</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10.12</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Integration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125</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10.13</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GOVERNING LAW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125</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10.14</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Submission to Jurisdiction; Waivers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125</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10.15</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Acknowledgements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126</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10.16</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Releases of Guarantees and Liens.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10.17</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Treatment of Certain Information; Confidentiality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127</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10.18</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Automatic Debits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10.19</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Judgment Currency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10.20</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Patriot Act; Other Regulations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129</w:t>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10.21</w:t>
            </w:r>
          </w:p>
        </w:tc>
        <w:tc>
          <w:tcPr>
            <w:tcW w:w="58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Acknowledgement and Consent to Bail-In </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129</w:t>
            </w:r>
          </w:p>
        </w:tc>
      </w:tr>
    </w:tbl>
    <w:p>
      <w:pPr>
        <w:pStyle w:val="TextBody"/>
        <w:spacing w:lineRule="auto" w:line="288" w:before="0" w:after="0"/>
        <w:jc w:val="center"/>
        <w:rPr>
          <w:rFonts w:ascii="Times New Roman;sans-serif" w:hAnsi="Times New Roman;sans-serif"/>
          <w:b/>
          <w:color w:val="000000"/>
          <w:sz w:val="22"/>
        </w:rPr>
      </w:pPr>
      <w:r>
        <w:br w:type="page"/>
      </w:r>
      <w:r>
        <w:rPr>
          <w:rFonts w:ascii="Times New Roman;sans-serif" w:hAnsi="Times New Roman;sans-serif"/>
          <w:b/>
          <w:color w:val="000000"/>
          <w:sz w:val="22"/>
        </w:rPr>
        <w:t>T</w:t>
      </w:r>
      <w:r>
        <w:rPr>
          <w:rFonts w:ascii="Times New Roman;sans-serif" w:hAnsi="Times New Roman;sans-serif"/>
          <w:b/>
          <w:color w:val="000000"/>
          <w:sz w:val="22"/>
        </w:rPr>
        <w:t>able of Contents</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60655"/>
                <wp:effectExtent l="0" t="0" r="0" b="0"/>
                <wp:wrapNone/>
                <wp:docPr id="256" name="Frame2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8848" w:type="dxa"/>
        <w:jc w:val="left"/>
        <w:tblInd w:w="0" w:type="dxa"/>
        <w:tblCellMar>
          <w:top w:w="28" w:type="dxa"/>
          <w:left w:w="28" w:type="dxa"/>
          <w:bottom w:w="28" w:type="dxa"/>
          <w:right w:w="28" w:type="dxa"/>
        </w:tblCellMar>
      </w:tblPr>
      <w:tblGrid>
        <w:gridCol w:w="700"/>
        <w:gridCol w:w="616"/>
        <w:gridCol w:w="618"/>
        <w:gridCol w:w="2013"/>
        <w:gridCol w:w="2013"/>
        <w:gridCol w:w="2888"/>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r>
      <w:tr>
        <w:trPr/>
        <w:tc>
          <w:tcPr>
            <w:tcW w:w="8848"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SCHEDULES</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1.1A:</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Commitments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1.1.B: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Letters of Credit</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4.4: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Governmental Approvals, Consents, Authorizations, Filings and Notices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4.5: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Requirements of Law</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4.13: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ERISA Plans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4.15: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Subsidiaries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4.17: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Matters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4.19(a):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Financing Statements and Other Filings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4.27: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Capitalization</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7.2(d):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Indebtedness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7.3(f):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Liens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7.5(m):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Dispositions of Property</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7.8: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Existing Investments</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8"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EXHIBITS</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A: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Guarantee and Collateral Agreement</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B: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Compliance Certificate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C: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Secretary’s/Managing Member’s Certificate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D: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Solvency Certificate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E: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Assignment and Assumption</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Exhibits F-1 – F-4: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Forms of U.S. Tax Compliance Certificate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G: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H-1: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Revolving Loan Note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H-2: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Swingline Loan Note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H-3: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Term Loan Note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I: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Borrowing Base Certificate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J: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Collateral Information Certificate</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K: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Notice of Borrowing</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L: </w:t>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Notice of Conversion/Continuation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60655"/>
                <wp:effectExtent l="0" t="0" r="0" b="0"/>
                <wp:wrapNone/>
                <wp:docPr id="257" name="Frame2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THIS CREDIT AGREEMENT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dated as of January 14, 2021, is entered into by and among </w:t>
      </w:r>
      <w:r>
        <w:rPr>
          <w:rFonts w:ascii="Times New Roman;sans-serif" w:hAnsi="Times New Roman;sans-serif"/>
          <w:b/>
          <w:color w:val="000000"/>
          <w:sz w:val="22"/>
        </w:rPr>
        <w:t>KALTURA,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several banks and other financial institutions or entities from time to time party to this Agreement (each a “</w:t>
      </w:r>
      <w:r>
        <w:rPr>
          <w:rFonts w:ascii="Times New Roman;sans-serif" w:hAnsi="Times New Roman;sans-serif"/>
          <w:b/>
          <w:i/>
          <w:color w:val="000000"/>
          <w:sz w:val="22"/>
        </w:rPr>
        <w:t>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Lenders</w:t>
      </w:r>
      <w:r>
        <w:rPr>
          <w:color w:val="000000"/>
        </w:rPr>
        <w:t>”</w:t>
      </w:r>
      <w:r>
        <w:rPr>
          <w:rFonts w:ascii="Times New Roman;sans-serif" w:hAnsi="Times New Roman;sans-serif"/>
          <w:b w:val="false"/>
          <w:color w:val="000000"/>
          <w:sz w:val="22"/>
        </w:rPr>
        <w:t xml:space="preserve">), </w:t>
      </w:r>
      <w:r>
        <w:rPr>
          <w:rFonts w:ascii="Times New Roman;sans-serif" w:hAnsi="Times New Roman;sans-serif"/>
          <w:b/>
          <w:color w:val="000000"/>
          <w:sz w:val="22"/>
        </w:rPr>
        <w:t xml:space="preserve">SILICON VALLEY BANK </w:t>
      </w:r>
      <w:r>
        <w:rPr>
          <w:rFonts w:ascii="Times New Roman;sans-serif" w:hAnsi="Times New Roman;sans-serif"/>
          <w:b w:val="false"/>
          <w:color w:val="000000"/>
          <w:sz w:val="22"/>
        </w:rPr>
        <w:t>(“</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xml:space="preserve">), as the Issuing Lender and the Swingline Lender, and </w:t>
      </w:r>
      <w:r>
        <w:rPr>
          <w:rFonts w:ascii="Times New Roman;sans-serif" w:hAnsi="Times New Roman;sans-serif"/>
          <w:b/>
          <w:color w:val="000000"/>
          <w:sz w:val="22"/>
        </w:rPr>
        <w:t>SVB</w:t>
      </w:r>
      <w:r>
        <w:rPr>
          <w:rFonts w:ascii="Times New Roman;sans-serif" w:hAnsi="Times New Roman;sans-serif"/>
          <w:b w:val="false"/>
          <w:color w:val="000000"/>
          <w:sz w:val="22"/>
        </w:rPr>
        <w:t>, as administrative agent and collateral agent for the Lenders (in such capacities, together with any successors and assigns in such capacities,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lineRule="auto" w:line="288" w:before="0" w:after="18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Borrower desires to obtain financing to refinance the Existing Credit Facility (as defined herein), for ongoing working capital and general corporate purposes of the Borrower and its Subsidiaries;</w:t>
      </w:r>
    </w:p>
    <w:p>
      <w:pPr>
        <w:pStyle w:val="TextBody"/>
        <w:spacing w:lineRule="auto" w:line="288" w:before="0" w:after="18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Lenders have agreed to extend certain credit facilities to the Borrower, upon the terms and conditions specified in this Agreement, in an aggregate principal amount not to exceed $50,000,000, consisting of a term loan facility in the aggregate principal amount of $40,000,000, and a revolving loan facility in an aggregate principal amount of up to $10,000,000 including (i) a letter of credit sub-facility in the aggregate availability amount of $10,000,000 (as a sublimit of the revolving loan facility) and (ii) a swingline sub-facility in the aggregate availability amount of $5,000,000 (as a sublimit of the revolving loan facility);</w:t>
      </w:r>
    </w:p>
    <w:p>
      <w:pPr>
        <w:pStyle w:val="TextBody"/>
        <w:spacing w:lineRule="auto" w:line="288" w:before="0" w:after="180"/>
        <w:ind w:left="0" w:right="0" w:firstLine="5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Borrower has agreed to secure all of its Obligations by granting to the Administrative Agent, for the benefit of the Secured Parties, a first priority lien (subject to Liens permitted by the Loan Documents) on substantially all of its assets, all pursuant to the terms of the Guarantee and Collateral Agreement and the other Security Documents; and</w:t>
      </w:r>
    </w:p>
    <w:p>
      <w:pPr>
        <w:pStyle w:val="TextBody"/>
        <w:spacing w:lineRule="auto" w:line="288" w:before="0" w:after="18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each of the Guarantors has agreed to guarantee the Obligations of the Borrower and to secure its respective Obligations in respect of such guarantee by granting to the Administrative Agent, for the benefit of the Secured Parties, a first priority lien (subject to Liens permitted by the Loan Documents) on substantially all of its assets, all pursuant to the terms of the Guarantee and Collateral Agreement and the other Security Documents to which such Guarantor is a party.</w:t>
      </w:r>
    </w:p>
    <w:p>
      <w:pPr>
        <w:pStyle w:val="TextBody"/>
        <w:spacing w:lineRule="auto" w:line="288" w:before="0" w:after="18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the parties hereto hereby agree as follows: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DEFINITIONS</w:t>
      </w:r>
    </w:p>
    <w:p>
      <w:pPr>
        <w:pStyle w:val="TextBody"/>
        <w:spacing w:lineRule="auto" w:line="288" w:before="0" w:after="180"/>
        <w:ind w:left="0" w:right="0" w:firstLine="720"/>
        <w:jc w:val="both"/>
        <w:rPr/>
      </w:pPr>
      <w:r>
        <w:rPr>
          <w:rFonts w:ascii="Times New Roman;sans-serif" w:hAnsi="Times New Roman;sans-serif"/>
          <w:b w:val="false"/>
          <w:color w:val="000000"/>
          <w:sz w:val="22"/>
        </w:rPr>
        <w:t>1.1</w:t>
      </w:r>
      <w:r>
        <w:rPr>
          <w:rFonts w:ascii="Times New Roman;sans-serif" w:hAnsi="Times New Roman;sans-serif"/>
          <w:b/>
          <w:color w:val="000000"/>
          <w:sz w:val="22"/>
        </w:rPr>
        <w:t>Defined Terms</w:t>
      </w:r>
      <w:r>
        <w:rPr>
          <w:rFonts w:ascii="Times New Roman;sans-serif" w:hAnsi="Times New Roman;sans-serif"/>
          <w:b w:val="false"/>
          <w:color w:val="000000"/>
          <w:sz w:val="22"/>
        </w:rPr>
        <w:t xml:space="preserve">. As used in this Agreement (including the recitals hereof), the terms listed in this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shall have the respective meanings set forth in this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ABR</w:t>
      </w:r>
      <w:r>
        <w:rPr>
          <w:color w:val="000000"/>
        </w:rPr>
        <w:t>”</w:t>
      </w:r>
      <w:r>
        <w:rPr>
          <w:rFonts w:ascii="Times New Roman;sans-serif" w:hAnsi="Times New Roman;sans-serif"/>
          <w:b w:val="false"/>
          <w:color w:val="000000"/>
          <w:sz w:val="22"/>
        </w:rPr>
        <w:t>: for any day, a rate per annum equal to the highest of (a) the Prime Rate in effect on such day and (b) the Federal Funds Effective Rate in effect for such day plus 0.50%; provided that in no event shall the ABR be deemed to be less than 2.00%. Any change in the ABR due to a change in any of the Prime Rate or the Federal Funds Effective Rate, as the case may be, shall be effective as of the opening of business on the effective day of the change in such rates.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ABR Loans</w:t>
      </w:r>
      <w:r>
        <w:rPr>
          <w:color w:val="000000"/>
        </w:rPr>
        <w:t>”</w:t>
      </w:r>
      <w:r>
        <w:rPr>
          <w:rFonts w:ascii="Times New Roman;sans-serif" w:hAnsi="Times New Roman;sans-serif"/>
          <w:b w:val="false"/>
          <w:color w:val="000000"/>
          <w:sz w:val="22"/>
        </w:rPr>
        <w:t>: Loans, the rate of interest applicable to which is based upon the ABR.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Account Debtor</w:t>
      </w:r>
      <w:r>
        <w:rPr>
          <w:color w:val="000000"/>
        </w:rPr>
        <w:t>”</w:t>
      </w:r>
      <w:r>
        <w:rPr>
          <w:rFonts w:ascii="Times New Roman;sans-serif" w:hAnsi="Times New Roman;sans-serif"/>
          <w:b w:val="false"/>
          <w:color w:val="000000"/>
          <w:sz w:val="22"/>
        </w:rPr>
        <w:t xml:space="preserve">: any Person who may become obligated to any Person under, with respect to, or on account of, an Account, chattel paper or general intangibles (including a payment intangible). </w:t>
      </w:r>
      <w:r>
        <w:br w:type="page"/>
      </w:r>
    </w:p>
    <w:p>
      <w:pPr>
        <w:pStyle w:val="TextBody"/>
        <w:spacing w:before="0" w:after="0"/>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60655"/>
                <wp:effectExtent l="0" t="0" r="0" b="0"/>
                <wp:wrapNone/>
                <wp:docPr id="258" name="Frame2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stated, the term “Account Debtor,” when used herein, shall mean an Account Debtor in respect of an Account of any of the Group Members, as applicable.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Accounts</w:t>
      </w:r>
      <w:r>
        <w:rPr>
          <w:color w:val="000000"/>
        </w:rPr>
        <w:t>”</w:t>
      </w:r>
      <w:r>
        <w:rPr>
          <w:rFonts w:ascii="Times New Roman;sans-serif" w:hAnsi="Times New Roman;sans-serif"/>
          <w:b w:val="false"/>
          <w:color w:val="000000"/>
          <w:sz w:val="22"/>
        </w:rPr>
        <w:t>: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any of the Group Members, as applicable.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xml:space="preserve">: SVB, as the administrative agent under this Agreement and the other Loan Documents, together with any of its successors in such capacity.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Advance Rate</w:t>
      </w:r>
      <w:r>
        <w:rPr>
          <w:color w:val="000000"/>
        </w:rPr>
        <w:t>”</w:t>
      </w:r>
      <w:r>
        <w:rPr>
          <w:rFonts w:ascii="Times New Roman;sans-serif" w:hAnsi="Times New Roman;sans-serif"/>
          <w:b w:val="false"/>
          <w:color w:val="000000"/>
          <w:sz w:val="22"/>
        </w:rPr>
        <w:t>: 600%.</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Affected Lender</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Affiliate</w:t>
      </w:r>
      <w:r>
        <w:rPr>
          <w:color w:val="000000"/>
        </w:rPr>
        <w:t>”</w:t>
      </w:r>
      <w:r>
        <w:rPr>
          <w:rFonts w:ascii="Times New Roman;sans-serif" w:hAnsi="Times New Roman;sans-serif"/>
          <w:b w:val="false"/>
          <w:color w:val="000000"/>
          <w:sz w:val="22"/>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Agent Parties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10.2(c)(ii)</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Aggregate Exposure</w:t>
      </w:r>
      <w:r>
        <w:rPr>
          <w:color w:val="000000"/>
        </w:rPr>
        <w:t>”</w:t>
      </w:r>
      <w:r>
        <w:rPr>
          <w:rFonts w:ascii="Times New Roman;sans-serif" w:hAnsi="Times New Roman;sans-serif"/>
          <w:b w:val="false"/>
          <w:color w:val="000000"/>
          <w:sz w:val="22"/>
        </w:rPr>
        <w:t>: with respect to any Lender at any time, an amount equal to the sum of (a) without duplication of clause (b), the aggregate then unpaid principal amount of such Lender’s Term Loans, (b) without duplication of clause (a), the aggregate amount of such Lender’s Term Commitments then in effect, (c) the amount of such Lender’s Revolving Commitment then in effect or, if the Revolving Commitments have been terminated, the amount of such Lender’s Revolving Extensions of Credit then outstanding, and (d) without duplication of clause (c), the L/C Commitment of such Lender then in effect (as a sublimit of the Revolving Commitment of such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Aggregate Exposure Percentage</w:t>
      </w:r>
      <w:r>
        <w:rPr>
          <w:color w:val="000000"/>
        </w:rPr>
        <w:t>”</w:t>
      </w:r>
      <w:r>
        <w:rPr>
          <w:rFonts w:ascii="Times New Roman;sans-serif" w:hAnsi="Times New Roman;sans-serif"/>
          <w:b w:val="false"/>
          <w:color w:val="000000"/>
          <w:sz w:val="22"/>
        </w:rPr>
        <w:t>: with respect to any Lender at any time, the ratio (expressed as a percentage) of such Lender’s Aggregate Exposure at such time to the Aggregate Exposure of all Lenders at such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as defined in the preamble hereto.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Agreement Currency</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10.19</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Annualized Recurring Revenue</w:t>
      </w:r>
      <w:r>
        <w:rPr>
          <w:color w:val="000000"/>
        </w:rPr>
        <w:t>”</w:t>
      </w:r>
      <w:r>
        <w:rPr>
          <w:rFonts w:ascii="Times New Roman;sans-serif" w:hAnsi="Times New Roman;sans-serif"/>
          <w:b w:val="false"/>
          <w:color w:val="000000"/>
          <w:sz w:val="22"/>
        </w:rPr>
        <w:t xml:space="preserve">: Monthly Recurring Revenue recognized for the fiscal month most recently ended for which financial statements have been delivered to the Administrative Agent pursuant to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multiplied</w:t>
      </w:r>
      <w:r>
        <w:rPr>
          <w:color w:val="000000"/>
        </w:rPr>
        <w:t xml:space="preserve"> </w:t>
      </w:r>
      <w:r>
        <w:rPr>
          <w:rFonts w:ascii="Times New Roman;sans-serif" w:hAnsi="Times New Roman;sans-serif"/>
          <w:b w:val="false"/>
          <w:color w:val="000000"/>
          <w:sz w:val="22"/>
          <w:u w:val="single"/>
        </w:rPr>
        <w:t>by</w:t>
      </w:r>
      <w:r>
        <w:rPr>
          <w:color w:val="000000"/>
        </w:rPr>
        <w:t xml:space="preserve"> </w:t>
      </w:r>
      <w:r>
        <w:rPr>
          <w:rFonts w:ascii="Times New Roman;sans-serif" w:hAnsi="Times New Roman;sans-serif"/>
          <w:b w:val="false"/>
          <w:color w:val="000000"/>
          <w:sz w:val="22"/>
        </w:rPr>
        <w:t>twelve (12).</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Applicable Foreign Obligor Documents</w:t>
      </w:r>
      <w:r>
        <w:rPr>
          <w:color w:val="000000"/>
        </w:rPr>
        <w:t>”</w:t>
      </w:r>
      <w:r>
        <w:rPr>
          <w:rFonts w:ascii="Times New Roman;sans-serif" w:hAnsi="Times New Roman;sans-serif"/>
          <w:b w:val="false"/>
          <w:color w:val="000000"/>
          <w:sz w:val="22"/>
        </w:rPr>
        <w:t xml:space="preserve">: is defined in </w:t>
      </w:r>
      <w:r>
        <w:rPr>
          <w:rFonts w:ascii="Times New Roman;sans-serif" w:hAnsi="Times New Roman;sans-serif"/>
          <w:b w:val="false"/>
          <w:color w:val="000000"/>
          <w:sz w:val="22"/>
          <w:u w:val="single"/>
        </w:rPr>
        <w:t>Section 4.30(a)</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Applicable Margin</w:t>
      </w:r>
      <w:r>
        <w:rPr>
          <w:color w:val="000000"/>
        </w:rPr>
        <w:t>”</w:t>
      </w:r>
      <w:r>
        <w:rPr>
          <w:rFonts w:ascii="Times New Roman;sans-serif" w:hAnsi="Times New Roman;sans-serif"/>
          <w:b w:val="false"/>
          <w:color w:val="000000"/>
          <w:sz w:val="22"/>
        </w:rPr>
        <w:t>: (a) for Eurodollar Loans, a rate per annum equal to 3.50% and (b) for ABR Loans, a rate per annum equal to 2.50%.</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Application</w:t>
      </w:r>
      <w:r>
        <w:rPr>
          <w:color w:val="000000"/>
        </w:rPr>
        <w:t>”</w:t>
      </w:r>
      <w:r>
        <w:rPr>
          <w:rFonts w:ascii="Times New Roman;sans-serif" w:hAnsi="Times New Roman;sans-serif"/>
          <w:b w:val="false"/>
          <w:color w:val="000000"/>
          <w:sz w:val="22"/>
        </w:rPr>
        <w:t>: an application, in such form as the Issuing Lender may specify from time to time, requesting the Issuing Lender to issue a Letter of Credit.</w:t>
      </w:r>
      <w:r>
        <w:br w:type="page"/>
      </w:r>
    </w:p>
    <w:p>
      <w:pPr>
        <w:pStyle w:val="TextBody"/>
        <w:spacing w:before="0" w:after="0"/>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60655"/>
                <wp:effectExtent l="0" t="0" r="0" b="0"/>
                <wp:wrapNone/>
                <wp:docPr id="259" name="Frame2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Approved Fund</w:t>
      </w:r>
      <w:r>
        <w:rPr>
          <w:color w:val="000000"/>
        </w:rPr>
        <w:t>”</w:t>
      </w:r>
      <w:r>
        <w:rPr>
          <w:rFonts w:ascii="Times New Roman;sans-serif" w:hAnsi="Times New Roman;sans-serif"/>
          <w:b w:val="false"/>
          <w:color w:val="000000"/>
          <w:sz w:val="22"/>
        </w:rPr>
        <w:t>: any Fund that is administered or managed by (a) a Lender, (b) an Affiliate of a Lender, or (c) an entity or an Affiliate of an entity that administers or manages a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Article 55 BRRD</w:t>
      </w:r>
      <w:r>
        <w:rPr>
          <w:color w:val="000000"/>
        </w:rPr>
        <w:t>”</w:t>
      </w:r>
      <w:r>
        <w:rPr>
          <w:rFonts w:ascii="Times New Roman;sans-serif" w:hAnsi="Times New Roman;sans-serif"/>
          <w:b w:val="false"/>
          <w:color w:val="000000"/>
          <w:sz w:val="22"/>
        </w:rPr>
        <w:t>: Article 55 of Directive 2014/59/EU (as amended or re-enacted) of the European Parliament and the Council of the European Union, establishing a framework for the recovery and resolution of credit institutions and investment firms.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Asset Sale</w:t>
      </w:r>
      <w:r>
        <w:rPr>
          <w:color w:val="000000"/>
        </w:rPr>
        <w:t>”</w:t>
      </w:r>
      <w:r>
        <w:rPr>
          <w:rFonts w:ascii="Times New Roman;sans-serif" w:hAnsi="Times New Roman;sans-serif"/>
          <w:b w:val="false"/>
          <w:color w:val="000000"/>
          <w:sz w:val="22"/>
        </w:rPr>
        <w:t xml:space="preserve">: any Disposition of property or series of related Dispositions of property (excluding any such Disposition of property permitted by clauses (a) through (m) of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 that yields gross proceeds to any Group Member (valued at the initial principal amount thereof in the case of non-cash proceeds consisting of notes or other debt securities and valued at fair market value in the case of other non-cash proceeds) in excess of $500,000.</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Assignment and Assumption</w:t>
      </w:r>
      <w:r>
        <w:rPr>
          <w:color w:val="000000"/>
        </w:rPr>
        <w:t>”</w:t>
      </w:r>
      <w:r>
        <w:rPr>
          <w:rFonts w:ascii="Times New Roman;sans-serif" w:hAnsi="Times New Roman;sans-serif"/>
          <w:b w:val="false"/>
          <w:color w:val="000000"/>
          <w:sz w:val="22"/>
        </w:rPr>
        <w:t xml:space="preserve">: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Available Revolving Commitment</w:t>
      </w:r>
      <w:r>
        <w:rPr>
          <w:color w:val="000000"/>
        </w:rPr>
        <w:t>”</w:t>
      </w:r>
      <w:r>
        <w:rPr>
          <w:rFonts w:ascii="Times New Roman;sans-serif" w:hAnsi="Times New Roman;sans-serif"/>
          <w:b w:val="false"/>
          <w:color w:val="000000"/>
          <w:sz w:val="22"/>
        </w:rPr>
        <w:t xml:space="preserve">: at any time, an amount equal to (a) the </w:t>
      </w:r>
      <w:r>
        <w:rPr>
          <w:rFonts w:ascii="Times New Roman;sans-serif" w:hAnsi="Times New Roman;sans-serif"/>
          <w:b w:val="false"/>
          <w:color w:val="000000"/>
          <w:sz w:val="22"/>
          <w:u w:val="single"/>
        </w:rPr>
        <w:t>lesser</w:t>
      </w:r>
      <w:r>
        <w:rPr>
          <w:color w:val="000000"/>
        </w:rPr>
        <w:t xml:space="preserve"> </w:t>
      </w:r>
      <w:r>
        <w:rPr>
          <w:rFonts w:ascii="Times New Roman;sans-serif" w:hAnsi="Times New Roman;sans-serif"/>
          <w:b w:val="false"/>
          <w:color w:val="000000"/>
          <w:sz w:val="22"/>
        </w:rPr>
        <w:t xml:space="preserve">of (i) the Total Revolving Commitments in effect at such time and (ii) the Borrowing Base in effect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the aggregate undrawn amount of all outstanding Letters of Credit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(c) the aggregate amount of all L/C Disbursements that have not yet been reimbursed or converted into Revolving Loans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(d) the aggregate principal balance of any Revolving Loans outstanding at such time; provided that in no event shall the Available Revolving Commitment exceed the Available Total Commitment.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Available Revolving Increase Amount</w:t>
      </w:r>
      <w:r>
        <w:rPr>
          <w:color w:val="000000"/>
        </w:rPr>
        <w:t>”</w:t>
      </w:r>
      <w:r>
        <w:rPr>
          <w:rFonts w:ascii="Times New Roman;sans-serif" w:hAnsi="Times New Roman;sans-serif"/>
          <w:b w:val="false"/>
          <w:color w:val="000000"/>
          <w:sz w:val="22"/>
        </w:rPr>
        <w:t xml:space="preserve">: as of any date of determination, an amount equal to the result of (a) $25,000,000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the aggregate principal amount of Increases to the Revolving Commitments previously made pursuant to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after the Closing Date.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Available Total Commitment</w:t>
      </w:r>
      <w:r>
        <w:rPr>
          <w:color w:val="000000"/>
        </w:rPr>
        <w:t>”</w:t>
      </w:r>
      <w:r>
        <w:rPr>
          <w:rFonts w:ascii="Times New Roman;sans-serif" w:hAnsi="Times New Roman;sans-serif"/>
          <w:b w:val="false"/>
          <w:color w:val="000000"/>
          <w:sz w:val="22"/>
        </w:rPr>
        <w:t xml:space="preserve">: at any time, an amount equal to (a) the Borrowing Base in effect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the aggregate undrawn amount of all outstanding Letters of Credit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(c) the aggregate amount of all L/C Disbursements that have not yet been reimbursed or converted into Revolving Loans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(d) the aggregate principal balance of any Revolving Loans outstanding at such time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(e) the aggregate principal balance of any Term Loans outstanding at such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Bail-In Action</w:t>
      </w:r>
      <w:r>
        <w:rPr>
          <w:color w:val="000000"/>
        </w:rPr>
        <w:t>”</w:t>
      </w:r>
      <w:r>
        <w:rPr>
          <w:rFonts w:ascii="Times New Roman;sans-serif" w:hAnsi="Times New Roman;sans-serif"/>
          <w:b w:val="false"/>
          <w:color w:val="000000"/>
          <w:sz w:val="22"/>
        </w:rPr>
        <w:t>: the exercise of any Write-Down and Conversion Powers by the applicable Resolution Authority in respect of any liability of any relevant financial institution.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Bail-In Legislation</w:t>
      </w:r>
      <w:r>
        <w:rPr>
          <w:color w:val="000000"/>
        </w:rPr>
        <w:t>”</w:t>
      </w:r>
      <w:r>
        <w:rPr>
          <w:rFonts w:ascii="Times New Roman;sans-serif" w:hAnsi="Times New Roman;sans-serif"/>
          <w:b w:val="false"/>
          <w:color w:val="000000"/>
          <w:sz w:val="22"/>
        </w:rPr>
        <w:t>: (a) in relation to an EEA Member Country which has implemented, or which at any time implements, Article 55 BRRD, the relevant implementing law or regulation as described in the EU Bail-In Legislation Schedule from time to time, and (b) 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Bankruptcy Code</w:t>
      </w:r>
      <w:r>
        <w:rPr>
          <w:color w:val="000000"/>
        </w:rPr>
        <w:t>”</w:t>
      </w:r>
      <w:r>
        <w:rPr>
          <w:rFonts w:ascii="Times New Roman;sans-serif" w:hAnsi="Times New Roman;sans-serif"/>
          <w:b w:val="false"/>
          <w:color w:val="000000"/>
          <w:sz w:val="22"/>
        </w:rPr>
        <w:t>: Title 11 of the United States Code entitled “Bankruptcy.”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Basel III</w:t>
      </w:r>
      <w:r>
        <w:rPr>
          <w:color w:val="000000"/>
        </w:rPr>
        <w:t>”</w:t>
      </w:r>
      <w:r>
        <w:rPr>
          <w:rFonts w:ascii="Times New Roman;sans-serif" w:hAnsi="Times New Roman;sans-serif"/>
          <w:b w:val="false"/>
          <w:color w:val="000000"/>
          <w:sz w:val="22"/>
        </w:rPr>
        <w:t xml:space="preserve">: (a) the agreements on capital requirements, a leverage ratio and liquidity standards contained in "Basel III: A global regulatory framework for more resilient banks and banking systems", "Basel III: International framework for liquidity risk measurement, standards and monitoring" and </w:t>
      </w:r>
      <w:r>
        <w:br w:type="page"/>
      </w:r>
    </w:p>
    <w:p>
      <w:pPr>
        <w:pStyle w:val="TextBody"/>
        <w:spacing w:before="0" w:after="0"/>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60655"/>
                <wp:effectExtent l="0" t="0" r="0" b="0"/>
                <wp:wrapNone/>
                <wp:docPr id="260" name="Frame2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Beneficial Ownership Regulation</w:t>
      </w:r>
      <w:r>
        <w:rPr>
          <w:color w:val="000000"/>
        </w:rPr>
        <w:t>”</w:t>
      </w:r>
      <w:r>
        <w:rPr>
          <w:rFonts w:ascii="Times New Roman;sans-serif" w:hAnsi="Times New Roman;sans-serif"/>
          <w:b w:val="false"/>
          <w:color w:val="000000"/>
          <w:sz w:val="22"/>
        </w:rPr>
        <w:t xml:space="preserve">: 31 C.F.R. § 1010.230.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Benefitted Lender</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10.7(a)</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Blocked Person</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7.22</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the Board of Governors of the Federal Reserve System of the United States (or any successor).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as defined in the preamble hereto.</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Borrowing Base</w:t>
      </w:r>
      <w:r>
        <w:rPr>
          <w:color w:val="000000"/>
        </w:rPr>
        <w:t>”</w:t>
      </w:r>
      <w:r>
        <w:rPr>
          <w:rFonts w:ascii="Times New Roman;sans-serif" w:hAnsi="Times New Roman;sans-serif"/>
          <w:b w:val="false"/>
          <w:color w:val="000000"/>
          <w:sz w:val="22"/>
        </w:rPr>
        <w:t xml:space="preserve">: the product of (a) the Advance Rate, </w:t>
      </w:r>
      <w:r>
        <w:rPr>
          <w:rFonts w:ascii="Times New Roman;sans-serif" w:hAnsi="Times New Roman;sans-serif"/>
          <w:b w:val="false"/>
          <w:color w:val="000000"/>
          <w:sz w:val="22"/>
          <w:u w:val="single"/>
        </w:rPr>
        <w:t>multiplied</w:t>
      </w:r>
      <w:r>
        <w:rPr>
          <w:color w:val="000000"/>
        </w:rPr>
        <w:t xml:space="preserve"> </w:t>
      </w:r>
      <w:r>
        <w:rPr>
          <w:rFonts w:ascii="Times New Roman;sans-serif" w:hAnsi="Times New Roman;sans-serif"/>
          <w:b w:val="false"/>
          <w:color w:val="000000"/>
          <w:sz w:val="22"/>
        </w:rPr>
        <w:t xml:space="preserve">by (b) Monthly Recurring Revenue for the most recently ended monthly period, </w:t>
      </w:r>
      <w:r>
        <w:rPr>
          <w:rFonts w:ascii="Times New Roman;sans-serif" w:hAnsi="Times New Roman;sans-serif"/>
          <w:b w:val="false"/>
          <w:color w:val="000000"/>
          <w:sz w:val="22"/>
          <w:u w:val="single"/>
        </w:rPr>
        <w:t>multiplied</w:t>
      </w:r>
      <w:r>
        <w:rPr>
          <w:color w:val="000000"/>
        </w:rPr>
        <w:t xml:space="preserve"> </w:t>
      </w:r>
      <w:r>
        <w:rPr>
          <w:rFonts w:ascii="Times New Roman;sans-serif" w:hAnsi="Times New Roman;sans-serif"/>
          <w:b w:val="false"/>
          <w:color w:val="000000"/>
          <w:sz w:val="22"/>
        </w:rPr>
        <w:t>by (c) the Retention Rate.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Borrowing Base Certificate</w:t>
      </w:r>
      <w:r>
        <w:rPr>
          <w:color w:val="000000"/>
        </w:rPr>
        <w:t>”</w:t>
      </w:r>
      <w:r>
        <w:rPr>
          <w:rFonts w:ascii="Times New Roman;sans-serif" w:hAnsi="Times New Roman;sans-serif"/>
          <w:b w:val="false"/>
          <w:color w:val="000000"/>
          <w:sz w:val="22"/>
        </w:rPr>
        <w:t xml:space="preserve">: a certificate, including transaction reports, to be executed and delivered from time to time by the Borrower pursuant to the terms of this Agreement, in substantially the form of </w:t>
      </w:r>
      <w:r>
        <w:rPr>
          <w:rFonts w:ascii="Times New Roman;sans-serif" w:hAnsi="Times New Roman;sans-serif"/>
          <w:b w:val="false"/>
          <w:color w:val="000000"/>
          <w:sz w:val="22"/>
          <w:u w:val="single"/>
        </w:rPr>
        <w:t>Exhibit I</w:t>
      </w:r>
      <w:r>
        <w:rPr>
          <w:rFonts w:ascii="Times New Roman;sans-serif" w:hAnsi="Times New Roman;sans-serif"/>
          <w:b w:val="false"/>
          <w:color w:val="000000"/>
          <w:sz w:val="22"/>
        </w:rPr>
        <w:t>, or in such other form as shall be acceptable in form and substance to the Administrative Agent.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Borrowing Date</w:t>
      </w:r>
      <w:r>
        <w:rPr>
          <w:color w:val="000000"/>
        </w:rPr>
        <w:t>”</w:t>
      </w:r>
      <w:r>
        <w:rPr>
          <w:rFonts w:ascii="Times New Roman;sans-serif" w:hAnsi="Times New Roman;sans-serif"/>
          <w:b w:val="false"/>
          <w:color w:val="000000"/>
          <w:sz w:val="22"/>
        </w:rPr>
        <w:t>: any Business Day specified by the Borrower in a Notice of Borrowing as a date on which the Borrower requests the relevant Lenders to make Loans hereunder.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Business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4.17(b)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Business Day</w:t>
      </w:r>
      <w:r>
        <w:rPr>
          <w:color w:val="000000"/>
        </w:rPr>
        <w:t>”</w:t>
      </w:r>
      <w:r>
        <w:rPr>
          <w:rFonts w:ascii="Times New Roman;sans-serif" w:hAnsi="Times New Roman;sans-serif"/>
          <w:b w:val="false"/>
          <w:color w:val="000000"/>
          <w:sz w:val="22"/>
        </w:rPr>
        <w:t xml:space="preserve">: a day other than a Saturday, Sunday or other day on which commercial banks in the State of New York or the State of California are authorized or required by law to close;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notices and determinations in connection with, and payments of principal and interest on, Eurodollar Loans, such day is also a day for trading by and between banks in Dollar deposits in the interbank eurodollar market.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Capital Lease Obligations</w:t>
      </w:r>
      <w:r>
        <w:rPr>
          <w:color w:val="000000"/>
        </w:rPr>
        <w:t>”</w:t>
      </w:r>
      <w:r>
        <w:rPr>
          <w:rFonts w:ascii="Times New Roman;sans-serif" w:hAnsi="Times New Roman;sans-serif"/>
          <w:b w:val="false"/>
          <w:color w:val="000000"/>
          <w:sz w:val="22"/>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for all purposes hereunder, the amount of obligations under any capital lease shall be the amount thereof calculated without giving effect to Accounting Standards Codification 842 requiring operating leases to be re-characterized or treated as capital leases.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Capital Stock</w:t>
      </w:r>
      <w:r>
        <w:rPr>
          <w:color w:val="000000"/>
        </w:rPr>
        <w:t>”</w:t>
      </w:r>
      <w:r>
        <w:rPr>
          <w:rFonts w:ascii="Times New Roman;sans-serif" w:hAnsi="Times New Roman;sans-serif"/>
          <w:b w:val="false"/>
          <w:color w:val="000000"/>
          <w:sz w:val="22"/>
        </w:rPr>
        <w:t xml:space="preserve">: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w:t>
      </w:r>
      <w:r>
        <w:br w:type="page"/>
      </w:r>
    </w:p>
    <w:p>
      <w:pPr>
        <w:pStyle w:val="TextBody"/>
        <w:spacing w:before="0" w:after="0"/>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60655"/>
                <wp:effectExtent l="0" t="0" r="0" b="0"/>
                <wp:wrapNone/>
                <wp:docPr id="261" name="Frame2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such Person (including partnership, member or trust interests therein), whether voting or nonvoting, and whether or not such shares, warrants, options, rights or other interests are outstanding on any date of determination.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Cash Collateralize</w:t>
      </w:r>
      <w:r>
        <w:rPr>
          <w:color w:val="000000"/>
        </w:rPr>
        <w:t>”</w:t>
      </w:r>
      <w:r>
        <w:rPr>
          <w:rFonts w:ascii="Times New Roman;sans-serif" w:hAnsi="Times New Roman;sans-serif"/>
          <w:b w:val="false"/>
          <w:color w:val="000000"/>
          <w:sz w:val="22"/>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reasonably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reasonably satisfactory to the Administrative Agent and such Cash Management Bank;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Cash Collateral</w:t>
      </w:r>
      <w:r>
        <w:rPr>
          <w:color w:val="000000"/>
        </w:rPr>
        <w:t xml:space="preserve">” </w:t>
      </w:r>
      <w:r>
        <w:rPr>
          <w:rFonts w:ascii="Times New Roman;sans-serif" w:hAnsi="Times New Roman;sans-serif"/>
          <w:b w:val="false"/>
          <w:color w:val="000000"/>
          <w:sz w:val="22"/>
        </w:rPr>
        <w:t>shall have a meaning correlative to the foregoing and shall include the proceeds of such cash collateral and other credit support.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Cash Equivalents</w:t>
      </w:r>
      <w:r>
        <w:rPr>
          <w:color w:val="000000"/>
        </w:rPr>
        <w:t>”</w:t>
      </w:r>
      <w:r>
        <w:rPr>
          <w:rFonts w:ascii="Times New Roman;sans-serif" w:hAnsi="Times New Roman;sans-serif"/>
          <w:b w:val="false"/>
          <w:color w:val="000000"/>
          <w:sz w:val="22"/>
        </w:rPr>
        <w:t xml:space="preserve">: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or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above.</w:t>
      </w:r>
      <w:r>
        <w:br w:type="page"/>
      </w:r>
    </w:p>
    <w:p>
      <w:pPr>
        <w:pStyle w:val="TextBody"/>
        <w:spacing w:before="0" w:after="0"/>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60655"/>
                <wp:effectExtent l="0" t="0" r="0" b="0"/>
                <wp:wrapNone/>
                <wp:docPr id="262" name="Frame2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Cash Management Agreement</w:t>
      </w:r>
      <w:r>
        <w:rPr>
          <w:color w:val="000000"/>
        </w:rPr>
        <w:t>”</w:t>
      </w:r>
      <w:r>
        <w:rPr>
          <w:rFonts w:ascii="Times New Roman;sans-serif" w:hAnsi="Times New Roman;sans-serif"/>
          <w:b w:val="false"/>
          <w:color w:val="000000"/>
          <w:sz w:val="22"/>
        </w:rPr>
        <w:t>: as defined in the definition of “Cash Management Services.”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Cash Management Bank</w:t>
      </w:r>
      <w:r>
        <w:rPr>
          <w:color w:val="000000"/>
        </w:rPr>
        <w:t>”</w:t>
      </w:r>
      <w:r>
        <w:rPr>
          <w:rFonts w:ascii="Times New Roman;sans-serif" w:hAnsi="Times New Roman;sans-serif"/>
          <w:b w:val="false"/>
          <w:color w:val="000000"/>
          <w:sz w:val="22"/>
        </w:rPr>
        <w:t>: any Person that, at the time it enters into a Cash Management Agreement, is a Lender or an Affiliate of a Lender, in its capacity as a party to such Cash Management Agreement.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Cash Management Services</w:t>
      </w:r>
      <w:r>
        <w:rPr>
          <w:color w:val="000000"/>
        </w:rPr>
        <w:t>”</w:t>
      </w:r>
      <w:r>
        <w:rPr>
          <w:rFonts w:ascii="Times New Roman;sans-serif" w:hAnsi="Times New Roman;sans-serif"/>
          <w:b w:val="false"/>
          <w:color w:val="000000"/>
          <w:sz w:val="22"/>
        </w:rPr>
        <w:t>: cash management and other services provided to one or more of the Loan Parties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letters of credit, credit card processing services, debit cards, stored value cards, and check cashing services identified in such Cash Management Bank’s various cash management services or other similar agreements (each, a “</w:t>
      </w:r>
      <w:r>
        <w:rPr>
          <w:rFonts w:ascii="Times New Roman;sans-serif" w:hAnsi="Times New Roman;sans-serif"/>
          <w:b/>
          <w:i/>
          <w:color w:val="000000"/>
          <w:sz w:val="22"/>
        </w:rPr>
        <w:t>Cash Management Agreement</w:t>
      </w:r>
      <w:r>
        <w:rPr>
          <w:color w:val="000000"/>
        </w:rPr>
        <w:t>”</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Casualty Event</w:t>
      </w:r>
      <w:r>
        <w:rPr>
          <w:color w:val="000000"/>
        </w:rPr>
        <w:t>”</w:t>
      </w:r>
      <w:r>
        <w:rPr>
          <w:rFonts w:ascii="Times New Roman;sans-serif" w:hAnsi="Times New Roman;sans-serif"/>
          <w:b w:val="false"/>
          <w:color w:val="000000"/>
          <w:sz w:val="22"/>
        </w:rPr>
        <w:t>: any damage to or any destruction of, or any condemnation or other taking by any Governmental Authority of any property of the Loan Parties.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Certificated Securities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4.19(a)</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Change of Control</w:t>
      </w:r>
      <w:r>
        <w:rPr>
          <w:color w:val="000000"/>
        </w:rPr>
        <w:t>”</w:t>
      </w:r>
      <w:r>
        <w:rPr>
          <w:rFonts w:ascii="Times New Roman;sans-serif" w:hAnsi="Times New Roman;sans-serif"/>
          <w:b w:val="false"/>
          <w:color w:val="000000"/>
          <w:sz w:val="22"/>
        </w:rPr>
        <w:t xml:space="preserve">: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 percent (40.0%) or more of the ordinary voting power for the election of directors of the Borrower (determined on a fully diluted basis); (b) during any period of twenty four (24) consecutive months, a majority of the members of the board of directors or other equivalent governing body of the Borrower cease to be composed of individuals (disregarding individuals who cease to serve due to death or disability)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the Borrower shall cease to own and control, of record and beneficially, directly or indirectly, one hundred percent (100%) of each class of outstanding Capital Stock of each Guarantor (without taking into account any minimal numbers of shares of Capital Stock held to comply with applicable laws requiring a legal entity to have more than one Capital Stock holder for the entity to be reorganized) free and clear of all Liens (except for Liens created by the Security Documents and Liens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 Notwithstanding anything to the contrary in this Agreement or otherwise, a public offering of Capital Stock of the Borrower pursuant to a registration statement filed with the SEC or any successor or similar authority shall not constitute a “Change of Control”.</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Churn Rate</w:t>
      </w:r>
      <w:r>
        <w:rPr>
          <w:color w:val="000000"/>
        </w:rPr>
        <w:t>”</w:t>
      </w:r>
      <w:r>
        <w:rPr>
          <w:rFonts w:ascii="Times New Roman;sans-serif" w:hAnsi="Times New Roman;sans-serif"/>
          <w:b w:val="false"/>
          <w:color w:val="000000"/>
          <w:sz w:val="22"/>
        </w:rPr>
        <w:t>: for any calendar month, (a) the aggregate Monthly Recurring Revenue lost (including customer attrition and reduced usage by a customer) during the period of the three consecutive calendar months ended on the last day of such calendar month period (each, a “</w:t>
      </w:r>
      <w:r>
        <w:rPr>
          <w:rFonts w:ascii="Times New Roman;sans-serif" w:hAnsi="Times New Roman;sans-serif"/>
          <w:b/>
          <w:i/>
          <w:color w:val="000000"/>
          <w:sz w:val="22"/>
        </w:rPr>
        <w:t>Trailing Three MonthPeriod</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divided</w:t>
      </w:r>
      <w:r>
        <w:rPr>
          <w:color w:val="000000"/>
        </w:rPr>
        <w:t xml:space="preserve"> </w:t>
      </w:r>
      <w:r>
        <w:rPr>
          <w:rFonts w:ascii="Times New Roman;sans-serif" w:hAnsi="Times New Roman;sans-serif"/>
          <w:b w:val="false"/>
          <w:color w:val="000000"/>
          <w:sz w:val="22"/>
        </w:rPr>
        <w:t xml:space="preserve">by (b) Monthly Recurring Revenue on the day immediately prior to the first day of such Trailing Three Month Period, expressed as a percentage. The Churn Rate shall be calculated by the Administrative Agent based on information provided by the Borrower and acceptable to the Administrative Agent, in its reasonable determination, monthly, on the last day of such calendar month. </w:t>
      </w:r>
      <w:r>
        <w:br w:type="page"/>
      </w:r>
    </w:p>
    <w:p>
      <w:pPr>
        <w:pStyle w:val="TextBody"/>
        <w:spacing w:before="0" w:after="0"/>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60655"/>
                <wp:effectExtent l="0" t="0" r="0" b="0"/>
                <wp:wrapNone/>
                <wp:docPr id="263" name="Frame2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Recurring Revenue derived from new customers that were not customers as of the start of any Trailing Three Month Period will be excluded from the calculation of Churn Rate for such calendar month.</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Closing Date</w:t>
      </w:r>
      <w:r>
        <w:rPr>
          <w:color w:val="000000"/>
        </w:rPr>
        <w:t>”</w:t>
      </w:r>
      <w:r>
        <w:rPr>
          <w:rFonts w:ascii="Times New Roman;sans-serif" w:hAnsi="Times New Roman;sans-serif"/>
          <w:b w:val="false"/>
          <w:color w:val="000000"/>
          <w:sz w:val="22"/>
        </w:rPr>
        <w:t xml:space="preserve">: the date on which all of the conditions precedent set forth in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are satisfied or waived by the Administrative Agent and, as applicable, the Lenders or the Required Lenders, as the case may be.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Code</w:t>
      </w:r>
      <w:r>
        <w:rPr>
          <w:color w:val="000000"/>
        </w:rPr>
        <w:t>”</w:t>
      </w:r>
      <w:r>
        <w:rPr>
          <w:rFonts w:ascii="Times New Roman;sans-serif" w:hAnsi="Times New Roman;sans-serif"/>
          <w:b w:val="false"/>
          <w:color w:val="000000"/>
          <w:sz w:val="22"/>
        </w:rPr>
        <w:t>: the U.S. Internal Revenue Code of 1986.</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Collateral</w:t>
      </w:r>
      <w:r>
        <w:rPr>
          <w:color w:val="000000"/>
        </w:rPr>
        <w:t>”</w:t>
      </w:r>
      <w:r>
        <w:rPr>
          <w:rFonts w:ascii="Times New Roman;sans-serif" w:hAnsi="Times New Roman;sans-serif"/>
          <w:b w:val="false"/>
          <w:color w:val="000000"/>
          <w:sz w:val="22"/>
        </w:rPr>
        <w:t>: all property of the Loan Parties, now owned or hereafter acquired, upon which a Lien is purported to be created by any Security Document. For the avoidance of doubt, no Excluded Assets shall constitute “Collateral.”</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Collateral Information Certificate</w:t>
      </w:r>
      <w:r>
        <w:rPr>
          <w:color w:val="000000"/>
        </w:rPr>
        <w:t>”</w:t>
      </w:r>
      <w:r>
        <w:rPr>
          <w:rFonts w:ascii="Times New Roman;sans-serif" w:hAnsi="Times New Roman;sans-serif"/>
          <w:b w:val="false"/>
          <w:color w:val="000000"/>
          <w:sz w:val="22"/>
        </w:rPr>
        <w:t xml:space="preserve">: the Collateral Information Certificate to be executed and delivered by the Borrower pursuant to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xml:space="preserve">, substantially in the form of </w:t>
      </w:r>
      <w:r>
        <w:rPr>
          <w:rFonts w:ascii="Times New Roman;sans-serif" w:hAnsi="Times New Roman;sans-serif"/>
          <w:b w:val="false"/>
          <w:color w:val="000000"/>
          <w:sz w:val="22"/>
          <w:u w:val="single"/>
        </w:rPr>
        <w:t>Exhibit J</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Collateral-Related Expenses</w:t>
      </w:r>
      <w:r>
        <w:rPr>
          <w:color w:val="000000"/>
        </w:rPr>
        <w:t>”</w:t>
      </w:r>
      <w:r>
        <w:rPr>
          <w:rFonts w:ascii="Times New Roman;sans-serif" w:hAnsi="Times New Roman;sans-serif"/>
          <w:b w:val="false"/>
          <w:color w:val="000000"/>
          <w:sz w:val="22"/>
        </w:rPr>
        <w:t>: all reasonable costs and expenses of the Administrative Agent paid or incurred in connection with any sale, collection or other realization on the Collateral, including reasonable compensation to the Administrative Agent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Commitment</w:t>
      </w:r>
      <w:r>
        <w:rPr>
          <w:color w:val="000000"/>
        </w:rPr>
        <w:t>”</w:t>
      </w:r>
      <w:r>
        <w:rPr>
          <w:rFonts w:ascii="Times New Roman;sans-serif" w:hAnsi="Times New Roman;sans-serif"/>
          <w:b w:val="false"/>
          <w:color w:val="000000"/>
          <w:sz w:val="22"/>
        </w:rPr>
        <w:t>: as to any Lender, the sum of its Term Commitment and its Revolving Commitment.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Commitment Fee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2.09(b)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Commitment Fee Rate</w:t>
      </w:r>
      <w:r>
        <w:rPr>
          <w:color w:val="000000"/>
        </w:rPr>
        <w:t>”</w:t>
      </w:r>
      <w:r>
        <w:rPr>
          <w:rFonts w:ascii="Times New Roman;sans-serif" w:hAnsi="Times New Roman;sans-serif"/>
          <w:b w:val="false"/>
          <w:color w:val="000000"/>
          <w:sz w:val="22"/>
        </w:rPr>
        <w:t>: 0.25% per annum.</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Commodity Exchange Act</w:t>
      </w:r>
      <w:r>
        <w:rPr>
          <w:color w:val="000000"/>
        </w:rPr>
        <w:t>”</w:t>
      </w:r>
      <w:r>
        <w:rPr>
          <w:rFonts w:ascii="Times New Roman;sans-serif" w:hAnsi="Times New Roman;sans-serif"/>
          <w:b w:val="false"/>
          <w:color w:val="000000"/>
          <w:sz w:val="22"/>
        </w:rPr>
        <w:t xml:space="preserve">: the Commodity Exchange Act (7 U.S.C. Section 1 </w:t>
      </w:r>
      <w:r>
        <w:rPr>
          <w:rFonts w:ascii="Times New Roman;sans-serif" w:hAnsi="Times New Roman;sans-serif"/>
          <w:b w:val="false"/>
          <w:i/>
          <w:color w:val="000000"/>
          <w:sz w:val="22"/>
        </w:rPr>
        <w:t>et seq.</w:t>
      </w:r>
      <w:r>
        <w:rPr>
          <w:rFonts w:ascii="Times New Roman;sans-serif" w:hAnsi="Times New Roman;sans-serif"/>
          <w:b w:val="false"/>
          <w:color w:val="000000"/>
          <w:sz w:val="22"/>
        </w:rPr>
        <w:t>), as amended from time to time, and any successor statute.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Communications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10.2(d)(ii)</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Compliance Certificate</w:t>
      </w:r>
      <w:r>
        <w:rPr>
          <w:color w:val="000000"/>
        </w:rPr>
        <w:t>”</w:t>
      </w:r>
      <w:r>
        <w:rPr>
          <w:rFonts w:ascii="Times New Roman;sans-serif" w:hAnsi="Times New Roman;sans-serif"/>
          <w:b w:val="false"/>
          <w:color w:val="000000"/>
          <w:sz w:val="22"/>
        </w:rPr>
        <w:t xml:space="preserve">: a certificate duly executed by a Responsible Officer substantially in the form of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Connection Income Taxes</w:t>
      </w:r>
      <w:r>
        <w:rPr>
          <w:color w:val="000000"/>
        </w:rPr>
        <w:t>”</w:t>
      </w:r>
      <w:r>
        <w:rPr>
          <w:rFonts w:ascii="Times New Roman;sans-serif" w:hAnsi="Times New Roman;sans-serif"/>
          <w:b w:val="false"/>
          <w:color w:val="000000"/>
          <w:sz w:val="22"/>
        </w:rPr>
        <w:t>: Other Connection Taxes that are imposed on or measured by net income (however denominated) or that are franchise Taxes or branch profits Taxes.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Contractual Obligation</w:t>
      </w:r>
      <w:r>
        <w:rPr>
          <w:color w:val="000000"/>
        </w:rPr>
        <w:t>”</w:t>
      </w:r>
      <w:r>
        <w:rPr>
          <w:rFonts w:ascii="Times New Roman;sans-serif" w:hAnsi="Times New Roman;sans-serif"/>
          <w:b w:val="false"/>
          <w:color w:val="000000"/>
          <w:sz w:val="22"/>
        </w:rPr>
        <w:t>: as to any Person, any provision of any security issued by such Person or of any agreement, instrument or other written undertaking to which such Person is a party or by which it or any of its property is bound.</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Control</w:t>
      </w:r>
      <w:r>
        <w:rPr>
          <w:color w:val="000000"/>
        </w:rPr>
        <w:t>”</w:t>
      </w:r>
      <w:r>
        <w:rPr>
          <w:rFonts w:ascii="Times New Roman;sans-serif" w:hAnsi="Times New Roman;sans-serif"/>
          <w:b w:val="false"/>
          <w:color w:val="000000"/>
          <w:sz w:val="22"/>
        </w:rPr>
        <w:t>: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i/>
          <w:color w:val="000000"/>
          <w:sz w:val="22"/>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Control Agreement</w:t>
      </w:r>
      <w:r>
        <w:rPr>
          <w:color w:val="000000"/>
        </w:rPr>
        <w:t>”</w:t>
      </w:r>
      <w:r>
        <w:rPr>
          <w:rFonts w:ascii="Times New Roman;sans-serif" w:hAnsi="Times New Roman;sans-serif"/>
          <w:b w:val="false"/>
          <w:color w:val="000000"/>
          <w:sz w:val="22"/>
        </w:rPr>
        <w:t xml:space="preserve">: (a) in relation to a U.S. bank account, any account control agreement in form and substance reasonably satisfactory to the Administrative Agent entered into among the </w:t>
      </w:r>
      <w:r>
        <w:br w:type="page"/>
      </w:r>
    </w:p>
    <w:p>
      <w:pPr>
        <w:pStyle w:val="TextBody"/>
        <w:spacing w:before="0" w:after="0"/>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60655"/>
                <wp:effectExtent l="0" t="0" r="0" b="0"/>
                <wp:wrapNone/>
                <wp:docPr id="264" name="Frame2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depository institution at which a Loan Party maintains a Deposit Account or the securities intermediary at which a Loan Party maintains a Securities Account, such Loan Party, and the Administrative Agent; and (b) in relation to a UK bank account, any supplemental debenture or other security agreement entered into among the Loan Party which maintains the relevant Deposit Account or Securities Account and the Administrative Agent, in each case pursuant to which the Administrative Agent is granted a first priority, perfected Lien over such Deposit Account or Securities Account. For the avoidance of doubt, the Administrative Agent will not exercise control under any Control Agreement over any Deposit Account or Securities Account in the U.S. except pursuant to an exercise of remedies by the Administrative Agent under the terms of the Loan Documents.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Debtor Relief Laws</w:t>
      </w:r>
      <w:r>
        <w:rPr>
          <w:color w:val="000000"/>
        </w:rPr>
        <w:t>”</w:t>
      </w:r>
      <w:r>
        <w:rPr>
          <w:rFonts w:ascii="Times New Roman;sans-serif" w:hAnsi="Times New Roman;sans-serif"/>
          <w:b w:val="false"/>
          <w:color w:val="000000"/>
          <w:sz w:val="22"/>
        </w:rPr>
        <w:t>: the Bankruptcy Code, and all other liquidation, conservatorship, bankruptcy, assignment for the benefit of creditors, moratorium, rearrangement, receivership, insolvency, reorganization, or similar debtor relief laws of the United States, the United Kingdom or other applicable jurisdictions from time to time in effect.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Declined Amount</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2.12(e)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Default</w:t>
      </w:r>
      <w:r>
        <w:rPr>
          <w:color w:val="000000"/>
        </w:rPr>
        <w:t>”</w:t>
      </w:r>
      <w:r>
        <w:rPr>
          <w:rFonts w:ascii="Times New Roman;sans-serif" w:hAnsi="Times New Roman;sans-serif"/>
          <w:b w:val="false"/>
          <w:color w:val="000000"/>
          <w:sz w:val="22"/>
        </w:rPr>
        <w:t xml:space="preserve">: any of the events specified in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whether or not any requirement for the giving of notice, the lapse of time, or both, has been satisfied.</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Default Rate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2.15(c)</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Defaulting Lender</w:t>
      </w:r>
      <w:r>
        <w:rPr>
          <w:color w:val="000000"/>
        </w:rPr>
        <w:t>”</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2.24(b)</w:t>
      </w:r>
      <w:r>
        <w:rPr>
          <w:rFonts w:ascii="Times New Roman;sans-serif" w:hAnsi="Times New Roman;sans-serif"/>
          <w:b w:val="false"/>
          <w:color w:val="000000"/>
          <w:sz w:val="22"/>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w:t>
      </w:r>
      <w:r>
        <w:br w:type="page"/>
      </w:r>
    </w:p>
    <w:p>
      <w:pPr>
        <w:pStyle w:val="TextBody"/>
        <w:spacing w:before="0" w:after="0"/>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60655"/>
                <wp:effectExtent l="0" t="0" r="0" b="0"/>
                <wp:wrapNone/>
                <wp:docPr id="265" name="Frame2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sans-serif" w:hAnsi="Times New Roman;sans-serif"/>
          <w:b w:val="false"/>
          <w:color w:val="000000"/>
          <w:sz w:val="22"/>
          <w:u w:val="single"/>
        </w:rPr>
        <w:t>Section 2.24(b)</w:t>
      </w:r>
      <w:r>
        <w:rPr>
          <w:rFonts w:ascii="Times New Roman;sans-serif" w:hAnsi="Times New Roman;sans-serif"/>
          <w:b w:val="false"/>
          <w:color w:val="000000"/>
          <w:sz w:val="22"/>
        </w:rPr>
        <w:t>) upon delivery of written notice of such determination to the Borrower, the Issuing Lender, the Swingline Lender and each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Deposit Account</w:t>
      </w:r>
      <w:r>
        <w:rPr>
          <w:color w:val="000000"/>
        </w:rPr>
        <w:t>”</w:t>
      </w:r>
      <w:r>
        <w:rPr>
          <w:rFonts w:ascii="Times New Roman;sans-serif" w:hAnsi="Times New Roman;sans-serif"/>
          <w:b w:val="false"/>
          <w:color w:val="000000"/>
          <w:sz w:val="22"/>
        </w:rPr>
        <w:t>: any “deposit account” as defined in the UCC with such additions to such term as may hereafter be made.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Deposit Account Control Agreement</w:t>
      </w:r>
      <w:r>
        <w:rPr>
          <w:color w:val="000000"/>
        </w:rPr>
        <w:t>”</w:t>
      </w:r>
      <w:r>
        <w:rPr>
          <w:rFonts w:ascii="Times New Roman;sans-serif" w:hAnsi="Times New Roman;sans-serif"/>
          <w:b w:val="false"/>
          <w:color w:val="000000"/>
          <w:sz w:val="22"/>
        </w:rPr>
        <w:t>: any Control Agreement entered into by the Administrative Agent, a Loan Party and a financial institution holding a Deposit Account of such Loan Party pursuant to which the Administrative Agent is (a) in the case of a US account, granted “control” (for purposes of the UCC) over such Deposit Account or (b) in the case of a UK account, granted fixed charge security over such Deposit Account to the extent required pursuant to the UK Debenture.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Designated Jurisdiction</w:t>
      </w:r>
      <w:r>
        <w:rPr>
          <w:color w:val="000000"/>
        </w:rPr>
        <w:t>”</w:t>
      </w:r>
      <w:r>
        <w:rPr>
          <w:rFonts w:ascii="Times New Roman;sans-serif" w:hAnsi="Times New Roman;sans-serif"/>
          <w:b w:val="false"/>
          <w:color w:val="000000"/>
          <w:sz w:val="22"/>
        </w:rPr>
        <w:t>: any country or territory to the extent that such country or territory itself is the subject of any Sanction.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Discharge of Obligations</w:t>
      </w:r>
      <w:r>
        <w:rPr>
          <w:color w:val="000000"/>
        </w:rPr>
        <w:t>”</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 the satisfaction of the Obligations (including all such Obligations relating to Cash Management Services) by the payment in full, in cash (or, as applicable, Cash Collateralization in accordance with the terms hereof) of the principal of and interest on or other outstanding liabilities relating to each Loan and any previously provided Cash Management Services, all reasonable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 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Disposition</w:t>
      </w:r>
      <w:r>
        <w:rPr>
          <w:color w:val="000000"/>
        </w:rPr>
        <w:t>”</w:t>
      </w:r>
      <w:r>
        <w:rPr>
          <w:rFonts w:ascii="Times New Roman;sans-serif" w:hAnsi="Times New Roman;sans-serif"/>
          <w:b w:val="false"/>
          <w:color w:val="000000"/>
          <w:sz w:val="22"/>
        </w:rPr>
        <w:t>: with respect to any property (including, without limitation, Capital Stock of any Group Member), any sale, lease, Sale Leaseback Transaction, assignment, conveyance, transfer, encumbrance or other disposition thereof (in one transaction or in a series of related transactions and whether effected pursuant to a Division or otherwise) and any issuance of Capital Stock of any Group Member. The terms “</w:t>
      </w:r>
      <w:r>
        <w:rPr>
          <w:rFonts w:ascii="Times New Roman;sans-serif" w:hAnsi="Times New Roman;sans-serif"/>
          <w:b/>
          <w:i/>
          <w:color w:val="000000"/>
          <w:sz w:val="22"/>
        </w:rPr>
        <w:t>Dispose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Disposed of</w:t>
      </w:r>
      <w:r>
        <w:rPr>
          <w:color w:val="000000"/>
        </w:rPr>
        <w:t xml:space="preserve">” </w:t>
      </w:r>
      <w:r>
        <w:rPr>
          <w:rFonts w:ascii="Times New Roman;sans-serif" w:hAnsi="Times New Roman;sans-serif"/>
          <w:b w:val="false"/>
          <w:color w:val="000000"/>
          <w:sz w:val="22"/>
        </w:rPr>
        <w:t>shall have correlative meanings.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Disqualified Stock</w:t>
      </w:r>
      <w:r>
        <w:rPr>
          <w:color w:val="000000"/>
        </w:rPr>
        <w:t>”</w:t>
      </w:r>
      <w:r>
        <w:rPr>
          <w:rFonts w:ascii="Times New Roman;sans-serif" w:hAnsi="Times New Roman;sans-serif"/>
          <w:b w:val="false"/>
          <w:color w:val="000000"/>
          <w:sz w:val="22"/>
        </w:rPr>
        <w:t xml:space="preserve">: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amountthat the Group Members may become obligated to pay upon maturity of, or pursuant to any mandatory redemption provisions of, such Disqualified Stock or portion thereof, plus accrued </w:t>
      </w:r>
      <w:r>
        <w:br w:type="page"/>
      </w:r>
    </w:p>
    <w:p>
      <w:pPr>
        <w:pStyle w:val="TextBody"/>
        <w:spacing w:before="0" w:after="0"/>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60655"/>
                <wp:effectExtent l="0" t="0" r="0" b="0"/>
                <wp:wrapNone/>
                <wp:docPr id="266" name="Frame2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dividends. Notwithstanding the foregoing, (i)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in accordance with </w:t>
      </w:r>
      <w:r>
        <w:rPr>
          <w:rFonts w:ascii="Times New Roman;sans-serif" w:hAnsi="Times New Roman;sans-serif"/>
          <w:b w:val="false"/>
          <w:color w:val="000000"/>
          <w:sz w:val="22"/>
          <w:u w:val="single"/>
        </w:rPr>
        <w:t>Section 7.6</w:t>
      </w:r>
      <w:r>
        <w:rPr>
          <w:color w:val="000000"/>
        </w:rPr>
        <w:t xml:space="preserve"> </w:t>
      </w:r>
      <w:r>
        <w:rPr>
          <w:rFonts w:ascii="Times New Roman;sans-serif" w:hAnsi="Times New Roman;sans-serif"/>
          <w:b w:val="false"/>
          <w:color w:val="000000"/>
          <w:sz w:val="22"/>
        </w:rPr>
        <w:t>hereof and (ii) if such Capital Stock is issued pursuant to a plan or agreement for the benefit of the Borrower’s or its Subsidiaries’ employees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Division</w:t>
      </w:r>
      <w:r>
        <w:rPr>
          <w:color w:val="000000"/>
        </w:rPr>
        <w:t>”</w:t>
      </w:r>
      <w:r>
        <w:rPr>
          <w:rFonts w:ascii="Times New Roman;sans-serif" w:hAnsi="Times New Roman;sans-serif"/>
          <w:b w:val="false"/>
          <w:color w:val="000000"/>
          <w:sz w:val="22"/>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Distressed Debt Fund</w:t>
      </w:r>
      <w:r>
        <w:rPr>
          <w:color w:val="000000"/>
        </w:rPr>
        <w:t>”</w:t>
      </w:r>
      <w:r>
        <w:rPr>
          <w:rFonts w:ascii="Times New Roman;sans-serif" w:hAnsi="Times New Roman;sans-serif"/>
          <w:b w:val="false"/>
          <w:color w:val="000000"/>
          <w:sz w:val="22"/>
        </w:rPr>
        <w:t>: any hedge fund or private equity fund that principally invests in distressed debt (other than any Affiliate of any such fund that does not principally invest in distressed debt).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Dollars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w:t>
      </w:r>
      <w:r>
        <w:rPr>
          <w:color w:val="000000"/>
        </w:rPr>
        <w:t>”</w:t>
      </w:r>
      <w:r>
        <w:rPr>
          <w:rFonts w:ascii="Times New Roman;sans-serif" w:hAnsi="Times New Roman;sans-serif"/>
          <w:b w:val="false"/>
          <w:color w:val="000000"/>
          <w:sz w:val="22"/>
        </w:rPr>
        <w:t>: dollars in lawful currency of the United States.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Domestic Subsidiary</w:t>
      </w:r>
      <w:r>
        <w:rPr>
          <w:color w:val="000000"/>
        </w:rPr>
        <w:t>”</w:t>
      </w:r>
      <w:r>
        <w:rPr>
          <w:rFonts w:ascii="Times New Roman;sans-serif" w:hAnsi="Times New Roman;sans-serif"/>
          <w:b w:val="false"/>
          <w:color w:val="000000"/>
          <w:sz w:val="22"/>
        </w:rPr>
        <w:t>: any Subsidiary of the Borrower organized under the laws of the United States, any state thereof or the District of Columbia.</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EEA Member Country</w:t>
      </w:r>
      <w:r>
        <w:rPr>
          <w:color w:val="000000"/>
        </w:rPr>
        <w:t>”</w:t>
      </w:r>
      <w:r>
        <w:rPr>
          <w:rFonts w:ascii="Times New Roman;sans-serif" w:hAnsi="Times New Roman;sans-serif"/>
          <w:b w:val="false"/>
          <w:color w:val="000000"/>
          <w:sz w:val="22"/>
        </w:rPr>
        <w:t>: any of the member states of the European Union, Iceland, Liechtenstein, and Norway.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Eligible Assignee</w:t>
      </w:r>
      <w:r>
        <w:rPr>
          <w:color w:val="000000"/>
        </w:rPr>
        <w:t>”</w:t>
      </w:r>
      <w:r>
        <w:rPr>
          <w:rFonts w:ascii="Times New Roman;sans-serif" w:hAnsi="Times New Roman;sans-serif"/>
          <w:b w:val="false"/>
          <w:color w:val="000000"/>
          <w:sz w:val="22"/>
        </w:rPr>
        <w:t xml:space="preserve">: any Person that meets the requirements to be an assignee under </w:t>
      </w:r>
      <w:r>
        <w:rPr>
          <w:rFonts w:ascii="Times New Roman;sans-serif" w:hAnsi="Times New Roman;sans-serif"/>
          <w:b w:val="false"/>
          <w:color w:val="000000"/>
          <w:sz w:val="22"/>
          <w:u w:val="single"/>
        </w:rPr>
        <w:t>Section 10.6(b)(iii)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(vi)</w:t>
      </w:r>
      <w:r>
        <w:rPr>
          <w:color w:val="000000"/>
        </w:rPr>
        <w:t xml:space="preserve">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10.6(b)(iii)</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none of Borrower, any Affiliate of Borrower or, unless an Event of Default under </w:t>
      </w:r>
      <w:r>
        <w:rPr>
          <w:rFonts w:ascii="Times New Roman;sans-serif" w:hAnsi="Times New Roman;sans-serif"/>
          <w:b w:val="false"/>
          <w:color w:val="000000"/>
          <w:sz w:val="22"/>
          <w:u w:val="single"/>
        </w:rPr>
        <w:t>Section 8.1(a)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8.1(c)</w:t>
      </w:r>
      <w:r>
        <w:rPr>
          <w:color w:val="000000"/>
        </w:rPr>
        <w:t xml:space="preserve"> </w:t>
      </w:r>
      <w:r>
        <w:rPr>
          <w:rFonts w:ascii="Times New Roman;sans-serif" w:hAnsi="Times New Roman;sans-serif"/>
          <w:b w:val="false"/>
          <w:color w:val="000000"/>
          <w:sz w:val="22"/>
        </w:rPr>
        <w:t xml:space="preserve">(as a result of any failure to comply with </w:t>
      </w:r>
      <w:r>
        <w:rPr>
          <w:rFonts w:ascii="Times New Roman;sans-serif" w:hAnsi="Times New Roman;sans-serif"/>
          <w:b w:val="false"/>
          <w:color w:val="000000"/>
          <w:sz w:val="22"/>
          <w:u w:val="single"/>
        </w:rPr>
        <w:t>Section 7.1(a)</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8.1(f)</w:t>
      </w:r>
      <w:r>
        <w:rPr>
          <w:color w:val="000000"/>
        </w:rPr>
        <w:t xml:space="preserve"> </w:t>
      </w:r>
      <w:r>
        <w:rPr>
          <w:rFonts w:ascii="Times New Roman;sans-serif" w:hAnsi="Times New Roman;sans-serif"/>
          <w:b w:val="false"/>
          <w:color w:val="000000"/>
          <w:sz w:val="22"/>
        </w:rPr>
        <w:t>shall have occurred and be continuing, any Listed Competitor or any Distressed Debt Fund, shall be an Eligible Assignee.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Environmental Laws</w:t>
      </w:r>
      <w:r>
        <w:rPr>
          <w:color w:val="000000"/>
        </w:rPr>
        <w:t>”</w:t>
      </w:r>
      <w:r>
        <w:rPr>
          <w:rFonts w:ascii="Times New Roman;sans-serif" w:hAnsi="Times New Roman;sans-serif"/>
          <w:b w:val="false"/>
          <w:color w:val="000000"/>
          <w:sz w:val="22"/>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Environmental Liability</w:t>
      </w:r>
      <w:r>
        <w:rPr>
          <w:color w:val="000000"/>
        </w:rPr>
        <w:t>”</w:t>
      </w:r>
      <w:r>
        <w:rPr>
          <w:rFonts w:ascii="Times New Roman;sans-serif" w:hAnsi="Times New Roman;sans-serif"/>
          <w:b w:val="false"/>
          <w:color w:val="000000"/>
          <w:sz w:val="22"/>
        </w:rPr>
        <w:t>: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ERISA</w:t>
      </w:r>
      <w:r>
        <w:rPr>
          <w:color w:val="000000"/>
        </w:rPr>
        <w:t>”</w:t>
      </w:r>
      <w:r>
        <w:rPr>
          <w:rFonts w:ascii="Times New Roman;sans-serif" w:hAnsi="Times New Roman;sans-serif"/>
          <w:b w:val="false"/>
          <w:color w:val="000000"/>
          <w:sz w:val="22"/>
        </w:rPr>
        <w:t>: the Employee Retirement Income Security Act of 1974, as amended, including (unless the context otherwise requires) any rules or regulations promulgated thereunder.</w:t>
      </w:r>
      <w:r>
        <w:br w:type="page"/>
      </w:r>
    </w:p>
    <w:p>
      <w:pPr>
        <w:pStyle w:val="TextBody"/>
        <w:spacing w:before="0" w:after="0"/>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60655"/>
                <wp:effectExtent l="0" t="0" r="0" b="0"/>
                <wp:wrapNone/>
                <wp:docPr id="267" name="Frame2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ERISA Affiliate</w:t>
      </w:r>
      <w:r>
        <w:rPr>
          <w:color w:val="000000"/>
        </w:rPr>
        <w:t>”</w:t>
      </w:r>
      <w:r>
        <w:rPr>
          <w:rFonts w:ascii="Times New Roman;sans-serif" w:hAnsi="Times New Roman;sans-serif"/>
          <w:b w:val="false"/>
          <w:color w:val="000000"/>
          <w:sz w:val="22"/>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ERISA Event</w:t>
      </w:r>
      <w:r>
        <w:rPr>
          <w:color w:val="000000"/>
        </w:rPr>
        <w:t>”</w:t>
      </w:r>
      <w:r>
        <w:rPr>
          <w:rFonts w:ascii="Times New Roman;sans-serif" w:hAnsi="Times New Roman;sans-serif"/>
          <w:b w:val="false"/>
          <w:color w:val="000000"/>
          <w:sz w:val="22"/>
        </w:rPr>
        <w:t xml:space="preserve">: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material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material fines, penalties, taxes or related charges under Chapter 43 of the Code or under Sections 409, 502(c), (i)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w:t>
      </w:r>
      <w:r>
        <w:br w:type="page"/>
      </w:r>
    </w:p>
    <w:p>
      <w:pPr>
        <w:pStyle w:val="TextBody"/>
        <w:spacing w:before="0" w:after="0"/>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60655"/>
                <wp:effectExtent l="0" t="0" r="0" b="0"/>
                <wp:wrapNone/>
                <wp:docPr id="268" name="Frame26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Section 302(f) or 303(k) of ERISA or to Section 401(a)(29) or 430(k) of the Code; or (r) the establishment or amendment by any Group Member of any “welfare plan” as such term is defined in Section 3(1) of ERISA, that provides post-employment welfare benefits in a manner that would increase the liability of any Group Member.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ERISA Funding Rules</w:t>
      </w:r>
      <w:r>
        <w:rPr>
          <w:color w:val="000000"/>
        </w:rPr>
        <w:t>”</w:t>
      </w:r>
      <w:r>
        <w:rPr>
          <w:rFonts w:ascii="Times New Roman;sans-serif" w:hAnsi="Times New Roman;sans-serif"/>
          <w:b w:val="false"/>
          <w:color w:val="000000"/>
          <w:sz w:val="22"/>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Eurocurrency Reserve Requirements</w:t>
      </w:r>
      <w:r>
        <w:rPr>
          <w:color w:val="000000"/>
        </w:rPr>
        <w:t>”</w:t>
      </w:r>
      <w:r>
        <w:rPr>
          <w:rFonts w:ascii="Times New Roman;sans-serif" w:hAnsi="Times New Roman;sans-serif"/>
          <w:b w:val="false"/>
          <w:color w:val="000000"/>
          <w:sz w:val="22"/>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Eurodollar Base Rate</w:t>
      </w:r>
      <w:r>
        <w:rPr>
          <w:color w:val="000000"/>
        </w:rPr>
        <w:t>”</w:t>
      </w:r>
      <w:r>
        <w:rPr>
          <w:rFonts w:ascii="Times New Roman;sans-serif" w:hAnsi="Times New Roman;sans-serif"/>
          <w:b w:val="false"/>
          <w:color w:val="000000"/>
          <w:sz w:val="22"/>
        </w:rPr>
        <w:t>: with respect to each day during each Interest Period pertaining to a Eurodollar Loan, the rate per annum determined by the Administrative Agent by reference to the ICE Benchmark Administration London Interbank Offered Rate (“</w:t>
      </w:r>
      <w:r>
        <w:rPr>
          <w:rFonts w:ascii="Times New Roman;sans-serif" w:hAnsi="Times New Roman;sans-serif"/>
          <w:b/>
          <w:i/>
          <w:color w:val="000000"/>
          <w:sz w:val="22"/>
        </w:rPr>
        <w:t>LIBOR</w:t>
      </w:r>
      <w:r>
        <w:rPr>
          <w:color w:val="000000"/>
        </w:rPr>
        <w:t>”</w:t>
      </w:r>
      <w:r>
        <w:rPr>
          <w:rFonts w:ascii="Times New Roman;sans-serif" w:hAnsi="Times New Roman;sans-serif"/>
          <w:b w:val="false"/>
          <w:color w:val="000000"/>
          <w:sz w:val="22"/>
        </w:rPr>
        <w:t>) (or any successor thereto if the ICE Benchmark Administration is no longer making LIBOR available) for deposits (for delivery on the first day of such Interest Period) with a term equivalent to such Interest Period in Dollars, determined as of approximately 11:00 A.M. (London, England time) two (2) Business Days prior to the beginning of such Interest Period (as set forth by Bloomberg Information Service or any successor thereto or any other commercially available service selected by the Administrative Agent which provides quotations of LIBOR). In the event that the Administrative Agent determines that LIBOR is not available, the “Eurodollar Base Rate” shall be determined by reference to the rate per annum equal to the offered quotation rate to first class banks in the London interbank market by SVB for deposits (for delivery on the first day of the relevant Interest Period) in Dollars of amounts in same day funds comparable to the principal amount of the applicable Loan of the Administrative Agent, in its capacity as a Lender, for which the Eurodollar Base Rate is then being determined with maturities comparable to such period, in the case of a Eurodollar Loan, as of approximately 11:00 A.M. (London, England time) two (2) Business Days prior to the beginning of such Interest Period, Rate”.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Eurodollar Loans</w:t>
      </w:r>
      <w:r>
        <w:rPr>
          <w:color w:val="000000"/>
        </w:rPr>
        <w:t>”</w:t>
      </w:r>
      <w:r>
        <w:rPr>
          <w:rFonts w:ascii="Times New Roman;sans-serif" w:hAnsi="Times New Roman;sans-serif"/>
          <w:b w:val="false"/>
          <w:color w:val="000000"/>
          <w:sz w:val="22"/>
        </w:rPr>
        <w:t>: Loans the rate of interest applicable to which is based upon the “Eurodollar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Eurodollar Rate</w:t>
      </w:r>
      <w:r>
        <w:rPr>
          <w:color w:val="000000"/>
        </w:rPr>
        <w:t>”</w:t>
      </w:r>
      <w:r>
        <w:rPr>
          <w:rFonts w:ascii="Times New Roman;sans-serif" w:hAnsi="Times New Roman;sans-serif"/>
          <w:b w:val="false"/>
          <w:color w:val="000000"/>
          <w:sz w:val="22"/>
        </w:rPr>
        <w:t>: with respect to each day during each Interest Period pertaining to a Eurodollar Loan, a rate per annum determined for such day in accordance with the following formula:</w:t>
      </w:r>
    </w:p>
    <w:tbl>
      <w:tblPr>
        <w:tblW w:w="4214" w:type="dxa"/>
        <w:jc w:val="center"/>
        <w:tblInd w:w="0" w:type="dxa"/>
        <w:tblCellMar>
          <w:top w:w="28" w:type="dxa"/>
          <w:left w:w="28" w:type="dxa"/>
          <w:bottom w:w="28" w:type="dxa"/>
          <w:right w:w="28" w:type="dxa"/>
        </w:tblCellMar>
      </w:tblPr>
      <w:tblGrid>
        <w:gridCol w:w="1348"/>
        <w:gridCol w:w="1185"/>
        <w:gridCol w:w="1681"/>
      </w:tblGrid>
      <w:tr>
        <w:trPr/>
        <w:tc>
          <w:tcPr>
            <w:tcW w:w="1348"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Base Rate</w:t>
            </w:r>
          </w:p>
        </w:tc>
      </w:tr>
      <w:tr>
        <w:trPr/>
        <w:tc>
          <w:tcPr>
            <w:tcW w:w="4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1.00 - Eurocurrency Reserve Requirements</w:t>
            </w:r>
          </w:p>
        </w:tc>
      </w:tr>
    </w:tbl>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Eurodollar Rate shall be adjusted automatically as of the effective date of any change in the Eurocurrency Reserve Requirements; provided that the Eurodollar Rate shall not be less than 1.00%.</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Eurodollar Tranche</w:t>
      </w:r>
      <w:r>
        <w:rPr>
          <w:color w:val="000000"/>
        </w:rPr>
        <w:t>”</w:t>
      </w:r>
      <w:r>
        <w:rPr>
          <w:rFonts w:ascii="Times New Roman;sans-serif" w:hAnsi="Times New Roman;sans-serif"/>
          <w:b w:val="false"/>
          <w:color w:val="000000"/>
          <w:sz w:val="22"/>
        </w:rPr>
        <w:t>: the collective reference to Eurodollar Loans under a particular Facility (other than the L/C Facility), the then current Interest Periods with respect to all of which begin on the same date and end on the same later date (whether or not such Loans shall originally have been made on the same day).</w:t>
      </w:r>
      <w:r>
        <w:br w:type="page"/>
      </w:r>
    </w:p>
    <w:p>
      <w:pPr>
        <w:pStyle w:val="TextBody"/>
        <w:spacing w:before="0" w:after="0"/>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60655"/>
                <wp:effectExtent l="0" t="0" r="0" b="0"/>
                <wp:wrapNone/>
                <wp:docPr id="269" name="Frame26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EU Bail-In Legislation Schedule</w:t>
      </w:r>
      <w:r>
        <w:rPr>
          <w:color w:val="000000"/>
        </w:rPr>
        <w:t>”</w:t>
      </w:r>
      <w:r>
        <w:rPr>
          <w:rFonts w:ascii="Times New Roman;sans-serif" w:hAnsi="Times New Roman;sans-serif"/>
          <w:b w:val="false"/>
          <w:color w:val="000000"/>
          <w:sz w:val="22"/>
        </w:rPr>
        <w:t>: the document described as such and published by the Loan Market Association (or any successor Person), as in effect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Event of Default</w:t>
      </w:r>
      <w:r>
        <w:rPr>
          <w:color w:val="000000"/>
        </w:rPr>
        <w:t>”</w:t>
      </w:r>
      <w:r>
        <w:rPr>
          <w:rFonts w:ascii="Times New Roman;sans-serif" w:hAnsi="Times New Roman;sans-serif"/>
          <w:b w:val="false"/>
          <w:color w:val="000000"/>
          <w:sz w:val="22"/>
        </w:rPr>
        <w:t xml:space="preserve">: any of the events specified in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requirement for the giving of notice, the lapse of time, or both, has been satisfied.</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the Securities Exchange Act of 1934, as amended from time to time and any successor statute.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Excluded Assets”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shall have the meaning ascribed to such term in the Guarantee and Collateral Agreement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Excluded Subsidiary</w:t>
      </w:r>
      <w:r>
        <w:rPr>
          <w:color w:val="000000"/>
        </w:rPr>
        <w:t>”</w:t>
      </w:r>
      <w:r>
        <w:rPr>
          <w:rFonts w:ascii="Times New Roman;sans-serif" w:hAnsi="Times New Roman;sans-serif"/>
          <w:b w:val="false"/>
          <w:color w:val="000000"/>
          <w:sz w:val="22"/>
        </w:rPr>
        <w:t>: any Subsidiary that is (a) a Foreign Subsidiary (other than Kaltura Europe) or (ii) an Immaterial Subsidiary.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Excluded Swap Obligations</w:t>
      </w:r>
      <w:r>
        <w:rPr>
          <w:color w:val="000000"/>
        </w:rPr>
        <w:t>”</w:t>
      </w:r>
      <w:r>
        <w:rPr>
          <w:rFonts w:ascii="Times New Roman;sans-serif" w:hAnsi="Times New Roman;sans-serif"/>
          <w:b w:val="false"/>
          <w:color w:val="000000"/>
          <w:sz w:val="22"/>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Excluded Taxes</w:t>
      </w:r>
      <w:r>
        <w:rPr>
          <w:color w:val="000000"/>
        </w:rPr>
        <w:t>”</w:t>
      </w:r>
      <w:r>
        <w:rPr>
          <w:rFonts w:ascii="Times New Roman;sans-serif" w:hAnsi="Times New Roman;sans-serif"/>
          <w:b w:val="false"/>
          <w:color w:val="000000"/>
          <w:sz w:val="22"/>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or (ii) such Lender changes its lending office, except in each case to the extent that, pursuant to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2.20(f)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and (d) any withholding Taxes imposed under FATCA.</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Existing Lender</w:t>
      </w:r>
      <w:r>
        <w:rPr>
          <w:color w:val="000000"/>
        </w:rPr>
        <w:t>”</w:t>
      </w:r>
      <w:r>
        <w:rPr>
          <w:rFonts w:ascii="Times New Roman;sans-serif" w:hAnsi="Times New Roman;sans-serif"/>
          <w:b w:val="false"/>
          <w:color w:val="000000"/>
          <w:sz w:val="22"/>
        </w:rPr>
        <w:t>: each of (i) SVB, in its capacity as a lender under the Existing SVB Credit Facility and (ii) ORIX Ventures LLC a Delaware limited liability company, as successor in interest to ORIX Venture Finance LLC, a Delaware limited liability company (“</w:t>
      </w:r>
      <w:r>
        <w:rPr>
          <w:rFonts w:ascii="Times New Roman;sans-serif" w:hAnsi="Times New Roman;sans-serif"/>
          <w:b/>
          <w:i/>
          <w:color w:val="000000"/>
          <w:sz w:val="22"/>
        </w:rPr>
        <w:t>ORIX</w:t>
      </w:r>
      <w:r>
        <w:rPr>
          <w:color w:val="000000"/>
        </w:rPr>
        <w:t>”</w:t>
      </w:r>
      <w:r>
        <w:rPr>
          <w:rFonts w:ascii="Times New Roman;sans-serif" w:hAnsi="Times New Roman;sans-serif"/>
          <w:b w:val="false"/>
          <w:color w:val="000000"/>
          <w:sz w:val="22"/>
        </w:rPr>
        <w:t>), it its capacity as lender under the Existing Orix Credit Facility.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Existing Credit Facility</w:t>
      </w:r>
      <w:r>
        <w:rPr>
          <w:color w:val="000000"/>
        </w:rPr>
        <w:t>”</w:t>
      </w:r>
      <w:r>
        <w:rPr>
          <w:rFonts w:ascii="Times New Roman;sans-serif" w:hAnsi="Times New Roman;sans-serif"/>
          <w:b w:val="false"/>
          <w:color w:val="000000"/>
          <w:sz w:val="22"/>
        </w:rPr>
        <w:t>: each of the Existing Orix Credit Facility and the Existing SVB Credit Facility.</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Existing Letters of Credit</w:t>
      </w:r>
      <w:r>
        <w:rPr>
          <w:color w:val="000000"/>
        </w:rPr>
        <w:t>”</w:t>
      </w:r>
      <w:r>
        <w:rPr>
          <w:rFonts w:ascii="Times New Roman;sans-serif" w:hAnsi="Times New Roman;sans-serif"/>
          <w:b w:val="false"/>
          <w:color w:val="000000"/>
          <w:sz w:val="22"/>
        </w:rPr>
        <w:t xml:space="preserve">: the letters of credit described on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60655"/>
                <wp:effectExtent l="0" t="0" r="0" b="0"/>
                <wp:wrapNone/>
                <wp:docPr id="270" name="Frame26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Existing Orix Credit Facility</w:t>
      </w:r>
      <w:r>
        <w:rPr>
          <w:color w:val="000000"/>
        </w:rPr>
        <w:t>”</w:t>
      </w:r>
      <w:r>
        <w:rPr>
          <w:rFonts w:ascii="Times New Roman;sans-serif" w:hAnsi="Times New Roman;sans-serif"/>
          <w:b w:val="false"/>
          <w:color w:val="000000"/>
          <w:sz w:val="22"/>
        </w:rPr>
        <w:t>: the credit facilities established pursuant to (including, without limitation, the Indebtedness arising under) that certain Second Amended and Restated Loan and Security Agreement, dated October 28, 2015 (as amended or modified from time to time and in effect as of the date hereof).</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Existing SVB Credit Facility</w:t>
      </w:r>
      <w:r>
        <w:rPr>
          <w:color w:val="000000"/>
        </w:rPr>
        <w:t>”</w:t>
      </w:r>
      <w:r>
        <w:rPr>
          <w:rFonts w:ascii="Times New Roman;sans-serif" w:hAnsi="Times New Roman;sans-serif"/>
          <w:b w:val="false"/>
          <w:color w:val="000000"/>
          <w:sz w:val="22"/>
        </w:rPr>
        <w:t>: the credit facilities established pursuant to (including, without limitation, the Indebtedness arising under) that certain Loan and Security Agreement, dated as of February 3, 2011, by and among certain Group Members, the lenders party thereto and SVB, in its capacity as administrative agent for the lenders party thereto (as amended or modified from time to time and in effect as of the date hereof).</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Facility</w:t>
      </w:r>
      <w:r>
        <w:rPr>
          <w:color w:val="000000"/>
        </w:rPr>
        <w:t>”</w:t>
      </w:r>
      <w:r>
        <w:rPr>
          <w:rFonts w:ascii="Times New Roman;sans-serif" w:hAnsi="Times New Roman;sans-serif"/>
          <w:b w:val="false"/>
          <w:color w:val="000000"/>
          <w:sz w:val="22"/>
        </w:rPr>
        <w:t>: each of (a) the Term Facility, (b) the L/C Facility (which is a sub-facility of the Revolving Facility), and (c) the Revolving Facility.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FASB ASC</w:t>
      </w:r>
      <w:r>
        <w:rPr>
          <w:color w:val="000000"/>
        </w:rPr>
        <w:t>”</w:t>
      </w:r>
      <w:r>
        <w:rPr>
          <w:rFonts w:ascii="Times New Roman;sans-serif" w:hAnsi="Times New Roman;sans-serif"/>
          <w:b w:val="false"/>
          <w:color w:val="000000"/>
          <w:sz w:val="22"/>
        </w:rPr>
        <w:t>: the Accounting Standards certification of the Financial Accounting Standards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FATCA</w:t>
      </w:r>
      <w:r>
        <w:rPr>
          <w:color w:val="000000"/>
        </w:rPr>
        <w:t>”</w:t>
      </w:r>
      <w:r>
        <w:rPr>
          <w:rFonts w:ascii="Times New Roman;sans-serif" w:hAnsi="Times New Roman;sans-serif"/>
          <w:b w:val="false"/>
          <w:color w:val="000000"/>
          <w:sz w:val="22"/>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Federal Funds Effective Rate</w:t>
      </w:r>
      <w:r>
        <w:rPr>
          <w:color w:val="000000"/>
        </w:rPr>
        <w:t>”</w:t>
      </w:r>
      <w:r>
        <w:rPr>
          <w:rFonts w:ascii="Times New Roman;sans-serif" w:hAnsi="Times New Roman;sans-serif"/>
          <w:b w:val="false"/>
          <w:color w:val="000000"/>
          <w:sz w:val="22"/>
        </w:rPr>
        <w:t>: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Fee Letter</w:t>
      </w:r>
      <w:r>
        <w:rPr>
          <w:color w:val="000000"/>
        </w:rPr>
        <w:t>”</w:t>
      </w:r>
      <w:r>
        <w:rPr>
          <w:rFonts w:ascii="Times New Roman;sans-serif" w:hAnsi="Times New Roman;sans-serif"/>
          <w:b w:val="false"/>
          <w:color w:val="000000"/>
          <w:sz w:val="22"/>
        </w:rPr>
        <w:t>: the letter agreement dated October 16, 2020, between the Borrower and the Administrative Agent.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Flood Laws</w:t>
      </w:r>
      <w:r>
        <w:rPr>
          <w:color w:val="000000"/>
        </w:rPr>
        <w:t>”</w:t>
      </w:r>
      <w:r>
        <w:rPr>
          <w:rFonts w:ascii="Times New Roman;sans-serif" w:hAnsi="Times New Roman;sans-serif"/>
          <w:b w:val="false"/>
          <w:color w:val="000000"/>
          <w:sz w:val="22"/>
        </w:rPr>
        <w:t>: the National Flood Insurance Reform Act of 1994 and related legislation (including the regulations of the Board of Governors of the Federal Reserve System).</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Flow of Funds Agreement</w:t>
      </w:r>
      <w:r>
        <w:rPr>
          <w:color w:val="000000"/>
        </w:rPr>
        <w:t>”</w:t>
      </w:r>
      <w:r>
        <w:rPr>
          <w:rFonts w:ascii="Times New Roman;sans-serif" w:hAnsi="Times New Roman;sans-serif"/>
          <w:b w:val="false"/>
          <w:color w:val="000000"/>
          <w:sz w:val="22"/>
        </w:rPr>
        <w:t>: the spreadsheet or other similar statement prepared and certified by the Borrower, regarding the disbursement of Loan proceeds on the Closing Date, the funding and the payment of the fees and expenses of the Administrative Agent and the Lenders (including their respective counsel) and such other matters as may be agreed to by the Borrower, the Administrative Agent and the Lenders.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Foreign Lender</w:t>
      </w:r>
      <w:r>
        <w:rPr>
          <w:color w:val="000000"/>
        </w:rPr>
        <w:t>”</w:t>
      </w:r>
      <w:r>
        <w:rPr>
          <w:rFonts w:ascii="Times New Roman;sans-serif" w:hAnsi="Times New Roman;sans-serif"/>
          <w:b w:val="false"/>
          <w:color w:val="000000"/>
          <w:sz w:val="22"/>
        </w:rPr>
        <w:t>: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Foreign Obligor</w:t>
      </w:r>
      <w:r>
        <w:rPr>
          <w:color w:val="000000"/>
        </w:rPr>
        <w:t>”</w:t>
      </w:r>
      <w:r>
        <w:rPr>
          <w:rFonts w:ascii="Times New Roman;sans-serif" w:hAnsi="Times New Roman;sans-serif"/>
          <w:b w:val="false"/>
          <w:color w:val="000000"/>
          <w:sz w:val="22"/>
        </w:rPr>
        <w:t>: Kaltura Europe and any other Loan Party which is organized in a jurisdiction other than the United States or a state thereof.</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Foreign Subsidiary</w:t>
      </w:r>
      <w:r>
        <w:rPr>
          <w:color w:val="000000"/>
        </w:rPr>
        <w:t>”</w:t>
      </w:r>
      <w:r>
        <w:rPr>
          <w:rFonts w:ascii="Times New Roman;sans-serif" w:hAnsi="Times New Roman;sans-serif"/>
          <w:b w:val="false"/>
          <w:color w:val="000000"/>
          <w:sz w:val="22"/>
        </w:rPr>
        <w:t>: any Subsidiary of the Borrower that is not a Domestic Subsidiary.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Fronting Exposure</w:t>
      </w:r>
      <w:r>
        <w:rPr>
          <w:color w:val="000000"/>
        </w:rPr>
        <w:t>”</w:t>
      </w:r>
      <w:r>
        <w:rPr>
          <w:rFonts w:ascii="Times New Roman;sans-serif" w:hAnsi="Times New Roman;sans-serif"/>
          <w:b w:val="false"/>
          <w:color w:val="000000"/>
          <w:sz w:val="22"/>
        </w:rPr>
        <w:t xml:space="preserve">: at any time there is a Defaulting Lender, as applicable, (a) with respect to the Issuing Lender, such Defaulting Lender’s L/C Percentage of the outstanding L/C Exposure other than L/C Exposure as to which such Defaulting Lender’s participation obligation has been reallocated to other </w:t>
      </w:r>
      <w:r>
        <w:br w:type="page"/>
      </w:r>
    </w:p>
    <w:p>
      <w:pPr>
        <w:pStyle w:val="TextBody"/>
        <w:spacing w:before="0" w:after="0"/>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60655"/>
                <wp:effectExtent l="0" t="0" r="0" b="0"/>
                <wp:wrapNone/>
                <wp:docPr id="271" name="Frame26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Fund</w:t>
      </w:r>
      <w:r>
        <w:rPr>
          <w:color w:val="000000"/>
        </w:rPr>
        <w:t>”</w:t>
      </w:r>
      <w:r>
        <w:rPr>
          <w:rFonts w:ascii="Times New Roman;sans-serif" w:hAnsi="Times New Roman;sans-serif"/>
          <w:b w:val="false"/>
          <w:color w:val="000000"/>
          <w:sz w:val="22"/>
        </w:rPr>
        <w:t>: any Person (other than a natural Person) that is (or will be) engaged in making, purchasing, holding or otherwise investing in commercial loans, bonds and similar extensions of credit in the ordinary course of its activities.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Funding Office</w:t>
      </w:r>
      <w:r>
        <w:rPr>
          <w:color w:val="000000"/>
        </w:rPr>
        <w:t>”</w:t>
      </w:r>
      <w:r>
        <w:rPr>
          <w:rFonts w:ascii="Times New Roman;sans-serif" w:hAnsi="Times New Roman;sans-serif"/>
          <w:b w:val="false"/>
          <w:color w:val="000000"/>
          <w:sz w:val="22"/>
        </w:rPr>
        <w:t>: the Revolving Loan Funding Office or the Term Loan Funding Office, as the context requires.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GAAP</w:t>
      </w:r>
      <w:r>
        <w:rPr>
          <w:color w:val="000000"/>
        </w:rPr>
        <w:t>”</w:t>
      </w:r>
      <w:r>
        <w:rPr>
          <w:rFonts w:ascii="Times New Roman;sans-serif" w:hAnsi="Times New Roman;sans-serif"/>
          <w:b w:val="false"/>
          <w:color w:val="000000"/>
          <w:sz w:val="22"/>
        </w:rPr>
        <w:t xml:space="preserve">: generally accepted accounting principles in the United States as in effect from time to time, except that for purposes of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xml:space="preserve">, GAAP shall be determined on the basis of such principles in effect on the date hereof and consistent with those used in the preparation of the most recent audited financial statements referred to in </w:t>
      </w:r>
      <w:r>
        <w:rPr>
          <w:rFonts w:ascii="Times New Roman;sans-serif" w:hAnsi="Times New Roman;sans-serif"/>
          <w:b w:val="false"/>
          <w:color w:val="000000"/>
          <w:sz w:val="22"/>
          <w:u w:val="single"/>
        </w:rPr>
        <w:t>Section 4.1(b)</w:t>
      </w:r>
      <w:r>
        <w:rPr>
          <w:rFonts w:ascii="Times New Roman;sans-serif" w:hAnsi="Times New Roman;sans-serif"/>
          <w:b w:val="false"/>
          <w:color w:val="000000"/>
          <w:sz w:val="22"/>
        </w:rPr>
        <w:t>. In the event that any “</w:t>
      </w:r>
      <w:r>
        <w:rPr>
          <w:rFonts w:ascii="Times New Roman;sans-serif" w:hAnsi="Times New Roman;sans-serif"/>
          <w:b/>
          <w:i/>
          <w:color w:val="000000"/>
          <w:sz w:val="22"/>
        </w:rPr>
        <w:t>Accounting Change</w:t>
      </w:r>
      <w:r>
        <w:rPr>
          <w:color w:val="000000"/>
        </w:rPr>
        <w:t xml:space="preserve">” </w:t>
      </w:r>
      <w:r>
        <w:rPr>
          <w:rFonts w:ascii="Times New Roman;sans-serif" w:hAnsi="Times New Roman;sans-serif"/>
          <w:b w:val="false"/>
          <w:color w:val="000000"/>
          <w:sz w:val="22"/>
        </w:rPr>
        <w:t>(as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sans-serif" w:hAnsi="Times New Roman;sans-serif"/>
          <w:b/>
          <w:i/>
          <w:color w:val="000000"/>
          <w:sz w:val="22"/>
        </w:rPr>
        <w:t>Accounting Changes</w:t>
      </w:r>
      <w:r>
        <w:rPr>
          <w:color w:val="000000"/>
        </w:rPr>
        <w:t xml:space="preserve">” </w:t>
      </w:r>
      <w:r>
        <w:rPr>
          <w:rFonts w:ascii="Times New Roman;sans-serif" w:hAnsi="Times New Roman;sans-serif"/>
          <w:b w:val="false"/>
          <w:color w:val="000000"/>
          <w:sz w:val="22"/>
        </w:rPr>
        <w:t>refers to changes in accounting principles required by the promulgation of any rule, regulation, pronouncement or opinion by the Financial Accounting Standards Board of the American Institute of Certified Public Accountants or, if applicable, the SEC, or the adoption of IFRS.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Governmental Approval</w:t>
      </w:r>
      <w:r>
        <w:rPr>
          <w:color w:val="000000"/>
        </w:rPr>
        <w:t>”</w:t>
      </w:r>
      <w:r>
        <w:rPr>
          <w:rFonts w:ascii="Times New Roman;sans-serif" w:hAnsi="Times New Roman;sans-serif"/>
          <w:b w:val="false"/>
          <w:color w:val="000000"/>
          <w:sz w:val="22"/>
        </w:rPr>
        <w:t>: any consent, authorization, approval, order, license, franchise, permit, certificate, accreditation, registration, filing or notice, of, issued by, from or to, or other act by or in respect of, any Governmental Authority.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Governmental Authority</w:t>
      </w:r>
      <w:r>
        <w:rPr>
          <w:color w:val="000000"/>
        </w:rPr>
        <w:t>”</w:t>
      </w:r>
      <w:r>
        <w:rPr>
          <w:rFonts w:ascii="Times New Roman;sans-serif" w:hAnsi="Times New Roman;sans-serif"/>
          <w:b w:val="false"/>
          <w:color w:val="000000"/>
          <w:sz w:val="22"/>
        </w:rPr>
        <w:t>: (a) the government of the United States of America, the government of the United Kingdom or the government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(b)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Group Members</w:t>
      </w:r>
      <w:r>
        <w:rPr>
          <w:color w:val="000000"/>
        </w:rPr>
        <w:t>”</w:t>
      </w:r>
      <w:r>
        <w:rPr>
          <w:rFonts w:ascii="Times New Roman;sans-serif" w:hAnsi="Times New Roman;sans-serif"/>
          <w:b w:val="false"/>
          <w:color w:val="000000"/>
          <w:sz w:val="22"/>
        </w:rPr>
        <w:t>: the collective reference to the Borrower and its Subsidiaries.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Guarantee and Collateral Agreement</w:t>
      </w:r>
      <w:r>
        <w:rPr>
          <w:color w:val="000000"/>
        </w:rPr>
        <w:t>”</w:t>
      </w:r>
      <w:r>
        <w:rPr>
          <w:rFonts w:ascii="Times New Roman;sans-serif" w:hAnsi="Times New Roman;sans-serif"/>
          <w:b w:val="false"/>
          <w:color w:val="000000"/>
          <w:sz w:val="22"/>
        </w:rPr>
        <w:t xml:space="preserve">: the Guarantee and Collateral Agreement, dated as of the Closing Date, by and among the Loan Parties and the Administrative Agent, substantially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and as amended and restated, supplemented or otherwise modified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Guarantee Obligation</w:t>
      </w:r>
      <w:r>
        <w:rPr>
          <w:color w:val="000000"/>
        </w:rPr>
        <w:t>”</w:t>
      </w:r>
      <w:r>
        <w:rPr>
          <w:rFonts w:ascii="Times New Roman;sans-serif" w:hAnsi="Times New Roman;sans-serif"/>
          <w:b w:val="false"/>
          <w:color w:val="000000"/>
          <w:sz w:val="22"/>
        </w:rPr>
        <w:t>: as to any Person (the “</w:t>
      </w:r>
      <w:r>
        <w:rPr>
          <w:rFonts w:ascii="Times New Roman;sans-serif" w:hAnsi="Times New Roman;sans-serif"/>
          <w:b/>
          <w:i/>
          <w:color w:val="000000"/>
          <w:sz w:val="22"/>
        </w:rPr>
        <w:t>guaranteeing person</w:t>
      </w:r>
      <w:r>
        <w:rPr>
          <w:color w:val="000000"/>
        </w:rPr>
        <w:t>”</w:t>
      </w:r>
      <w:r>
        <w:rPr>
          <w:rFonts w:ascii="Times New Roman;sans-serif" w:hAnsi="Times New Roman;sans-serif"/>
          <w:b w:val="false"/>
          <w:color w:val="000000"/>
          <w:sz w:val="22"/>
        </w:rPr>
        <w:t xml:space="preserve">), any obligation, including a reimbursement, counterindemnity or similar obligation, of the guaranteeing person that guarantees or in effect guarantees, or which is given to induce the creation of a separate obligation by </w:t>
      </w:r>
      <w:r>
        <w:br w:type="page"/>
      </w:r>
    </w:p>
    <w:p>
      <w:pPr>
        <w:pStyle w:val="TextBody"/>
        <w:spacing w:before="0" w:after="0"/>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60655"/>
                <wp:effectExtent l="0" t="0" r="0" b="0"/>
                <wp:wrapNone/>
                <wp:docPr id="272" name="Frame26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another Person (including any bank under any letter of credit) that guarantees or in effect guarantees, any Indebtedness, leases, dividends or other obligations (the “</w:t>
      </w:r>
      <w:r>
        <w:rPr>
          <w:rFonts w:ascii="Times New Roman;sans-serif" w:hAnsi="Times New Roman;sans-serif"/>
          <w:b/>
          <w:i/>
          <w:color w:val="000000"/>
          <w:sz w:val="22"/>
        </w:rPr>
        <w:t>primary obligations</w:t>
      </w:r>
      <w:r>
        <w:rPr>
          <w:color w:val="000000"/>
        </w:rPr>
        <w:t>”</w:t>
      </w:r>
      <w:r>
        <w:rPr>
          <w:rFonts w:ascii="Times New Roman;sans-serif" w:hAnsi="Times New Roman;sans-serif"/>
          <w:b w:val="false"/>
          <w:color w:val="000000"/>
          <w:sz w:val="22"/>
        </w:rPr>
        <w:t>) of any other third Person (the “</w:t>
      </w:r>
      <w:r>
        <w:rPr>
          <w:rFonts w:ascii="Times New Roman;sans-serif" w:hAnsi="Times New Roman;sans-serif"/>
          <w:b/>
          <w:i/>
          <w:color w:val="000000"/>
          <w:sz w:val="22"/>
        </w:rPr>
        <w:t>primary obligor</w:t>
      </w:r>
      <w:r>
        <w:rPr>
          <w:color w:val="000000"/>
        </w:rPr>
        <w:t>”</w:t>
      </w:r>
      <w:r>
        <w:rPr>
          <w:rFonts w:ascii="Times New Roman;sans-serif" w:hAnsi="Times New Roman;sans-serif"/>
          <w:b w:val="false"/>
          <w:color w:val="000000"/>
          <w:sz w:val="22"/>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Guarantors</w:t>
      </w:r>
      <w:r>
        <w:rPr>
          <w:color w:val="000000"/>
        </w:rPr>
        <w:t>”</w:t>
      </w:r>
      <w:r>
        <w:rPr>
          <w:rFonts w:ascii="Times New Roman;sans-serif" w:hAnsi="Times New Roman;sans-serif"/>
          <w:b w:val="false"/>
          <w:color w:val="000000"/>
          <w:sz w:val="22"/>
        </w:rPr>
        <w:t xml:space="preserve">: a collective reference to each Subsidiary of the Borrower which has become a Guarantor pursuant to the requirements of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hereof and the Guarantee and Collateral Agreement. Notwithstanding the foregoing or any contrary provision herein or in any other Loan Document, (i) no Excluded Subsidiary shall be required to become a Guarantor and (ii) no other Subsidiary shall be required to become a Guarantor if, in the reasonable good faith business judgment of the Administrative Agent in consultation with the Borrower, the burden or cost of providing a guarantee by such Subsidiary shall be excessive considering the benefits that the Administrative Agent and the Lenders may obtain from such guarantee.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IFRS</w:t>
      </w:r>
      <w:r>
        <w:rPr>
          <w:color w:val="000000"/>
        </w:rPr>
        <w:t>”</w:t>
      </w:r>
      <w:r>
        <w:rPr>
          <w:rFonts w:ascii="Times New Roman;sans-serif" w:hAnsi="Times New Roman;sans-serif"/>
          <w:b w:val="false"/>
          <w:color w:val="000000"/>
          <w:sz w:val="22"/>
        </w:rPr>
        <w:t>: international accounting standards within the meaning of IAS Regulation 1606/2002 to the extent applicable to the relevant financial statements delivered under or referred to herein.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Increase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Increase Joinder</w:t>
      </w:r>
      <w:r>
        <w:rPr>
          <w:color w:val="000000"/>
        </w:rPr>
        <w:t>”</w:t>
      </w:r>
      <w:r>
        <w:rPr>
          <w:rFonts w:ascii="Times New Roman;sans-serif" w:hAnsi="Times New Roman;sans-serif"/>
          <w:b w:val="false"/>
          <w:color w:val="000000"/>
          <w:sz w:val="22"/>
        </w:rPr>
        <w:t xml:space="preserve">: an instrument, in form and substance reasonably satisfactory to the Administrative Agent, by which a Lender becomes a party to this Agreement pursuant to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Immaterial Subsidiary</w:t>
      </w:r>
      <w:r>
        <w:rPr>
          <w:color w:val="000000"/>
        </w:rPr>
        <w:t>”</w:t>
      </w:r>
      <w:r>
        <w:rPr>
          <w:rFonts w:ascii="Times New Roman;sans-serif" w:hAnsi="Times New Roman;sans-serif"/>
          <w:b w:val="false"/>
          <w:color w:val="000000"/>
          <w:sz w:val="22"/>
        </w:rPr>
        <w:t xml:space="preserve">: as of the last day of each fiscal quarter and at any other date of determination, any Subsidiary of any Loan Party designated as such by such Loan Party in writing and which as of such date (a) holds assets representing seven and a half percent (7.5%) or less of the Borrower’s consolidated total assets as of such date (excluding Investments in Subsidiaries and intercompany receivables that would be eliminated in consolidated financial statements, and goodwill) (determined in accordance with GAAP), (b) which has generated less than seven and a half percent (7.5%) of the Borrower’s consolidated total revenues (excluding any intercompany revenues that would be eliminated in consolidated financial statements) determined in accordance with GAAP for the four fiscal quarter period ending on the last day of the most recent period for which financial statements have been delivered after the Closing Date pursuant to </w:t>
      </w:r>
      <w:r>
        <w:rPr>
          <w:rFonts w:ascii="Times New Roman;sans-serif" w:hAnsi="Times New Roman;sans-serif"/>
          <w:b w:val="false"/>
          <w:color w:val="000000"/>
          <w:sz w:val="22"/>
          <w:u w:val="single"/>
        </w:rPr>
        <w:t>Section 6.1(b)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all Subsidiaries that are individually </w:t>
      </w:r>
      <w:r>
        <w:rPr>
          <w:color w:val="000000"/>
        </w:rPr>
        <w:t>“</w:t>
      </w:r>
      <w:r>
        <w:rPr>
          <w:rFonts w:ascii="Times New Roman;sans-serif" w:hAnsi="Times New Roman;sans-serif"/>
          <w:b/>
          <w:i/>
          <w:color w:val="000000"/>
          <w:sz w:val="22"/>
        </w:rPr>
        <w:t xml:space="preserve">Immaterial Subsidiaries” </w:t>
      </w:r>
      <w:r>
        <w:rPr>
          <w:rFonts w:ascii="Times New Roman;sans-serif" w:hAnsi="Times New Roman;sans-serif"/>
          <w:b w:val="false"/>
          <w:color w:val="000000"/>
          <w:sz w:val="22"/>
        </w:rPr>
        <w:t xml:space="preserve">shall not have aggregate consolidated total assets that would represent fifteen percent (15%) or more of the Borrower’s consolidated total assets (excluding Investments in Subsidiaries and intercompany receivables that would be eliminated in consolidated </w:t>
      </w:r>
      <w:r>
        <w:br w:type="page"/>
      </w:r>
    </w:p>
    <w:p>
      <w:pPr>
        <w:pStyle w:val="TextBody"/>
        <w:spacing w:before="0" w:after="0"/>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60655"/>
                <wp:effectExtent l="0" t="0" r="0" b="0"/>
                <wp:wrapNone/>
                <wp:docPr id="273" name="Frame26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financial statements, and goodwill) as of such date or have generated fifteen percent (15%) or more of the Borrower’s consolidated total revenues (excluding any intercompany revenue that would be eliminated in consolidated financial statements) for such four fiscal quarter period, in each case determined in accordance with GAAP, (c) owns no Capital Stock of any Subsidiary that is not an Immaterial Subsidiary and (d) owns no material Intellectual Property.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Indebtedness</w:t>
      </w:r>
      <w:r>
        <w:rPr>
          <w:color w:val="000000"/>
        </w:rPr>
        <w:t>”</w:t>
      </w:r>
      <w:r>
        <w:rPr>
          <w:rFonts w:ascii="Times New Roman;sans-serif" w:hAnsi="Times New Roman;sans-serif"/>
          <w:b w:val="false"/>
          <w:color w:val="000000"/>
          <w:sz w:val="22"/>
        </w:rPr>
        <w:t xml:space="preserve">: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any Capital Stock in such Person or any other Person (including, without limitation, Disqualified Stock), or any warrant, right or option to acquire such Capital Stock, valued, in the case of a redeemable preferred interest, at the greater of its voluntary or involuntary liquidation preference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accrued and unpaid dividends,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Indemnified Taxes</w:t>
      </w:r>
      <w:r>
        <w:rPr>
          <w:color w:val="000000"/>
        </w:rPr>
        <w:t>”</w:t>
      </w:r>
      <w:r>
        <w:rPr>
          <w:rFonts w:ascii="Times New Roman;sans-serif" w:hAnsi="Times New Roman;sans-serif"/>
          <w:b w:val="false"/>
          <w:color w:val="000000"/>
          <w:sz w:val="22"/>
        </w:rPr>
        <w:t>: (a) Taxes, other than Excluded Taxes, imposed on or with respect to any payment made by or on account of any outstanding Obligation of any Loan Party under any Loan Document and (b) to the extent not otherwise described in clause (a), Other Taxes.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Indemnitee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10.5(b)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Insolvency Proceeding</w:t>
      </w:r>
      <w:r>
        <w:rPr>
          <w:color w:val="000000"/>
        </w:rPr>
        <w:t>”</w:t>
      </w:r>
      <w:r>
        <w:rPr>
          <w:rFonts w:ascii="Times New Roman;sans-serif" w:hAnsi="Times New Roman;sans-serif"/>
          <w:b w:val="false"/>
          <w:color w:val="000000"/>
          <w:sz w:val="22"/>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 and including, without limitation, any UK Insolvency Proceeding.</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Intellectual Property</w:t>
      </w:r>
      <w:r>
        <w:rPr>
          <w:color w:val="000000"/>
        </w:rPr>
        <w:t>”</w:t>
      </w:r>
      <w:r>
        <w:rPr>
          <w:rFonts w:ascii="Times New Roman;sans-serif" w:hAnsi="Times New Roman;sans-serif"/>
          <w:b w:val="false"/>
          <w:color w:val="000000"/>
          <w:sz w:val="22"/>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r>
        <w:br w:type="page"/>
      </w:r>
    </w:p>
    <w:p>
      <w:pPr>
        <w:pStyle w:val="TextBody"/>
        <w:spacing w:before="0" w:after="0"/>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60655"/>
                <wp:effectExtent l="0" t="0" r="0" b="0"/>
                <wp:wrapNone/>
                <wp:docPr id="274" name="Frame26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Intellectual Property Security Agreement</w:t>
      </w:r>
      <w:r>
        <w:rPr>
          <w:color w:val="000000"/>
        </w:rPr>
        <w:t>”</w:t>
      </w:r>
      <w:r>
        <w:rPr>
          <w:rFonts w:ascii="Times New Roman;sans-serif" w:hAnsi="Times New Roman;sans-serif"/>
          <w:b w:val="false"/>
          <w:color w:val="000000"/>
          <w:sz w:val="22"/>
        </w:rPr>
        <w:t xml:space="preserve">: an intellectual property security agreement entered into between a Loan Party and the Administrative Agent pursuant to the terms of the Guarantee and Collateral Agreement in form and substance satisfactory to the Administrative Agent, together with each other intellectual property security agreement and supplement thereto delivered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in each case as amended, restated, supplemented or otherwise modified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Interest Payment Date</w:t>
      </w:r>
      <w:r>
        <w:rPr>
          <w:color w:val="000000"/>
        </w:rPr>
        <w:t>”</w:t>
      </w:r>
      <w:r>
        <w:rPr>
          <w:rFonts w:ascii="Times New Roman;sans-serif" w:hAnsi="Times New Roman;sans-serif"/>
          <w:b w:val="false"/>
          <w:color w:val="000000"/>
          <w:sz w:val="22"/>
        </w:rPr>
        <w:t>: (a) as to any ABR Loan (including any Swingline Loan), the first Business Day of each fiscal quarter to occur while such Loan is outstanding and the final maturity date of such Loan, (b) as to any Eurodollar Loan having an Interest Period of three (3) months or less, the last Business Day of such Interest Period, (c) as to any Eurodollar Loan having an Interest Period longer than three (3) months, each day that is three (3) months (or, if such date is not a Business Day, the Business Day next succeeding such date) after the first day of such Interest Period and the last Business Day of such Interest Period, and (d) as to any Loan (other than any Revolving Loan that is an ABR Loan and any Swingline Loan), the date of any repayment or prepayment made in respect thereof.</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Interest Period</w:t>
      </w:r>
      <w:r>
        <w:rPr>
          <w:color w:val="000000"/>
        </w:rPr>
        <w:t>”</w:t>
      </w:r>
      <w:r>
        <w:rPr>
          <w:rFonts w:ascii="Times New Roman;sans-serif" w:hAnsi="Times New Roman;sans-serif"/>
          <w:b w:val="false"/>
          <w:color w:val="000000"/>
          <w:sz w:val="22"/>
        </w:rPr>
        <w:t xml:space="preserve">: as to any Eurodollar Loan, (a) initially, the period commencing on the borrowing or conversion date, as the case may be, with respect to such Eurodollar Loan and ending one (1), three (3) or six (6) months thereafter, as selected by the Borrower in its Notice of Borrowing or Notice of Conversion/Continuation, as the case may be, given with respect thereto; and (b) thereafter, each period commencing on the last day of the next preceding Interest Period applicable to such Eurodollar Loan and ending one (1), three (3) or six (6) months thereafter, as selected by the Borrower by irrevocable notice to the Administrative Agent in a Notice of Conversion/Continuation not later than 10:00 A.M. on the date that is three (3) Business Days prior to the last day of the then current Interest Period with respect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all of the foregoing provisions relating to Interest Periods are subject to the following:</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the Borrower may not select an Interest Period under a particular Facility that would extend beyond the Revolving Termination Date (in the case of Revolving Facility) or beyond the Term Loan Maturity Date (in the case of Term Loans); and</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any Interest Period that begins on the last Business Day of a calendar month (or on a day for which there is no numerically corresponding day in the calendar month at the end of such Interest Period) shall end on the last Business Day of a calendar month.</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Interest Rate Agreement</w:t>
      </w:r>
      <w:r>
        <w:rPr>
          <w:color w:val="000000"/>
        </w:rPr>
        <w:t>”</w:t>
      </w:r>
      <w:r>
        <w:rPr>
          <w:rFonts w:ascii="Times New Roman;sans-serif" w:hAnsi="Times New Roman;sans-serif"/>
          <w:b w:val="false"/>
          <w:color w:val="000000"/>
          <w:sz w:val="22"/>
        </w:rPr>
        <w:t>: any interest rate swap agreement, interest rate cap agreement, interest rate collar agreement, interest rate hedging agreement or other similar agreement or arrangement, each of which is (a) for the purpose of hedging the interest rate exposure associated with the Group Members’ operations, and (b) not for speculative purposes.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Inventory</w:t>
      </w:r>
      <w:r>
        <w:rPr>
          <w:color w:val="000000"/>
        </w:rPr>
        <w:t>”</w:t>
      </w:r>
      <w:r>
        <w:rPr>
          <w:rFonts w:ascii="Times New Roman;sans-serif" w:hAnsi="Times New Roman;sans-serif"/>
          <w:b w:val="false"/>
          <w:color w:val="000000"/>
          <w:sz w:val="22"/>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r>
        <w:br w:type="page"/>
      </w:r>
    </w:p>
    <w:p>
      <w:pPr>
        <w:pStyle w:val="TextBody"/>
        <w:spacing w:before="0" w:after="0"/>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60655"/>
                <wp:effectExtent l="0" t="0" r="0" b="0"/>
                <wp:wrapNone/>
                <wp:docPr id="275" name="Frame26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Investments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7.8</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IRS</w:t>
      </w:r>
      <w:r>
        <w:rPr>
          <w:color w:val="000000"/>
        </w:rPr>
        <w:t>”</w:t>
      </w:r>
      <w:r>
        <w:rPr>
          <w:rFonts w:ascii="Times New Roman;sans-serif" w:hAnsi="Times New Roman;sans-serif"/>
          <w:b w:val="false"/>
          <w:color w:val="000000"/>
          <w:sz w:val="22"/>
        </w:rPr>
        <w:t>: the U.S. Internal Revenue Service.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ISP</w:t>
      </w:r>
      <w:r>
        <w:rPr>
          <w:color w:val="000000"/>
        </w:rPr>
        <w:t>”</w:t>
      </w:r>
      <w:r>
        <w:rPr>
          <w:rFonts w:ascii="Times New Roman;sans-serif" w:hAnsi="Times New Roman;sans-serif"/>
          <w:b w:val="false"/>
          <w:color w:val="000000"/>
          <w:sz w:val="22"/>
        </w:rPr>
        <w:t>: with respect to any Letter of Credit, the “International Standby Practices 1998” published by the Institute of International Banking Law &amp; Practice (or such later version thereof as may be in effect at the time of issuance).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Issuing Lender</w:t>
      </w:r>
      <w:r>
        <w:rPr>
          <w:color w:val="000000"/>
        </w:rPr>
        <w:t>”</w:t>
      </w:r>
      <w:r>
        <w:rPr>
          <w:rFonts w:ascii="Times New Roman;sans-serif" w:hAnsi="Times New Roman;sans-serif"/>
          <w:b w:val="false"/>
          <w:color w:val="000000"/>
          <w:sz w:val="22"/>
        </w:rPr>
        <w:t xml:space="preserve">: as the context may require, (a) SVB or any Affiliate thereof, in its capacity as issuer of any Letter of Credit (including, without limitation, any Existing Letter of Credit), and (b) any other Lender that may become an Issuing Lender pursuant to </w:t>
      </w:r>
      <w:r>
        <w:rPr>
          <w:rFonts w:ascii="Times New Roman;sans-serif" w:hAnsi="Times New Roman;sans-serif"/>
          <w:b w:val="false"/>
          <w:color w:val="000000"/>
          <w:sz w:val="22"/>
          <w:u w:val="single"/>
        </w:rPr>
        <w:t>Section 3.11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3.12</w:t>
      </w:r>
      <w:r>
        <w:rPr>
          <w:rFonts w:ascii="Times New Roman;sans-serif" w:hAnsi="Times New Roman;sans-serif"/>
          <w:b w:val="false"/>
          <w:color w:val="000000"/>
          <w:sz w:val="22"/>
        </w:rPr>
        <w:t>, with respect to Letters of Credit issued by such Lender.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any doubt, SVB is the sole Issuing Lender as of the Closing Date.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Issuing Lender Fees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3.3(a)</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Judgment Currency</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10.19</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Kaltura Europe</w:t>
      </w:r>
      <w:r>
        <w:rPr>
          <w:color w:val="000000"/>
        </w:rPr>
        <w:t>”</w:t>
      </w:r>
      <w:r>
        <w:rPr>
          <w:rFonts w:ascii="Times New Roman;sans-serif" w:hAnsi="Times New Roman;sans-serif"/>
          <w:b w:val="false"/>
          <w:color w:val="000000"/>
          <w:sz w:val="22"/>
        </w:rPr>
        <w:t>: Kaltura Europe Limited, a limited liability company incorporated in England &amp; Wales (company number 08012257), whose registered office is at Highlands House Basingstoke Road, Spencers Wood, Reading, RG7 1NT, England.</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Advance</w:t>
      </w:r>
      <w:r>
        <w:rPr>
          <w:color w:val="000000"/>
        </w:rPr>
        <w:t>”</w:t>
      </w:r>
      <w:r>
        <w:rPr>
          <w:rFonts w:ascii="Times New Roman;sans-serif" w:hAnsi="Times New Roman;sans-serif"/>
          <w:b w:val="false"/>
          <w:color w:val="000000"/>
          <w:sz w:val="22"/>
        </w:rPr>
        <w:t>: each L/C Lender’s funding of its participation in any L/C Disbursement in accordance with its L/C Percentage of the L/C Commitment.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Commitment</w:t>
      </w:r>
      <w:r>
        <w:rPr>
          <w:color w:val="000000"/>
        </w:rPr>
        <w:t>”</w:t>
      </w:r>
      <w:r>
        <w:rPr>
          <w:rFonts w:ascii="Times New Roman;sans-serif" w:hAnsi="Times New Roman;sans-serif"/>
          <w:b w:val="false"/>
          <w:color w:val="000000"/>
          <w:sz w:val="22"/>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Times New Roman;sans-serif" w:hAnsi="Times New Roman;sans-serif"/>
          <w:b w:val="false"/>
          <w:color w:val="000000"/>
          <w:sz w:val="22"/>
          <w:u w:val="single"/>
        </w:rPr>
        <w:t>Section 3.5(b)</w:t>
      </w:r>
      <w:r>
        <w:rPr>
          <w:rFonts w:ascii="Times New Roman;sans-serif" w:hAnsi="Times New Roman;sans-serif"/>
          <w:b w:val="false"/>
          <w:color w:val="000000"/>
          <w:sz w:val="22"/>
        </w:rPr>
        <w:t xml:space="preserve">) in an aggregate principal amount not to exceed the amount set forth under the heading “L/C Commitment” opposite such L/C Lender’s name on </w:t>
      </w:r>
      <w:r>
        <w:rPr>
          <w:rFonts w:ascii="Times New Roman;sans-serif" w:hAnsi="Times New Roman;sans-serif"/>
          <w:b w:val="false"/>
          <w:color w:val="000000"/>
          <w:sz w:val="22"/>
          <w:u w:val="single"/>
        </w:rPr>
        <w:t>Schedule 1.1A</w:t>
      </w:r>
      <w:r>
        <w:rPr>
          <w:color w:val="000000"/>
        </w:rPr>
        <w:t xml:space="preserve"> </w:t>
      </w:r>
      <w:r>
        <w:rPr>
          <w:rFonts w:ascii="Times New Roman;sans-serif" w:hAnsi="Times New Roman;sans-serif"/>
          <w:b w:val="false"/>
          <w:color w:val="000000"/>
          <w:sz w:val="22"/>
        </w:rPr>
        <w:t>or in the Assignment and Assumption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Disbursements</w:t>
      </w:r>
      <w:r>
        <w:rPr>
          <w:color w:val="000000"/>
        </w:rPr>
        <w:t>”</w:t>
      </w:r>
      <w:r>
        <w:rPr>
          <w:rFonts w:ascii="Times New Roman;sans-serif" w:hAnsi="Times New Roman;sans-serif"/>
          <w:b w:val="false"/>
          <w:color w:val="000000"/>
          <w:sz w:val="22"/>
        </w:rPr>
        <w:t>: a payment or disbursement made by the Issuing Lender pursuant to a Letter of Credit.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Exposure</w:t>
      </w:r>
      <w:r>
        <w:rPr>
          <w:color w:val="000000"/>
        </w:rPr>
        <w:t>”</w:t>
      </w:r>
      <w:r>
        <w:rPr>
          <w:rFonts w:ascii="Times New Roman;sans-serif" w:hAnsi="Times New Roman;sans-serif"/>
          <w:b w:val="false"/>
          <w:color w:val="000000"/>
          <w:sz w:val="22"/>
        </w:rPr>
        <w:t>: at any time, the sum of (a) the aggregate undrawn amount of all outstanding Letters of Credit at such time, and (b) the aggregate amount of all L/C Disbursements that have not yet been reimbursed or converted into Revolving Loans at such time. The L/C Exposure of any L/C Lender at any time shall equal its L/C Percentage of the aggregate L/C Exposure at such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Facility</w:t>
      </w:r>
      <w:r>
        <w:rPr>
          <w:color w:val="000000"/>
        </w:rPr>
        <w:t>”</w:t>
      </w:r>
      <w:r>
        <w:rPr>
          <w:rFonts w:ascii="Times New Roman;sans-serif" w:hAnsi="Times New Roman;sans-serif"/>
          <w:b w:val="false"/>
          <w:color w:val="000000"/>
          <w:sz w:val="22"/>
        </w:rPr>
        <w:t xml:space="preserve">: the L/C Commitments and the extensions of credit made thereunder.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Fee Payment Date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3.3(a)</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L/C Lender</w:t>
      </w:r>
      <w:r>
        <w:rPr>
          <w:color w:val="000000"/>
        </w:rPr>
        <w:t>”</w:t>
      </w:r>
      <w:r>
        <w:rPr>
          <w:rFonts w:ascii="Times New Roman;sans-serif" w:hAnsi="Times New Roman;sans-serif"/>
          <w:b w:val="false"/>
          <w:color w:val="000000"/>
          <w:sz w:val="22"/>
        </w:rPr>
        <w:t>: a Lender with an L/C Commitment.</w:t>
      </w:r>
      <w:r>
        <w:br w:type="page"/>
      </w:r>
    </w:p>
    <w:p>
      <w:pPr>
        <w:pStyle w:val="TextBody"/>
        <w:spacing w:before="0" w:after="0"/>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60655"/>
                <wp:effectExtent l="0" t="0" r="0" b="0"/>
                <wp:wrapNone/>
                <wp:docPr id="276" name="Frame26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 Percentage</w:t>
      </w:r>
      <w:r>
        <w:rPr>
          <w:color w:val="000000"/>
        </w:rPr>
        <w:t>”</w:t>
      </w:r>
      <w:r>
        <w:rPr>
          <w:rFonts w:ascii="Times New Roman;sans-serif" w:hAnsi="Times New Roman;sans-serif"/>
          <w:b w:val="false"/>
          <w:color w:val="000000"/>
          <w:sz w:val="22"/>
        </w:rPr>
        <w:t xml:space="preserve">: as to any L/C Lender at any time, the percentage of the Total L/C Commitments represented by such L/C Lender’s L/C Commitment, as such percentage may be adjusted as provided in </w:t>
      </w:r>
      <w:r>
        <w:rPr>
          <w:rFonts w:ascii="Times New Roman;sans-serif" w:hAnsi="Times New Roman;sans-serif"/>
          <w:b w:val="false"/>
          <w:color w:val="000000"/>
          <w:sz w:val="22"/>
          <w:u w:val="single"/>
        </w:rPr>
        <w:t>Section 2.24</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L/C-Related Documents</w:t>
      </w:r>
      <w:r>
        <w:rPr>
          <w:color w:val="000000"/>
        </w:rPr>
        <w:t>”</w:t>
      </w:r>
      <w:r>
        <w:rPr>
          <w:rFonts w:ascii="Times New Roman;sans-serif" w:hAnsi="Times New Roman;sans-serif"/>
          <w:b w:val="false"/>
          <w:color w:val="000000"/>
          <w:sz w:val="22"/>
        </w:rPr>
        <w:t>: collectively, each Letter of Credit (including any Existing Letters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Legal Reservations</w:t>
      </w:r>
      <w:r>
        <w:rPr>
          <w:color w:val="000000"/>
        </w:rPr>
        <w:t>”</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principle that certain remedies (including equitable remedies and remedies that are analogous to equitable remedies in the applicable jurisdiction) may be granted or refused at the discretion of the court, the principles of reasonableness and fairness, the limitation of enforcement by laws relating to bankruptcy, insolvency, liquidation, reorganization, court schemes, moratoria, administration, examinership and other laws generally affecting the rights of creditors and secured creditors and similar principles or limitations under the laws of any applicable jurisdiction;</w:t>
      </w:r>
    </w:p>
    <w:p>
      <w:pPr>
        <w:pStyle w:val="TextBody"/>
        <w:spacing w:lineRule="auto" w:line="288" w:before="0" w:after="18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time barring of claims under applicable limitation laws (including the Limitation Acts) and defenses of acquiescence, set-off or counterclaim and the possibility that an undertaking to assume liability for or to indemnify a person against non-payment of stamp duty may be void and defenses of set- off, counterclaim or acquiescence and similar principles or limitations under the laws of any applicable jurisdiction;</w:t>
      </w:r>
    </w:p>
    <w:p>
      <w:pPr>
        <w:pStyle w:val="TextBody"/>
        <w:spacing w:lineRule="auto" w:line="288" w:before="0" w:after="18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principle that in certain circumstances security interests granted by way of fixed charge may be re-characterized by a court of competent jurisdiction as a floating charge or that security interests purported to be constituted as an assignment may be re-characterized by a court of competent jurisdiction as a charge;</w:t>
      </w:r>
    </w:p>
    <w:p>
      <w:pPr>
        <w:pStyle w:val="TextBody"/>
        <w:spacing w:lineRule="auto" w:line="288" w:before="0" w:after="18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principle that additional or default interest imposed pursuant to any relevant agreement may be held to be unenforceable on the grounds that it is a penalty and thus void;</w:t>
      </w:r>
    </w:p>
    <w:p>
      <w:pPr>
        <w:pStyle w:val="TextBody"/>
        <w:spacing w:lineRule="auto" w:line="288" w:before="0" w:after="18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principle that a court may not give effect to an indemnity for legal costs incurred by an unsuccessful litigant;</w:t>
      </w:r>
    </w:p>
    <w:p>
      <w:pPr>
        <w:pStyle w:val="TextBody"/>
        <w:spacing w:lineRule="auto" w:line="288" w:before="0" w:after="18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the principle that the creation or purported creation of security interests over (i) any asset not beneficially owned by the relevant charging company at the date of the relevant security document or (ii) any contract or agreement which is subject to a prohibition on transfer, assignment or charging, may be void, ineffective or invalid and may give rise to a breach of the contract or agreement over which security interests have purportedly been created;</w:t>
      </w:r>
    </w:p>
    <w:p>
      <w:pPr>
        <w:pStyle w:val="TextBody"/>
        <w:spacing w:lineRule="auto" w:line="288" w:before="0" w:after="18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possibility that a court may strike out a provision of a contract for rescission or oppression, undue influence or similar reason;</w:t>
      </w:r>
    </w:p>
    <w:p>
      <w:pPr>
        <w:pStyle w:val="TextBody"/>
        <w:spacing w:lineRule="auto" w:line="288" w:before="0" w:after="18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principle that a court may not give effect to any parallel debt provisions, covenants to pay the Administrative Agent or other similar provisions;</w:t>
      </w:r>
    </w:p>
    <w:p>
      <w:pPr>
        <w:pStyle w:val="TextBody"/>
        <w:spacing w:lineRule="auto" w:line="288" w:before="0" w:after="18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the principle that certain remedies in relation to regulated entities may require further approval from government or regulatory bodies or pursuant to agreements with such bodies;</w:t>
      </w:r>
    </w:p>
    <w:p>
      <w:pPr>
        <w:pStyle w:val="TextBody"/>
        <w:spacing w:lineRule="auto" w:line="288" w:before="0" w:after="18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similar principles, rights and defenses under the laws of any relevant jurisdiction; and</w:t>
      </w:r>
      <w:r>
        <w:br w:type="page"/>
      </w:r>
    </w:p>
    <w:p>
      <w:pPr>
        <w:pStyle w:val="TextBody"/>
        <w:spacing w:before="0" w:after="0"/>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60655"/>
                <wp:effectExtent l="0" t="0" r="0" b="0"/>
                <wp:wrapNone/>
                <wp:docPr id="277" name="Frame27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the principles of private and procedural laws of the relevant jurisdiction which affect the enforcement of a foreign court judgment; and</w:t>
      </w:r>
    </w:p>
    <w:p>
      <w:pPr>
        <w:pStyle w:val="TextBody"/>
        <w:spacing w:lineRule="auto" w:line="288" w:before="0" w:after="18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any other matters which are set out as qualifications or reservations (however described) as to matters of law (other than any matters relating to the laws of the United States, any state thereof, the District of Columbia, England or Wales) in the legal opinions delivered under or in connection with the Loan Documents.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Lenders</w:t>
      </w:r>
      <w:r>
        <w:rPr>
          <w:color w:val="000000"/>
        </w:rPr>
        <w:t>”</w:t>
      </w:r>
      <w:r>
        <w:rPr>
          <w:rFonts w:ascii="Times New Roman;sans-serif" w:hAnsi="Times New Roman;sans-serif"/>
          <w:b w:val="false"/>
          <w:color w:val="000000"/>
          <w:sz w:val="22"/>
        </w:rPr>
        <w:t xml:space="preserve">: as defined in the preamble 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unless the context otherwise requires, each reference herein to the Lenders shall be deemed to include the L/C Lenders, the Issuing Lender and the Swingline Lender. The sole Lender as of the Closing Date is SVB. For the avoidance of any doubt, except as expressly provided in Section 10.6, no banks, other financial institutions nor any other Persons shall become Lenders under this Agreement without the prior written consent of the Borrower.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Letter of Credit</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3.1(a)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term shall include each Existing Letter of Credit.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Letter of Credit Availability Period</w:t>
      </w:r>
      <w:r>
        <w:rPr>
          <w:color w:val="000000"/>
        </w:rPr>
        <w:t>”</w:t>
      </w:r>
      <w:r>
        <w:rPr>
          <w:rFonts w:ascii="Times New Roman;sans-serif" w:hAnsi="Times New Roman;sans-serif"/>
          <w:b w:val="false"/>
          <w:color w:val="000000"/>
          <w:sz w:val="22"/>
        </w:rPr>
        <w:t>: the period from and including the Closing Date to but excluding the Letter of Credit Maturity Date.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Letter of Credit Fees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3.3(a)</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Letter of Credit Fronting Fees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3.3(a)</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Letter of Credit Maturity Date</w:t>
      </w:r>
      <w:r>
        <w:rPr>
          <w:color w:val="000000"/>
        </w:rPr>
        <w:t>”</w:t>
      </w:r>
      <w:r>
        <w:rPr>
          <w:rFonts w:ascii="Times New Roman;sans-serif" w:hAnsi="Times New Roman;sans-serif"/>
          <w:b w:val="false"/>
          <w:color w:val="000000"/>
          <w:sz w:val="22"/>
        </w:rPr>
        <w:t xml:space="preserve">: the date occurring 15 days prior to the Revolving Termination Date then in effect (or, if such day is not a Business Day, the next preceding Business Day).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LIBOR</w:t>
      </w:r>
      <w:r>
        <w:rPr>
          <w:color w:val="000000"/>
        </w:rPr>
        <w:t>”</w:t>
      </w:r>
      <w:r>
        <w:rPr>
          <w:rFonts w:ascii="Times New Roman;sans-serif" w:hAnsi="Times New Roman;sans-serif"/>
          <w:b w:val="false"/>
          <w:color w:val="000000"/>
          <w:sz w:val="22"/>
        </w:rPr>
        <w:t>: as defined in the definition of “Eurodollar Base Rate.”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Lien</w:t>
      </w:r>
      <w:r>
        <w:rPr>
          <w:color w:val="000000"/>
        </w:rPr>
        <w:t>”</w:t>
      </w:r>
      <w:r>
        <w:rPr>
          <w:rFonts w:ascii="Times New Roman;sans-serif" w:hAnsi="Times New Roman;sans-serif"/>
          <w:b w:val="false"/>
          <w:color w:val="000000"/>
          <w:sz w:val="22"/>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Limitation Acts</w:t>
      </w:r>
      <w:r>
        <w:rPr>
          <w:color w:val="000000"/>
        </w:rPr>
        <w:t>”</w:t>
      </w:r>
      <w:r>
        <w:rPr>
          <w:rFonts w:ascii="Times New Roman;sans-serif" w:hAnsi="Times New Roman;sans-serif"/>
          <w:b w:val="false"/>
          <w:color w:val="000000"/>
          <w:sz w:val="22"/>
        </w:rPr>
        <w:t>: the Limitation Act 1980 and the Foreign Limitation Periods Act 1984.</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Liquidity</w:t>
      </w:r>
      <w:r>
        <w:rPr>
          <w:color w:val="000000"/>
        </w:rPr>
        <w:t>”</w:t>
      </w:r>
      <w:r>
        <w:rPr>
          <w:rFonts w:ascii="Times New Roman;sans-serif" w:hAnsi="Times New Roman;sans-serif"/>
          <w:b w:val="false"/>
          <w:color w:val="000000"/>
          <w:sz w:val="22"/>
        </w:rPr>
        <w:t xml:space="preserve">: at any time, the </w:t>
      </w:r>
      <w:r>
        <w:rPr>
          <w:rFonts w:ascii="Times New Roman;sans-serif" w:hAnsi="Times New Roman;sans-serif"/>
          <w:b w:val="false"/>
          <w:color w:val="000000"/>
          <w:sz w:val="22"/>
          <w:u w:val="single"/>
        </w:rPr>
        <w:t>sum</w:t>
      </w:r>
      <w:r>
        <w:rPr>
          <w:color w:val="000000"/>
        </w:rPr>
        <w:t xml:space="preserve"> </w:t>
      </w:r>
      <w:r>
        <w:rPr>
          <w:rFonts w:ascii="Times New Roman;sans-serif" w:hAnsi="Times New Roman;sans-serif"/>
          <w:b w:val="false"/>
          <w:color w:val="000000"/>
          <w:sz w:val="22"/>
        </w:rPr>
        <w:t>of (a) the aggregate amount of unrestricted cash and Cash Equivalents held at such time by the Loan Parties in Deposit Accounts or Securities Accounts that are either (i) subject to Control Agreements in favor of the Administrative Agent, (ii) otherwise subject to a first priority perfected Lien in favor of the Administrative Agent or (iii) maintained with SVB in the United States or the UK (solely to the extent that such Deposit Accounts or Securities Accounts are subject to the UK Debenture), and (b) the Available Revolving Commitment at such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Listed Competitor</w:t>
      </w:r>
      <w:r>
        <w:rPr>
          <w:color w:val="000000"/>
        </w:rPr>
        <w:t>”</w:t>
      </w:r>
      <w:r>
        <w:rPr>
          <w:rFonts w:ascii="Times New Roman;sans-serif" w:hAnsi="Times New Roman;sans-serif"/>
          <w:b w:val="false"/>
          <w:color w:val="000000"/>
          <w:sz w:val="22"/>
        </w:rPr>
        <w:t xml:space="preserve">: any Person that appears on the list of competitors of Borrower as submitted in writing by Borrower to the Administrative Agent on or prior to the Closing Date as updated from time to time by written notice delivered by Borrower to the Administrative Agent and provided such updates are reasonably approved in writing in advance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designation of any Person as a Listed Competitor after the Closing Date shall not become effective until three (3) Business Days after approval by the Administrative Agent (which approval shall not be unreasonably withheld or delayed). For the avoidance of doubt, with respect to any assignee that is an Eligible Assignee or Participant that becomes a Listed Competitor after the applicable Trade Date, (a) such assignee or Participant shall not retroactively be disqualified from becoming a Lender or Participant and (b) such </w:t>
      </w:r>
      <w:r>
        <w:br w:type="page"/>
      </w:r>
    </w:p>
    <w:p>
      <w:pPr>
        <w:pStyle w:val="TextBody"/>
        <w:spacing w:before="0" w:after="0"/>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60655"/>
                <wp:effectExtent l="0" t="0" r="0" b="0"/>
                <wp:wrapNone/>
                <wp:docPr id="278" name="Frame27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assignment or participation and, in the case of an assignment, the execution by Borrower of an Assignment and Assumption with respect to such assignee, will not by itself result in such assignee no longer being considered a Listed Competitor. Following the date on which any Lender other than SVB shall become a Lender under the Facilities, the Administrative Agent (A) shall have the right (but not the obligation), and Borrower hereby expressly authorizes the Administrative Agent, to post the list of Listed Competitors and any updates thereto from time to time on the Platform, and (B) shall provide the list of Listed Competitors and any updates thereto to each Lender or Participant requesting the same. The Administrative Agent shall not be responsible or have any liability for, or have any duty to ascertain, inquire into, monitor or enforce, compliance with the provisions hereof relating to Listed Competitors. Without limiting the generality of the foregoing, the Administrative Agent shall not (x) be obligated to ascertain, monitor or inquire as to whether any Lender or Participant or prospective Lender or Participant is a Listed Competitor or (y) have any liability with respect to or arising out of any assignment or participation of Loans or Commitments, or disclosure of confidential information, to, or restrictions on the exercise of rights or remedies of, any Listed Competitors or otherwise have any responsibility or liability for enforcing Borrower’s or any Lender’s compliance with the terms of any of the provisions set forth herein with respect to Listed Competitors.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Loan</w:t>
      </w:r>
      <w:r>
        <w:rPr>
          <w:color w:val="000000"/>
        </w:rPr>
        <w:t>”</w:t>
      </w:r>
      <w:r>
        <w:rPr>
          <w:rFonts w:ascii="Times New Roman;sans-serif" w:hAnsi="Times New Roman;sans-serif"/>
          <w:b w:val="false"/>
          <w:color w:val="000000"/>
          <w:sz w:val="22"/>
        </w:rPr>
        <w:t>: any loan made or maintained by any Lender pursuant to this Agreement.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Loan Documents</w:t>
      </w:r>
      <w:r>
        <w:rPr>
          <w:color w:val="000000"/>
        </w:rPr>
        <w:t>”</w:t>
      </w:r>
      <w:r>
        <w:rPr>
          <w:rFonts w:ascii="Times New Roman;sans-serif" w:hAnsi="Times New Roman;sans-serif"/>
          <w:b w:val="false"/>
          <w:color w:val="000000"/>
          <w:sz w:val="22"/>
        </w:rPr>
        <w:t xml:space="preserve">: this Agreement, each Security Document, each Note, the Fee Letter, the Flow of Funds Agreement, each Assignment and Assumption, each Compliance Certificate, each Borrowing Base Certificate, each Notice of Borrowing, each Notice of Conversion/Continuation, each Cash Management Services Agreement, the Solvency Certificate, the Collateral Information Certificate, each L/C-Related Document, and any agreement creating or perfecting rights in Cash Collateral pursuant to the provisions of </w:t>
      </w:r>
      <w:r>
        <w:rPr>
          <w:rFonts w:ascii="Times New Roman;sans-serif" w:hAnsi="Times New Roman;sans-serif"/>
          <w:b w:val="false"/>
          <w:color w:val="000000"/>
          <w:sz w:val="22"/>
          <w:u w:val="single"/>
        </w:rPr>
        <w:t>Section 3.10</w:t>
      </w:r>
      <w:r>
        <w:rPr>
          <w:rFonts w:ascii="Times New Roman;sans-serif" w:hAnsi="Times New Roman;sans-serif"/>
          <w:b w:val="false"/>
          <w:color w:val="000000"/>
          <w:sz w:val="22"/>
        </w:rPr>
        <w:t>, or otherwise, and any amendment, waiver, supplement or other modification to any of the foregoing.</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Loan Parties</w:t>
      </w:r>
      <w:r>
        <w:rPr>
          <w:color w:val="000000"/>
        </w:rPr>
        <w:t>”</w:t>
      </w:r>
      <w:r>
        <w:rPr>
          <w:rFonts w:ascii="Times New Roman;sans-serif" w:hAnsi="Times New Roman;sans-serif"/>
          <w:b w:val="false"/>
          <w:color w:val="000000"/>
          <w:sz w:val="22"/>
        </w:rPr>
        <w:t>: each Group Member that is a party to a Loan Document, as a Borrower, a Grantor or a Guarantor.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Majority Revolving Lenders</w:t>
      </w:r>
      <w:r>
        <w:rPr>
          <w:color w:val="000000"/>
        </w:rPr>
        <w:t>”</w:t>
      </w:r>
      <w:r>
        <w:rPr>
          <w:rFonts w:ascii="Times New Roman;sans-serif" w:hAnsi="Times New Roman;sans-serif"/>
          <w:b w:val="false"/>
          <w:color w:val="000000"/>
          <w:sz w:val="22"/>
        </w:rPr>
        <w:t xml:space="preserve">: at any time, (a) if only one Revolving Lender holds the Total Revolving Commitments at such time, such Revolving Lender, both before and after the termination of such Revolving Commitment; and (b) if more than one Revolving Lender holds the Total Revolving Commitment, at least two Revolving Lenders who hold more than 50% of the Total Revolving Commitments (including, without duplication, the L/C Commitments) or, at any time after the termination of the Revolving Commitments when such Revolving Commitments were held by more than one Revolving Lender, at least two Revolving Lenders who hold more than 50% of the Total Revolving Extensions of Credit then outstanding (including, without duplication, any L/C Disbursements that have not yet been reimbursed or converted into Revolving Loans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Revolving Commitments of, and the portion of the Revolving Loans and participations in L/C Exposure and Swingline Loans held or deemed held by, any Defaulting Lender shall be excluded for purposes of making a determination of Majority Revolving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a Lender and its Affiliates shall be deemed one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Majority Term Lenders</w:t>
      </w:r>
      <w:r>
        <w:rPr>
          <w:color w:val="000000"/>
        </w:rPr>
        <w:t>”</w:t>
      </w:r>
      <w:r>
        <w:rPr>
          <w:rFonts w:ascii="Times New Roman;sans-serif" w:hAnsi="Times New Roman;sans-serif"/>
          <w:b w:val="false"/>
          <w:color w:val="000000"/>
          <w:sz w:val="22"/>
        </w:rPr>
        <w:t xml:space="preserve">: at any time, (a) if only one Term Lender holds the Term Loan, such Term Lender; and (b) if more than one Term Lender holds the Term Loan, at least two Term Lenders who hold more than 50% of the principal sum of all Term Loans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portion of the Term Loans held or deemed held by, any Defaulting Lender shall be excluded for purposes of making a determination of Majority Term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a Lender and its Affiliates shall be deemed one Lender.</w:t>
      </w:r>
      <w:r>
        <w:br w:type="page"/>
      </w:r>
    </w:p>
    <w:p>
      <w:pPr>
        <w:pStyle w:val="TextBody"/>
        <w:spacing w:before="0" w:after="0"/>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60655"/>
                <wp:effectExtent l="0" t="0" r="0" b="0"/>
                <wp:wrapNone/>
                <wp:docPr id="279" name="Frame27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Mandatory Prepayment Date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2.12(e)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Material Adverse Effect</w:t>
      </w:r>
      <w:r>
        <w:rPr>
          <w:color w:val="000000"/>
        </w:rPr>
        <w:t>”</w:t>
      </w:r>
      <w:r>
        <w:rPr>
          <w:rFonts w:ascii="Times New Roman;sans-serif" w:hAnsi="Times New Roman;sans-serif"/>
          <w:b w:val="false"/>
          <w:color w:val="000000"/>
          <w:sz w:val="22"/>
        </w:rPr>
        <w:t>: (a) a material adverse change in, or a material adverse effect on, the operations, business, assets, properties, liabilities (actual or contingent) or financial condition of the Group Members, taken as a whole; (b) a material impairment of the rights and remedies, taken as a whole, of the Administrative Agent or any Lender under any Loan Document, or of the ability of the Borrower or any Loan Party, taken as a whole, to perform its material respective obligations under any Loan Document to which it is a party; or (c) a material adverse effect upon the legality, validity, binding effect or enforceability against the Borrower or any Loan Party of any material Loan Document to which it is a party.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Materials of Environmental Concern</w:t>
      </w:r>
      <w:r>
        <w:rPr>
          <w:color w:val="000000"/>
        </w:rPr>
        <w:t>”</w:t>
      </w:r>
      <w:r>
        <w:rPr>
          <w:rFonts w:ascii="Times New Roman;sans-serif" w:hAnsi="Times New Roman;sans-serif"/>
          <w:b w:val="false"/>
          <w:color w:val="000000"/>
          <w:sz w:val="22"/>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Minority Lender</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10.1(b)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Monthly Recurring Revenue</w:t>
      </w:r>
      <w:r>
        <w:rPr>
          <w:color w:val="000000"/>
        </w:rPr>
        <w:t>”</w:t>
      </w:r>
      <w:r>
        <w:rPr>
          <w:rFonts w:ascii="Times New Roman;sans-serif" w:hAnsi="Times New Roman;sans-serif"/>
          <w:b w:val="false"/>
          <w:color w:val="000000"/>
          <w:sz w:val="22"/>
        </w:rPr>
        <w:t>: for any calendar month, Recurring Revenue recognized in such calendar month.</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Moody’s</w:t>
      </w:r>
      <w:r>
        <w:rPr>
          <w:color w:val="000000"/>
        </w:rPr>
        <w:t>”</w:t>
      </w:r>
      <w:r>
        <w:rPr>
          <w:rFonts w:ascii="Times New Roman;sans-serif" w:hAnsi="Times New Roman;sans-serif"/>
          <w:b w:val="false"/>
          <w:color w:val="000000"/>
          <w:sz w:val="22"/>
        </w:rPr>
        <w:t>: Moody’s Investors Service, Inc.</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Mortgaged Properties</w:t>
      </w:r>
      <w:r>
        <w:rPr>
          <w:color w:val="000000"/>
        </w:rPr>
        <w:t>”</w:t>
      </w:r>
      <w:r>
        <w:rPr>
          <w:rFonts w:ascii="Times New Roman;sans-serif" w:hAnsi="Times New Roman;sans-serif"/>
          <w:b w:val="false"/>
          <w:color w:val="000000"/>
          <w:sz w:val="22"/>
        </w:rPr>
        <w:t xml:space="preserve">: the real properties as to which, pursuant to </w:t>
      </w:r>
      <w:r>
        <w:rPr>
          <w:rFonts w:ascii="Times New Roman;sans-serif" w:hAnsi="Times New Roman;sans-serif"/>
          <w:b w:val="false"/>
          <w:color w:val="000000"/>
          <w:sz w:val="22"/>
          <w:u w:val="single"/>
        </w:rPr>
        <w:t>Section 6.12(b)</w:t>
      </w:r>
      <w:r>
        <w:rPr>
          <w:color w:val="000000"/>
        </w:rPr>
        <w:t xml:space="preserve"> </w:t>
      </w:r>
      <w:r>
        <w:rPr>
          <w:rFonts w:ascii="Times New Roman;sans-serif" w:hAnsi="Times New Roman;sans-serif"/>
          <w:b w:val="false"/>
          <w:color w:val="000000"/>
          <w:sz w:val="22"/>
        </w:rPr>
        <w:t>or otherwise, the Administrative Agent, for the benefit of the Secured Parties, shall be granted a Lien pursuant to the Mortgages.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Mortgages</w:t>
      </w:r>
      <w:r>
        <w:rPr>
          <w:color w:val="000000"/>
        </w:rPr>
        <w:t>”</w:t>
      </w:r>
      <w:r>
        <w:rPr>
          <w:rFonts w:ascii="Times New Roman;sans-serif" w:hAnsi="Times New Roman;sans-serif"/>
          <w:b w:val="false"/>
          <w:color w:val="000000"/>
          <w:sz w:val="22"/>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Multiemployer Plan</w:t>
      </w:r>
      <w:r>
        <w:rPr>
          <w:color w:val="000000"/>
        </w:rPr>
        <w:t>”</w:t>
      </w:r>
      <w:r>
        <w:rPr>
          <w:rFonts w:ascii="Times New Roman;sans-serif" w:hAnsi="Times New Roman;sans-serif"/>
          <w:b w:val="false"/>
          <w:color w:val="000000"/>
          <w:sz w:val="22"/>
        </w:rPr>
        <w:t>: a “multiemployer plan” (within the meaning of Section 3(37) of ERISA) to which any Loan Party or any ERISA Affiliate thereof makes, is making, or is obligated or has ever been obligated to make, contributions.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Net Cash Proceeds</w:t>
      </w:r>
      <w:r>
        <w:rPr>
          <w:color w:val="000000"/>
        </w:rPr>
        <w:t>”</w:t>
      </w:r>
      <w:r>
        <w:rPr>
          <w:rFonts w:ascii="Times New Roman;sans-serif" w:hAnsi="Times New Roman;sans-serif"/>
          <w:b w:val="false"/>
          <w:color w:val="000000"/>
          <w:sz w:val="22"/>
        </w:rPr>
        <w:t xml:space="preserve">: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costs, fees and expenses actually incurred in connection therewith and net of taxes paid and the Borrower’s reasonable and good faith estimate of income, franchise, sales, and other applicable taxes required to be paid by any Group Member in connection with such Asset Sale or Recovery Event in the taxable year that such Asset Sale or Recovery Event is consummated, the computation of which shall, in each such case, take into account the reduction in tax liability resulting from any available operating losses and net operating loss carryovers, tax credits, and tax credit carry forwards, and similar tax attributes and (b) in connection with any issuance or sale of Capital Stock or any incurrence of Indebtedness, the cash proceeds received from such </w:t>
      </w:r>
      <w:r>
        <w:br w:type="page"/>
      </w:r>
    </w:p>
    <w:p>
      <w:pPr>
        <w:pStyle w:val="TextBody"/>
        <w:spacing w:before="0" w:after="0"/>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60655"/>
                <wp:effectExtent l="0" t="0" r="0" b="0"/>
                <wp:wrapNone/>
                <wp:docPr id="280" name="Frame27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issuance or incurrence, net of attorneys’ fees, investment banking fees, accountants’ fees, underwriting discounts and commissions and other customary costs, fees and expenses actually incurred in connection therewith.</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Non-Consenting Lender</w:t>
      </w:r>
      <w:r>
        <w:rPr>
          <w:color w:val="000000"/>
        </w:rPr>
        <w:t>”</w:t>
      </w:r>
      <w:r>
        <w:rPr>
          <w:rFonts w:ascii="Times New Roman;sans-serif" w:hAnsi="Times New Roman;sans-serif"/>
          <w:b w:val="false"/>
          <w:color w:val="000000"/>
          <w:sz w:val="22"/>
        </w:rPr>
        <w:t xml:space="preserve">: any Lender that does not approve any consent, waiver or amendment that (a) requires the approval of all Affected Lenders in accordance with the terms of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and (b) has been approved by the Required Lenders.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Non-Defaulting Lender</w:t>
      </w:r>
      <w:r>
        <w:rPr>
          <w:color w:val="000000"/>
        </w:rPr>
        <w:t>”</w:t>
      </w:r>
      <w:r>
        <w:rPr>
          <w:rFonts w:ascii="Times New Roman;sans-serif" w:hAnsi="Times New Roman;sans-serif"/>
          <w:b w:val="false"/>
          <w:color w:val="000000"/>
          <w:sz w:val="22"/>
        </w:rPr>
        <w:t xml:space="preserve">: at any time, each Lender that is not a Defaulting Lender at such time. </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Note</w:t>
      </w:r>
      <w:r>
        <w:rPr>
          <w:color w:val="000000"/>
        </w:rPr>
        <w:t>”</w:t>
      </w:r>
      <w:r>
        <w:rPr>
          <w:rFonts w:ascii="Times New Roman;sans-serif" w:hAnsi="Times New Roman;sans-serif"/>
          <w:b w:val="false"/>
          <w:color w:val="000000"/>
          <w:sz w:val="22"/>
        </w:rPr>
        <w:t>: a Term Loan Note, a Revolving Loan Note or a Swingline Loan Note.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Notice of Borrowing</w:t>
      </w:r>
      <w:r>
        <w:rPr>
          <w:color w:val="000000"/>
        </w:rPr>
        <w:t>”</w:t>
      </w:r>
      <w:r>
        <w:rPr>
          <w:rFonts w:ascii="Times New Roman;sans-serif" w:hAnsi="Times New Roman;sans-serif"/>
          <w:b w:val="false"/>
          <w:color w:val="000000"/>
          <w:sz w:val="22"/>
        </w:rPr>
        <w:t xml:space="preserve">: a notice substantially in the form of </w:t>
      </w:r>
      <w:r>
        <w:rPr>
          <w:rFonts w:ascii="Times New Roman;sans-serif" w:hAnsi="Times New Roman;sans-serif"/>
          <w:b w:val="false"/>
          <w:color w:val="000000"/>
          <w:sz w:val="22"/>
          <w:u w:val="single"/>
        </w:rPr>
        <w:t>Exhibit K</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Notice of Conversion/Continuation</w:t>
      </w:r>
      <w:r>
        <w:rPr>
          <w:color w:val="000000"/>
        </w:rPr>
        <w:t>”</w:t>
      </w:r>
      <w:r>
        <w:rPr>
          <w:rFonts w:ascii="Times New Roman;sans-serif" w:hAnsi="Times New Roman;sans-serif"/>
          <w:b w:val="false"/>
          <w:color w:val="000000"/>
          <w:sz w:val="22"/>
        </w:rPr>
        <w:t xml:space="preserve">: a notice substantially in the form of </w:t>
      </w:r>
      <w:r>
        <w:rPr>
          <w:rFonts w:ascii="Times New Roman;sans-serif" w:hAnsi="Times New Roman;sans-serif"/>
          <w:b w:val="false"/>
          <w:color w:val="000000"/>
          <w:sz w:val="22"/>
          <w:u w:val="single"/>
        </w:rPr>
        <w:t>Exhibit L</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Obligations</w:t>
      </w:r>
      <w:r>
        <w:rPr>
          <w:color w:val="000000"/>
        </w:rPr>
        <w:t>”</w:t>
      </w:r>
      <w:r>
        <w:rPr>
          <w:rFonts w:ascii="Times New Roman;sans-serif" w:hAnsi="Times New Roman;sans-serif"/>
          <w:b w:val="false"/>
          <w:color w:val="000000"/>
          <w:sz w:val="22"/>
        </w:rPr>
        <w:t>: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reasonable documented fees or expenses actually incurred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obligations in respect of Cash Management Services) to the Administrative Agent, the Issuing Lender, any other Lender, any applicable Cash Management Bank (in its capacity as in its capacity as a provider of Cash Management Services), and any Qualified Counterparty that is party to a Specified Swap Agreement, whether direct or indirect, absolute or contingent, due or to become due, or now existing or hereafter incurred, which may arise under, out of, or in connection with, this Agreement, any other Loan Document, the Letters of Credit, any other letters of credit issued by SVB,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is party to a Specified Swap Agreement), in each case, solely to the extent required to be paid by any Group Member pursuant any Loan Document, Cash Management Agreement, Specified Swap Agreement or otherwise.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OFAC</w:t>
      </w:r>
      <w:r>
        <w:rPr>
          <w:color w:val="000000"/>
        </w:rPr>
        <w:t>”</w:t>
      </w:r>
      <w:r>
        <w:rPr>
          <w:rFonts w:ascii="Times New Roman;sans-serif" w:hAnsi="Times New Roman;sans-serif"/>
          <w:b w:val="false"/>
          <w:color w:val="000000"/>
          <w:sz w:val="22"/>
        </w:rPr>
        <w:t>: the Office of Foreign Assets Control of the United States Department of the Treasury and any successor thereto.</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Operating Documents</w:t>
      </w:r>
      <w:r>
        <w:rPr>
          <w:color w:val="000000"/>
        </w:rPr>
        <w:t>”</w:t>
      </w:r>
      <w:r>
        <w:rPr>
          <w:rFonts w:ascii="Times New Roman;sans-serif" w:hAnsi="Times New Roman;sans-serif"/>
          <w:b w:val="false"/>
          <w:color w:val="000000"/>
          <w:sz w:val="22"/>
        </w:rPr>
        <w:t xml:space="preserve">: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w:t>
      </w:r>
      <w:r>
        <w:br w:type="page"/>
      </w:r>
    </w:p>
    <w:p>
      <w:pPr>
        <w:pStyle w:val="TextBody"/>
        <w:spacing w:before="0" w:after="0"/>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60655"/>
                <wp:effectExtent l="0" t="0" r="0" b="0"/>
                <wp:wrapNone/>
                <wp:docPr id="281" name="Frame27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agreement), and (c) if such Person is a partnership, its partnership agreement (or similar agreement), each of the foregoing with all current amendments or modifications thereto.</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Other Connection Taxes</w:t>
      </w:r>
      <w:r>
        <w:rPr>
          <w:color w:val="000000"/>
        </w:rPr>
        <w:t>”</w:t>
      </w:r>
      <w:r>
        <w:rPr>
          <w:rFonts w:ascii="Times New Roman;sans-serif" w:hAnsi="Times New Roman;sans-serif"/>
          <w:b w:val="false"/>
          <w:color w:val="000000"/>
          <w:sz w:val="22"/>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Other Taxes</w:t>
      </w:r>
      <w:r>
        <w:rPr>
          <w:color w:val="000000"/>
        </w:rPr>
        <w:t>”</w:t>
      </w:r>
      <w:r>
        <w:rPr>
          <w:rFonts w:ascii="Times New Roman;sans-serif" w:hAnsi="Times New Roman;sans-serif"/>
          <w:b w:val="false"/>
          <w:color w:val="000000"/>
          <w:sz w:val="22"/>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Overadvance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10.6(d)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Participant Register</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10.6(d)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Patriot Act</w:t>
      </w:r>
      <w:r>
        <w:rPr>
          <w:color w:val="000000"/>
        </w:rPr>
        <w:t>”</w:t>
      </w:r>
      <w:r>
        <w:rPr>
          <w:rFonts w:ascii="Times New Roman;sans-serif" w:hAnsi="Times New Roman;sans-serif"/>
          <w:b w:val="false"/>
          <w:color w:val="000000"/>
          <w:sz w:val="22"/>
        </w:rPr>
        <w:t>: the Uniting and Strengthening America by Providing Appropriate Tools Required to Intercept and Obstruct Terrorism (USA PATRIOT ACT) Act of 2001, Title III of Pub. L. 107-56, signed into law October 26, 2001.</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Payoff Letter</w:t>
      </w:r>
      <w:r>
        <w:rPr>
          <w:color w:val="000000"/>
        </w:rPr>
        <w:t>”</w:t>
      </w:r>
      <w:r>
        <w:rPr>
          <w:rFonts w:ascii="Times New Roman;sans-serif" w:hAnsi="Times New Roman;sans-serif"/>
          <w:b w:val="false"/>
          <w:color w:val="000000"/>
          <w:sz w:val="22"/>
        </w:rPr>
        <w:t>: a letter, in form and substance reasonably satisfactory to the Administrative Agent, dated as of a date on or prior to the Closing Date and executed by an Existing Lender and the Borrower to the effect that upon receipt by such Existing Lender of the “payoff amount” (however designated) referenced therein, (a) the obligations of the Group Members under the relevant Existing Credit Facility shall be satisfied in full, (b) the Liens held by such Existing Lender for the benefit of the lenders under the relevant Existing Credit Facility shall terminate without any further action, and (c) the Existing Lender, the Borrower or its designees and/or the Administrative Agent (and their respective counsel and such counsels’ agents) shall be entitled to file UCC-3 termination statements, USPTO releases, USCRO releases, as applicable, and any other releases reasonably necessary to further evidence the termination of such Liens.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PBGC</w:t>
      </w:r>
      <w:r>
        <w:rPr>
          <w:color w:val="000000"/>
        </w:rPr>
        <w:t>”</w:t>
      </w:r>
      <w:r>
        <w:rPr>
          <w:rFonts w:ascii="Times New Roman;sans-serif" w:hAnsi="Times New Roman;sans-serif"/>
          <w:b w:val="false"/>
          <w:color w:val="000000"/>
          <w:sz w:val="22"/>
        </w:rPr>
        <w:t>: the Pension Benefit Guaranty Corporation, or any successor thereto.</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Pension Plan</w:t>
      </w:r>
      <w:r>
        <w:rPr>
          <w:color w:val="000000"/>
        </w:rPr>
        <w:t>”</w:t>
      </w:r>
      <w:r>
        <w:rPr>
          <w:rFonts w:ascii="Times New Roman;sans-serif" w:hAnsi="Times New Roman;sans-serif"/>
          <w:b w:val="false"/>
          <w:color w:val="000000"/>
          <w:sz w:val="22"/>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to make, contributions, and (b) that is or was subject to Section 412 of the Code, Section 302 of ERISA or Title IV of ERISA.</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Perfection Requirements</w:t>
      </w:r>
      <w:r>
        <w:rPr>
          <w:color w:val="000000"/>
        </w:rPr>
        <w:t>”</w:t>
      </w:r>
      <w:r>
        <w:rPr>
          <w:rFonts w:ascii="Times New Roman;sans-serif" w:hAnsi="Times New Roman;sans-serif"/>
          <w:b w:val="false"/>
          <w:color w:val="000000"/>
          <w:sz w:val="22"/>
        </w:rPr>
        <w:t>: the making or the procuring of the appropriate registrations, filing, endorsements, registrations in the relevant registers, acknowledgement, notarization, stampings and/or notifications of or under the Security Documents and/or the security interests created thereunder and any other actions or steps, necessary or customary in any jurisdiction or under any laws or regulations in order to create or perfect any security interests or the Security Documents or to achieve the relevant priority expressed therein.</w:t>
      </w:r>
      <w:r>
        <w:br w:type="page"/>
      </w:r>
    </w:p>
    <w:p>
      <w:pPr>
        <w:pStyle w:val="TextBody"/>
        <w:spacing w:before="0" w:after="0"/>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60655"/>
                <wp:effectExtent l="0" t="0" r="0" b="0"/>
                <wp:wrapNone/>
                <wp:docPr id="282" name="Frame27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Permitted Acquisition</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7.8(l)</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Person</w:t>
      </w:r>
      <w:r>
        <w:rPr>
          <w:color w:val="000000"/>
        </w:rPr>
        <w:t>”</w:t>
      </w:r>
      <w:r>
        <w:rPr>
          <w:rFonts w:ascii="Times New Roman;sans-serif" w:hAnsi="Times New Roman;sans-serif"/>
          <w:b w:val="false"/>
          <w:color w:val="000000"/>
          <w:sz w:val="22"/>
        </w:rPr>
        <w:t>: any natural individual, corporation, limited liability company, trust, joint venture, association, company, partnership, Governmental Authority or other entity.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 an employee benefit plan (as defined in Section 3(3) of ERISA) other than a Multiemployer Plan which is or was at any time maintained or sponsored by any Group Member or to which any Group Member has ever made, or was obligated to make, contributions, (b) a Pension Plan, or (c) a Qualified Plan.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Platform</w:t>
      </w:r>
      <w:r>
        <w:rPr>
          <w:color w:val="000000"/>
        </w:rPr>
        <w:t>”</w:t>
      </w:r>
      <w:r>
        <w:rPr>
          <w:rFonts w:ascii="Times New Roman;sans-serif" w:hAnsi="Times New Roman;sans-serif"/>
          <w:b w:val="false"/>
          <w:color w:val="000000"/>
          <w:sz w:val="22"/>
        </w:rPr>
        <w:t>: is any of Debt Domain, DebtX, Intralinks, Syndtrak or a substantially similar electronic transmission system.</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Preferred Stock</w:t>
      </w:r>
      <w:r>
        <w:rPr>
          <w:color w:val="000000"/>
        </w:rPr>
        <w:t>”</w:t>
      </w:r>
      <w:r>
        <w:rPr>
          <w:rFonts w:ascii="Times New Roman;sans-serif" w:hAnsi="Times New Roman;sans-serif"/>
          <w:b w:val="false"/>
          <w:color w:val="000000"/>
          <w:sz w:val="22"/>
        </w:rPr>
        <w:t>: the preferred Capital Stock of the Borrower.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Prime Rate</w:t>
      </w:r>
      <w:r>
        <w:rPr>
          <w:color w:val="000000"/>
        </w:rPr>
        <w:t>”</w:t>
      </w:r>
      <w:r>
        <w:rPr>
          <w:rFonts w:ascii="Times New Roman;sans-serif" w:hAnsi="Times New Roman;sans-serif"/>
          <w:b w:val="false"/>
          <w:color w:val="000000"/>
          <w:sz w:val="22"/>
        </w:rPr>
        <w:t xml:space="preserve">: the rate of interest per annum from time to time published in the money rates section of the Wall Street Journal or any successor publication thereto as the “prime rate”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in the State of California (such announced Prime Rate not being intended to be the lowest rate of interest charged by the Administrative Agent in connection with extensions of credit to debtors).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Pro Forma Financial Statements</w:t>
      </w:r>
      <w:r>
        <w:rPr>
          <w:color w:val="000000"/>
        </w:rPr>
        <w:t>”</w:t>
      </w:r>
      <w:r>
        <w:rPr>
          <w:rFonts w:ascii="Times New Roman;sans-serif" w:hAnsi="Times New Roman;sans-serif"/>
          <w:b w:val="false"/>
          <w:color w:val="000000"/>
          <w:sz w:val="22"/>
        </w:rPr>
        <w:t xml:space="preserve">: balance sheets, income statements and cash flow statements prepared by the Group Members that give effect (as if such events had occurred on such date) to (a) the Loans to be made on the Closing Date and the use of proceeds thereof and (b) the payment of fees and expenses in connection with the foregoing, in each case prepared for (y) the most recently ended fiscal quarter as if such transactions had occurred on such date and (z) on a quarterly basis through the first full fiscal year after the Closing Date or subsequent Borrowing Date, as applicable, and on an annual basis for each fiscal year thereafter through the Term Loan Maturity Date, in each case demonstrating pro forma compliance with the covenants set forth in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Projections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6.2(c)</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Properties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4.17(a)</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Protective Overadvance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2.8(b)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Qualified Counterparty</w:t>
      </w:r>
      <w:r>
        <w:rPr>
          <w:color w:val="000000"/>
        </w:rPr>
        <w:t>”</w:t>
      </w:r>
      <w:r>
        <w:rPr>
          <w:rFonts w:ascii="Times New Roman;sans-serif" w:hAnsi="Times New Roman;sans-serif"/>
          <w:b w:val="false"/>
          <w:color w:val="000000"/>
          <w:sz w:val="22"/>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Qualified ECP Guarantor</w:t>
      </w:r>
      <w:r>
        <w:rPr>
          <w:color w:val="000000"/>
        </w:rPr>
        <w:t>”</w:t>
      </w:r>
      <w:r>
        <w:rPr>
          <w:rFonts w:ascii="Times New Roman;sans-serif" w:hAnsi="Times New Roman;sans-serif"/>
          <w:b w:val="false"/>
          <w:color w:val="000000"/>
          <w:sz w:val="22"/>
        </w:rPr>
        <w:t xml:space="preserve">: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w:t>
      </w:r>
      <w:r>
        <w:br w:type="page"/>
      </w:r>
    </w:p>
    <w:p>
      <w:pPr>
        <w:pStyle w:val="TextBody"/>
        <w:spacing w:before="0" w:after="0"/>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60655"/>
                <wp:effectExtent l="0" t="0" r="0" b="0"/>
                <wp:wrapNone/>
                <wp:docPr id="283" name="Frame27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by entering into a “keepwell, support, or other agreement” as contemplated by Section 1a(18)(A)(v)(II) of the Commodity Exchange Act.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Qualified Plan</w:t>
      </w:r>
      <w:r>
        <w:rPr>
          <w:color w:val="000000"/>
        </w:rPr>
        <w:t>”</w:t>
      </w:r>
      <w:r>
        <w:rPr>
          <w:rFonts w:ascii="Times New Roman;sans-serif" w:hAnsi="Times New Roman;sans-serif"/>
          <w:b w:val="false"/>
          <w:color w:val="000000"/>
          <w:sz w:val="22"/>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Recipient</w:t>
      </w:r>
      <w:r>
        <w:rPr>
          <w:color w:val="000000"/>
        </w:rPr>
        <w:t>”</w:t>
      </w:r>
      <w:r>
        <w:rPr>
          <w:rFonts w:ascii="Times New Roman;sans-serif" w:hAnsi="Times New Roman;sans-serif"/>
          <w:b w:val="false"/>
          <w:color w:val="000000"/>
          <w:sz w:val="22"/>
        </w:rPr>
        <w:t>: the (a) Administrative Agent, (b) any Lender or (c) the Issuing Lender, as applicable.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Recovery Event</w:t>
      </w:r>
      <w:r>
        <w:rPr>
          <w:color w:val="000000"/>
        </w:rPr>
        <w:t>”</w:t>
      </w:r>
      <w:r>
        <w:rPr>
          <w:rFonts w:ascii="Times New Roman;sans-serif" w:hAnsi="Times New Roman;sans-serif"/>
          <w:b w:val="false"/>
          <w:color w:val="000000"/>
          <w:sz w:val="22"/>
        </w:rPr>
        <w:t>: any settlement of or payment in respect of any property or casualty insurance claim or any condemnation proceeding relating to any asset of any Group Member.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Recurring Revenue</w:t>
      </w:r>
      <w:r>
        <w:rPr>
          <w:color w:val="000000"/>
        </w:rPr>
        <w:t>”</w:t>
      </w:r>
      <w:r>
        <w:rPr>
          <w:rFonts w:ascii="Times New Roman;sans-serif" w:hAnsi="Times New Roman;sans-serif"/>
          <w:b w:val="false"/>
          <w:color w:val="000000"/>
          <w:sz w:val="22"/>
        </w:rPr>
        <w:t>: with respect to the Group Members, subscription and support revenue of the Group Members from the execution of monthly, quarterly and annual customer contracts in the ordinary course of such Group Members’ business, calculated in accordance with GAAP, and specifically excluding any revenue amounts received based on (a) sales of inventory, goods or equipment, (b) transaction revenue not received in the ordinary course of business, (c) sales of services not in the ordinary course of business, (d) revenue received due to one-time, non-recurring transactions, installation or set-up fees, (e) add-on purchases by any Group Member’s existing clients not resulting in a continuing stream or revenue and (f) such other exclusions as the Administrative Agent shall determine in its reasonable discretion.</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Refunded Swingline Loans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xml:space="preserve">. </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Register</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10.6(c)</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Regulation T</w:t>
      </w:r>
      <w:r>
        <w:rPr>
          <w:color w:val="000000"/>
        </w:rPr>
        <w:t>”</w:t>
      </w:r>
      <w:r>
        <w:rPr>
          <w:rFonts w:ascii="Times New Roman;sans-serif" w:hAnsi="Times New Roman;sans-serif"/>
          <w:b w:val="false"/>
          <w:color w:val="000000"/>
          <w:sz w:val="22"/>
        </w:rPr>
        <w:t xml:space="preserve">: Regulation T of the Board as in effect from time to time.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Regulation U</w:t>
      </w:r>
      <w:r>
        <w:rPr>
          <w:color w:val="000000"/>
        </w:rPr>
        <w:t>”</w:t>
      </w:r>
      <w:r>
        <w:rPr>
          <w:rFonts w:ascii="Times New Roman;sans-serif" w:hAnsi="Times New Roman;sans-serif"/>
          <w:b w:val="false"/>
          <w:color w:val="000000"/>
          <w:sz w:val="22"/>
        </w:rPr>
        <w:t xml:space="preserve">: Regulation U of the Board as in effect from time to time.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Regulation X</w:t>
      </w:r>
      <w:r>
        <w:rPr>
          <w:color w:val="000000"/>
        </w:rPr>
        <w:t>”</w:t>
      </w:r>
      <w:r>
        <w:rPr>
          <w:rFonts w:ascii="Times New Roman;sans-serif" w:hAnsi="Times New Roman;sans-serif"/>
          <w:b w:val="false"/>
          <w:color w:val="000000"/>
          <w:sz w:val="22"/>
        </w:rPr>
        <w:t>: Regulation X of the Board as in effect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Reinvestment Deferred Amount</w:t>
      </w:r>
      <w:r>
        <w:rPr>
          <w:color w:val="000000"/>
        </w:rPr>
        <w:t>”</w:t>
      </w:r>
      <w:r>
        <w:rPr>
          <w:rFonts w:ascii="Times New Roman;sans-serif" w:hAnsi="Times New Roman;sans-serif"/>
          <w:b w:val="false"/>
          <w:color w:val="000000"/>
          <w:sz w:val="22"/>
        </w:rPr>
        <w:t xml:space="preserve">: with respect to any Reinvestment Event, the aggregate Net Cash Proceeds received by any Loan Party in connection therewith that are not applied to prepay the Loans or other amounts pursuant to </w:t>
      </w:r>
      <w:r>
        <w:rPr>
          <w:rFonts w:ascii="Times New Roman;sans-serif" w:hAnsi="Times New Roman;sans-serif"/>
          <w:b w:val="false"/>
          <w:color w:val="000000"/>
          <w:sz w:val="22"/>
          <w:u w:val="single"/>
        </w:rPr>
        <w:t>Section 2.12(e)</w:t>
      </w:r>
      <w:r>
        <w:rPr>
          <w:color w:val="000000"/>
        </w:rPr>
        <w:t xml:space="preserve"> </w:t>
      </w:r>
      <w:r>
        <w:rPr>
          <w:rFonts w:ascii="Times New Roman;sans-serif" w:hAnsi="Times New Roman;sans-serif"/>
          <w:b w:val="false"/>
          <w:color w:val="000000"/>
          <w:sz w:val="22"/>
        </w:rPr>
        <w:t>as a result of the delivery of a Reinvestment Notice.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Reinvestment Event</w:t>
      </w:r>
      <w:r>
        <w:rPr>
          <w:color w:val="000000"/>
        </w:rPr>
        <w:t>”</w:t>
      </w:r>
      <w:r>
        <w:rPr>
          <w:rFonts w:ascii="Times New Roman;sans-serif" w:hAnsi="Times New Roman;sans-serif"/>
          <w:b w:val="false"/>
          <w:color w:val="000000"/>
          <w:sz w:val="22"/>
        </w:rPr>
        <w:t>: any Asset Sale or Recovery Event in respect of which the Borrower has delivered a Reinvestment Notice.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Reinvestment Notice</w:t>
      </w:r>
      <w:r>
        <w:rPr>
          <w:color w:val="000000"/>
        </w:rPr>
        <w:t>”</w:t>
      </w:r>
      <w:r>
        <w:rPr>
          <w:rFonts w:ascii="Times New Roman;sans-serif" w:hAnsi="Times New Roman;sans-serif"/>
          <w:b w:val="false"/>
          <w:color w:val="000000"/>
          <w:sz w:val="22"/>
        </w:rPr>
        <w:t>: a written notice executed by a Responsible Officer stating that no Event of Default has occurred and that the Borrower (directly or indirectly through a Guarantor) intends and expects to use all or a specified portion of the Net Cash Proceeds of an Asset Sale or Recovery Event to acquire or repair assets or properties useful in its business.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Reinvestment Prepayment Amount</w:t>
      </w:r>
      <w:r>
        <w:rPr>
          <w:color w:val="000000"/>
        </w:rPr>
        <w:t>”</w:t>
      </w:r>
      <w:r>
        <w:rPr>
          <w:rFonts w:ascii="Times New Roman;sans-serif" w:hAnsi="Times New Roman;sans-serif"/>
          <w:b w:val="false"/>
          <w:color w:val="000000"/>
          <w:sz w:val="22"/>
        </w:rPr>
        <w:t>: with respect to any Reinvestment Event, the Reinvestment Deferred Amount relating thereto less any amount expended prior to the relevant Reinvestment Prepayment Date to acquire or repair assets or properties useful in the Borrower’s business.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Reinvestment Prepayment Date</w:t>
      </w:r>
      <w:r>
        <w:rPr>
          <w:color w:val="000000"/>
        </w:rPr>
        <w:t>”</w:t>
      </w:r>
      <w:r>
        <w:rPr>
          <w:rFonts w:ascii="Times New Roman;sans-serif" w:hAnsi="Times New Roman;sans-serif"/>
          <w:b w:val="false"/>
          <w:color w:val="000000"/>
          <w:sz w:val="22"/>
        </w:rPr>
        <w:t xml:space="preserve">: with respect to any Reinvestment Event, the earlier of (a) the date occurring one hundred eighty days (180) after such Reinvestment Event (as may be extended with </w:t>
      </w:r>
      <w:r>
        <w:br w:type="page"/>
      </w:r>
    </w:p>
    <w:p>
      <w:pPr>
        <w:pStyle w:val="TextBody"/>
        <w:spacing w:before="0" w:after="0"/>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60655"/>
                <wp:effectExtent l="0" t="0" r="0" b="0"/>
                <wp:wrapNone/>
                <wp:docPr id="284" name="Frame27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written consent of the Administrative Agent), and (b) the date on which the Group Members shall have determined not to, or shall have otherwise ceased to, acquire or repair assets useful in the Borrower’s business with all or any portion of the relevant Reinvestment Deferred Amount.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Related Parties</w:t>
      </w:r>
      <w:r>
        <w:rPr>
          <w:color w:val="000000"/>
        </w:rPr>
        <w:t>”</w:t>
      </w:r>
      <w:r>
        <w:rPr>
          <w:rFonts w:ascii="Times New Roman;sans-serif" w:hAnsi="Times New Roman;sans-serif"/>
          <w:b w:val="false"/>
          <w:color w:val="000000"/>
          <w:sz w:val="22"/>
        </w:rPr>
        <w:t>: with respect to any Person, such Person’s Affiliates and the partners, directors, officers, employees, agents, trustees, administrators, managers, advisors and representatives of such Person and of such Person’s Affiliates.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Replacement Lender</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Required Lenders</w:t>
      </w:r>
      <w:r>
        <w:rPr>
          <w:color w:val="000000"/>
        </w:rPr>
        <w:t>”</w:t>
      </w:r>
      <w:r>
        <w:rPr>
          <w:rFonts w:ascii="Times New Roman;sans-serif" w:hAnsi="Times New Roman;sans-serif"/>
          <w:b w:val="false"/>
          <w:color w:val="000000"/>
          <w:sz w:val="22"/>
        </w:rPr>
        <w:t xml:space="preserve">: at any time, (a) if only one Lender holds the outstanding Term Loans and the Revolving Commitments, such Lender; and (b) if more than one Lender holds the outstanding Term Loans and Revolving Commitments, then at least two Lenders who hold more than 50% of the sum of (i) the aggregate unpaid principal amount of the Term Loans then outstanding, and (ii) the Total Revolving Commitments (including, without duplication, the L/C Commitments) then in effect or, if the Revolving Commitments have been terminated, the Total Revolving Extensions of Credit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purposes of this clause (b), the outstanding principal amount of the Term Loans held by any Defaulting Lender and the Revolving Commitments of, and the portion of the Revolving Loans and participations in L/C Exposure and Swingline Loans held or deemed held by, any Defaulting Lender shall be excluded for purposes of making a determination of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a Lender and its Affiliates shall be deemed one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Requirement of Law</w:t>
      </w:r>
      <w:r>
        <w:rPr>
          <w:color w:val="000000"/>
        </w:rPr>
        <w:t>”</w:t>
      </w:r>
      <w:r>
        <w:rPr>
          <w:rFonts w:ascii="Times New Roman;sans-serif" w:hAnsi="Times New Roman;sans-serif"/>
          <w:b w:val="false"/>
          <w:color w:val="000000"/>
          <w:sz w:val="22"/>
        </w:rPr>
        <w:t>: as to any Person any law, treaty, rule or regulation or the administration, interpretation, implementation or application or determination of an arbitrator or a court or other Governmental Authority (including, for the avoidance of doubt,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in each case applicable to or binding upon such Person or any of its property or to which such Person or any of its property is subject.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Resolution Authority</w:t>
      </w:r>
      <w:r>
        <w:rPr>
          <w:color w:val="000000"/>
        </w:rPr>
        <w:t>”</w:t>
      </w:r>
      <w:r>
        <w:rPr>
          <w:rFonts w:ascii="Times New Roman;sans-serif" w:hAnsi="Times New Roman;sans-serif"/>
          <w:b w:val="false"/>
          <w:color w:val="000000"/>
          <w:sz w:val="22"/>
        </w:rPr>
        <w:t>: any body which has authority to exercise any Write-down and Conversion Powers.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Responsible Officer</w:t>
      </w:r>
      <w:r>
        <w:rPr>
          <w:color w:val="000000"/>
        </w:rPr>
        <w:t>”</w:t>
      </w:r>
      <w:r>
        <w:rPr>
          <w:rFonts w:ascii="Times New Roman;sans-serif" w:hAnsi="Times New Roman;sans-serif"/>
          <w:b w:val="false"/>
          <w:color w:val="000000"/>
          <w:sz w:val="22"/>
        </w:rPr>
        <w:t>: (a) with respect to any Loan Party that is organized in the United States or any state thereof, the chief executive officer, president, vice president, chief financial officer, treasurer, controller or comptroller of such Loan Party, but in any event, with respect to financial matters, the chief financial officer, treasurer, controller or comptroller (or Person with similar title and responsibilities) of such Loan Party; (b) with respect to any Loan Party that is organized in the United Kingdom, any director of that company, but in any event with respect to financial matters, the director carrying the title of chief financial officer or finance director; and (c) in relation any other entity, the equivalent officers of that entity.</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Restricted Payments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7.6</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Retention Rate</w:t>
      </w:r>
      <w:r>
        <w:rPr>
          <w:color w:val="000000"/>
        </w:rPr>
        <w:t>”</w:t>
      </w:r>
      <w:r>
        <w:rPr>
          <w:rFonts w:ascii="Times New Roman;sans-serif" w:hAnsi="Times New Roman;sans-serif"/>
          <w:b w:val="false"/>
          <w:color w:val="000000"/>
          <w:sz w:val="22"/>
        </w:rPr>
        <w:t>: a percentage equal to the sum of (a) one hundred percent (100%) minus (b) the product of (i) the Churn Rate multiplied by (ii) four (4), as may be adjusted from time to time by the Administrative Agent in its good faith reasonable business discretion upon consultation with the Borrower.</w:t>
      </w:r>
      <w:r>
        <w:br w:type="page"/>
      </w:r>
    </w:p>
    <w:p>
      <w:pPr>
        <w:pStyle w:val="TextBody"/>
        <w:spacing w:before="0" w:after="0"/>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60655"/>
                <wp:effectExtent l="0" t="0" r="0" b="0"/>
                <wp:wrapNone/>
                <wp:docPr id="285" name="Frame27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Commitment</w:t>
      </w:r>
      <w:r>
        <w:rPr>
          <w:color w:val="000000"/>
        </w:rPr>
        <w:t>”</w:t>
      </w:r>
      <w:r>
        <w:rPr>
          <w:rFonts w:ascii="Times New Roman;sans-serif" w:hAnsi="Times New Roman;sans-serif"/>
          <w:b w:val="false"/>
          <w:color w:val="000000"/>
          <w:sz w:val="22"/>
        </w:rPr>
        <w:t xml:space="preserve">: as to any Lender, the obligation of such Lender, if any, to make Revolving Loans and participate in Swingline Loans, Letters of Credit in an aggregate principal amount not to exceed the amount set forth under the heading “Revolving Commitment” opposite such Lender’s name on </w:t>
      </w:r>
      <w:r>
        <w:rPr>
          <w:rFonts w:ascii="Times New Roman;sans-serif" w:hAnsi="Times New Roman;sans-serif"/>
          <w:b w:val="false"/>
          <w:color w:val="000000"/>
          <w:sz w:val="22"/>
          <w:u w:val="single"/>
        </w:rPr>
        <w:t>Schedule 1.1A</w:t>
      </w:r>
      <w:r>
        <w:rPr>
          <w:color w:val="000000"/>
        </w:rPr>
        <w:t xml:space="preserve"> </w:t>
      </w:r>
      <w:r>
        <w:rPr>
          <w:rFonts w:ascii="Times New Roman;sans-serif" w:hAnsi="Times New Roman;sans-serif"/>
          <w:b w:val="false"/>
          <w:color w:val="000000"/>
          <w:sz w:val="22"/>
        </w:rPr>
        <w:t>or in the Assignment and Assumption pursuant to which such Lender became a party hereto, as the same may be changed from time to time pursuant to the terms hereof (including in connection with assignments and Increases permitted hereunder). The original aggregate amount of the Total Revolving Commitments on the Closing Date is $10,000,000. The L/C Commitment and the Swingline Commitment are each sublimits of the Total Revolving Commitments.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Commitment Period</w:t>
      </w:r>
      <w:r>
        <w:rPr>
          <w:color w:val="000000"/>
        </w:rPr>
        <w:t>”</w:t>
      </w:r>
      <w:r>
        <w:rPr>
          <w:rFonts w:ascii="Times New Roman;sans-serif" w:hAnsi="Times New Roman;sans-serif"/>
          <w:b w:val="false"/>
          <w:color w:val="000000"/>
          <w:sz w:val="22"/>
        </w:rPr>
        <w:t>: the period from and including the Closing Date to the Revolving Termination Date.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Extensions of Credit</w:t>
      </w:r>
      <w:r>
        <w:rPr>
          <w:color w:val="000000"/>
        </w:rPr>
        <w:t>”</w:t>
      </w:r>
      <w:r>
        <w:rPr>
          <w:rFonts w:ascii="Times New Roman;sans-serif" w:hAnsi="Times New Roman;sans-serif"/>
          <w:b w:val="false"/>
          <w:color w:val="000000"/>
          <w:sz w:val="22"/>
        </w:rPr>
        <w:t xml:space="preserve">: as to any Revolving Lender at any time, an amount equal to the </w:t>
      </w:r>
      <w:r>
        <w:rPr>
          <w:rFonts w:ascii="Times New Roman;sans-serif" w:hAnsi="Times New Roman;sans-serif"/>
          <w:b w:val="false"/>
          <w:color w:val="000000"/>
          <w:sz w:val="22"/>
          <w:u w:val="single"/>
        </w:rPr>
        <w:t>sum</w:t>
      </w:r>
      <w:r>
        <w:rPr>
          <w:color w:val="000000"/>
        </w:rPr>
        <w:t xml:space="preserve"> </w:t>
      </w:r>
      <w:r>
        <w:rPr>
          <w:rFonts w:ascii="Times New Roman;sans-serif" w:hAnsi="Times New Roman;sans-serif"/>
          <w:b w:val="false"/>
          <w:color w:val="000000"/>
          <w:sz w:val="22"/>
        </w:rPr>
        <w:t xml:space="preserve">of (a) the aggregate principal amount of all Revolving Loans held by such Lender then outstanding,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such Lender’s L/C Percentage of the aggregate undrawn amount of all outstanding Letters of Credit (including the Existing Letters of Credit)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such Lender’s L/C Percentage of the aggregate amount of all L/C Disbursements that have not yet been reimbursed or converted into Revolving Loans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(d) such Lender’s Revolving Percentage of the aggregate principal amount of Swingline Loans then outstanding.</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Facility</w:t>
      </w:r>
      <w:r>
        <w:rPr>
          <w:color w:val="000000"/>
        </w:rPr>
        <w:t>”</w:t>
      </w:r>
      <w:r>
        <w:rPr>
          <w:rFonts w:ascii="Times New Roman;sans-serif" w:hAnsi="Times New Roman;sans-serif"/>
          <w:b w:val="false"/>
          <w:color w:val="000000"/>
          <w:sz w:val="22"/>
        </w:rPr>
        <w:t>: the Revolving Commitments and the extensions of credit made thereunder.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Lender</w:t>
      </w:r>
      <w:r>
        <w:rPr>
          <w:color w:val="000000"/>
        </w:rPr>
        <w:t>”</w:t>
      </w:r>
      <w:r>
        <w:rPr>
          <w:rFonts w:ascii="Times New Roman;sans-serif" w:hAnsi="Times New Roman;sans-serif"/>
          <w:b w:val="false"/>
          <w:color w:val="000000"/>
          <w:sz w:val="22"/>
        </w:rPr>
        <w:t>: each Lender that has a Revolving Commitment or that holds Revolving Loans.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Loan Conversion</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3.5(b)</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Loan Funding Office</w:t>
      </w:r>
      <w:r>
        <w:rPr>
          <w:color w:val="000000"/>
        </w:rPr>
        <w:t>”</w:t>
      </w:r>
      <w:r>
        <w:rPr>
          <w:rFonts w:ascii="Times New Roman;sans-serif" w:hAnsi="Times New Roman;sans-serif"/>
          <w:b w:val="false"/>
          <w:color w:val="000000"/>
          <w:sz w:val="22"/>
        </w:rPr>
        <w:t xml:space="preserve">: the office of the Administrative Agent specified in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or such other office as may be specified from time to time by the Administrative Agent as its funding office by written notice to the Borrower and the Lenders.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Loan Note</w:t>
      </w:r>
      <w:r>
        <w:rPr>
          <w:color w:val="000000"/>
        </w:rPr>
        <w:t>”</w:t>
      </w:r>
      <w:r>
        <w:rPr>
          <w:rFonts w:ascii="Times New Roman;sans-serif" w:hAnsi="Times New Roman;sans-serif"/>
          <w:b w:val="false"/>
          <w:color w:val="000000"/>
          <w:sz w:val="22"/>
        </w:rPr>
        <w:t xml:space="preserve">: a promissory note in the form of </w:t>
      </w:r>
      <w:r>
        <w:rPr>
          <w:rFonts w:ascii="Times New Roman;sans-serif" w:hAnsi="Times New Roman;sans-serif"/>
          <w:b w:val="false"/>
          <w:color w:val="000000"/>
          <w:sz w:val="22"/>
          <w:u w:val="single"/>
        </w:rPr>
        <w:t>Exhibit H-1</w:t>
      </w:r>
      <w:r>
        <w:rPr>
          <w:rFonts w:ascii="Times New Roman;sans-serif" w:hAnsi="Times New Roman;sans-serif"/>
          <w:b w:val="false"/>
          <w:color w:val="000000"/>
          <w:sz w:val="22"/>
        </w:rPr>
        <w:t>, as it may be amended, supplemented or otherwise modified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Loans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2.4(a)</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Percentage</w:t>
      </w:r>
      <w:r>
        <w:rPr>
          <w:color w:val="000000"/>
        </w:rPr>
        <w:t>”</w:t>
      </w:r>
      <w:r>
        <w:rPr>
          <w:rFonts w:ascii="Times New Roman;sans-serif" w:hAnsi="Times New Roman;sans-serif"/>
          <w:b w:val="false"/>
          <w:color w:val="000000"/>
          <w:sz w:val="22"/>
        </w:rPr>
        <w:t xml:space="preserv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Revolving Termination Date</w:t>
      </w:r>
      <w:r>
        <w:rPr>
          <w:color w:val="000000"/>
        </w:rPr>
        <w:t>”</w:t>
      </w:r>
      <w:r>
        <w:rPr>
          <w:rFonts w:ascii="Times New Roman;sans-serif" w:hAnsi="Times New Roman;sans-serif"/>
          <w:b w:val="false"/>
          <w:color w:val="000000"/>
          <w:sz w:val="22"/>
        </w:rPr>
        <w:t xml:space="preserve">: January 14, 2024.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S&amp;P</w:t>
      </w:r>
      <w:r>
        <w:rPr>
          <w:color w:val="000000"/>
        </w:rPr>
        <w:t>”</w:t>
      </w:r>
      <w:r>
        <w:rPr>
          <w:rFonts w:ascii="Times New Roman;sans-serif" w:hAnsi="Times New Roman;sans-serif"/>
          <w:b w:val="false"/>
          <w:color w:val="000000"/>
          <w:sz w:val="22"/>
        </w:rPr>
        <w:t>: Standard &amp; Poor’s Ratings Services.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Sale Leaseback Transaction</w:t>
      </w:r>
      <w:r>
        <w:rPr>
          <w:color w:val="000000"/>
        </w:rPr>
        <w:t>”</w:t>
      </w:r>
      <w:r>
        <w:rPr>
          <w:rFonts w:ascii="Times New Roman;sans-serif" w:hAnsi="Times New Roman;sans-serif"/>
          <w:b w:val="false"/>
          <w:color w:val="000000"/>
          <w:sz w:val="22"/>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r>
        <w:br w:type="page"/>
      </w:r>
    </w:p>
    <w:p>
      <w:pPr>
        <w:pStyle w:val="TextBody"/>
        <w:spacing w:before="0" w:after="0"/>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60655"/>
                <wp:effectExtent l="0" t="0" r="0" b="0"/>
                <wp:wrapNone/>
                <wp:docPr id="286" name="Frame27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Sanction(s)</w:t>
      </w:r>
      <w:r>
        <w:rPr>
          <w:color w:val="000000"/>
        </w:rPr>
        <w:t>”</w:t>
      </w:r>
      <w:r>
        <w:rPr>
          <w:rFonts w:ascii="Times New Roman;sans-serif" w:hAnsi="Times New Roman;sans-serif"/>
          <w:b w:val="false"/>
          <w:color w:val="000000"/>
          <w:sz w:val="22"/>
        </w:rPr>
        <w:t>: any international economic sanction administered or enforced by the United States Government (including OFAC), the United Nations Security Council, the European Union, Her Majesty’s Treasury (being the UK treasury department) or other relevant sanctions authority.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SEC</w:t>
      </w:r>
      <w:r>
        <w:rPr>
          <w:color w:val="000000"/>
        </w:rPr>
        <w:t>”</w:t>
      </w:r>
      <w:r>
        <w:rPr>
          <w:rFonts w:ascii="Times New Roman;sans-serif" w:hAnsi="Times New Roman;sans-serif"/>
          <w:b w:val="false"/>
          <w:color w:val="000000"/>
          <w:sz w:val="22"/>
        </w:rPr>
        <w:t>: the Securities and Exchange Commission, any successor thereto and any analogous Governmental Authority.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Secured Parties</w:t>
      </w:r>
      <w:r>
        <w:rPr>
          <w:color w:val="000000"/>
        </w:rPr>
        <w:t>”</w:t>
      </w:r>
      <w:r>
        <w:rPr>
          <w:rFonts w:ascii="Times New Roman;sans-serif" w:hAnsi="Times New Roman;sans-serif"/>
          <w:b w:val="false"/>
          <w:color w:val="000000"/>
          <w:sz w:val="22"/>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Securities Account</w:t>
      </w:r>
      <w:r>
        <w:rPr>
          <w:color w:val="000000"/>
        </w:rPr>
        <w:t>”</w:t>
      </w:r>
      <w:r>
        <w:rPr>
          <w:rFonts w:ascii="Times New Roman;sans-serif" w:hAnsi="Times New Roman;sans-serif"/>
          <w:b w:val="false"/>
          <w:color w:val="000000"/>
          <w:sz w:val="22"/>
        </w:rPr>
        <w:t>: any “securities account” as defined in the UCC with such additions to such term as may hereafter be made.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Securities Account Control Agreement</w:t>
      </w:r>
      <w:r>
        <w:rPr>
          <w:color w:val="000000"/>
        </w:rPr>
        <w:t>”</w:t>
      </w:r>
      <w:r>
        <w:rPr>
          <w:rFonts w:ascii="Times New Roman;sans-serif" w:hAnsi="Times New Roman;sans-serif"/>
          <w:b w:val="false"/>
          <w:color w:val="000000"/>
          <w:sz w:val="22"/>
        </w:rPr>
        <w:t>: any Control Agreement entered into by the Administrative Agent, a Loan Party and a securities intermediary holding a Securities Account of such Loan Party pursuant to which the Administrative Agent is, (i) in the case of a U.S. account, granted “control” (for purposes of the UCC) over such Securities Account and (ii) in the case of a UK account, granted fixed charge security over such Securities Account to the extent required pursuant to the UK Debenture.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Securities Act</w:t>
      </w:r>
      <w:r>
        <w:rPr>
          <w:color w:val="000000"/>
        </w:rPr>
        <w:t>”</w:t>
      </w:r>
      <w:r>
        <w:rPr>
          <w:rFonts w:ascii="Times New Roman;sans-serif" w:hAnsi="Times New Roman;sans-serif"/>
          <w:b w:val="false"/>
          <w:color w:val="000000"/>
          <w:sz w:val="22"/>
        </w:rPr>
        <w:t>: the Securities Act of 1933, as amended from time to time and any successor statute.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Security Documents</w:t>
      </w:r>
      <w:r>
        <w:rPr>
          <w:color w:val="000000"/>
        </w:rPr>
        <w:t>”</w:t>
      </w:r>
      <w:r>
        <w:rPr>
          <w:rFonts w:ascii="Times New Roman;sans-serif" w:hAnsi="Times New Roman;sans-serif"/>
          <w:b w:val="false"/>
          <w:color w:val="000000"/>
          <w:sz w:val="22"/>
        </w:rPr>
        <w:t>: the collective reference to (a) the Guarantee and Collateral Agreement, (b) the Mortgages (if any), (c) each Intellectual Property Security Agreement, (d) each Deposit Account Control Agreement, (e) each Securities Account Control Agreement, the (f) UK Security Documents, (g) all other security documents hereafter delivered to the Administrative Agent granting a Lien on any property of any Person to secure the Obligations of any Loan Party arising under any Loan Document (if any), (h) each Pledge Supplement (if any), (i) each Assumption Agreement, (j) all other security documents hereafter delivered to any applicable Cash Management Bank granting a Lien on any property of any Person to secure the Obligations of any Group Member arising under any Cash Management Agreement (if any), and (k) all financing statements, fixture filings, patent, trademark and copyright filings, assignments, acknowledgments and other filings, documents and agreements made or delivered pursuant to any of the foregoing.</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Settlement Date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2.4(c)</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Solvency Certificate</w:t>
      </w:r>
      <w:r>
        <w:rPr>
          <w:color w:val="000000"/>
        </w:rPr>
        <w:t>”</w:t>
      </w:r>
      <w:r>
        <w:rPr>
          <w:rFonts w:ascii="Times New Roman;sans-serif" w:hAnsi="Times New Roman;sans-serif"/>
          <w:b w:val="false"/>
          <w:color w:val="000000"/>
          <w:sz w:val="22"/>
        </w:rPr>
        <w:t xml:space="preserve">: the Solvency Certificate, dated the Closing Date, delivered to the Administrative Agent pursuant to </w:t>
      </w:r>
      <w:r>
        <w:rPr>
          <w:rFonts w:ascii="Times New Roman;sans-serif" w:hAnsi="Times New Roman;sans-serif"/>
          <w:b w:val="false"/>
          <w:color w:val="000000"/>
          <w:sz w:val="22"/>
          <w:u w:val="single"/>
        </w:rPr>
        <w:t>Section 5.1(s)</w:t>
      </w:r>
      <w:r>
        <w:rPr>
          <w:rFonts w:ascii="Times New Roman;sans-serif" w:hAnsi="Times New Roman;sans-serif"/>
          <w:b w:val="false"/>
          <w:color w:val="000000"/>
          <w:sz w:val="22"/>
        </w:rPr>
        <w:t xml:space="preserve">, which Solvency Certificate shall be in substantially the form of </w:t>
      </w:r>
      <w:r>
        <w:rPr>
          <w:rFonts w:ascii="Times New Roman;sans-serif" w:hAnsi="Times New Roman;sans-serif"/>
          <w:b w:val="false"/>
          <w:color w:val="000000"/>
          <w:sz w:val="22"/>
          <w:u w:val="single"/>
        </w:rPr>
        <w:t>Exhibit 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Solvent</w:t>
      </w:r>
      <w:r>
        <w:rPr>
          <w:color w:val="000000"/>
        </w:rPr>
        <w:t>”</w:t>
      </w:r>
      <w:r>
        <w:rPr>
          <w:rFonts w:ascii="Times New Roman;sans-serif" w:hAnsi="Times New Roman;sans-serif"/>
          <w:b w:val="false"/>
          <w:color w:val="000000"/>
          <w:sz w:val="22"/>
        </w:rPr>
        <w:t xml:space="preserve">: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w:t>
      </w:r>
      <w:r>
        <w:br w:type="page"/>
      </w:r>
    </w:p>
    <w:p>
      <w:pPr>
        <w:pStyle w:val="TextBody"/>
        <w:spacing w:before="0" w:after="0"/>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60655"/>
                <wp:effectExtent l="0" t="0" r="0" b="0"/>
                <wp:wrapNone/>
                <wp:docPr id="287" name="Frame28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Specified Swap Agreement</w:t>
      </w:r>
      <w:r>
        <w:rPr>
          <w:color w:val="000000"/>
        </w:rPr>
        <w:t>”</w:t>
      </w:r>
      <w:r>
        <w:rPr>
          <w:rFonts w:ascii="Times New Roman;sans-serif" w:hAnsi="Times New Roman;sans-serif"/>
          <w:b w:val="false"/>
          <w:color w:val="000000"/>
          <w:sz w:val="22"/>
        </w:rPr>
        <w:t xml:space="preserve">: any Swap Agreement entered into by a Loan Party and any Qualified Counterparty (or any Person who was a Qualified Counterparty as of the Closing Date or as of the date such Swap Agreement was entered into) to the extent permitted under </w:t>
      </w:r>
      <w:r>
        <w:rPr>
          <w:rFonts w:ascii="Times New Roman;sans-serif" w:hAnsi="Times New Roman;sans-serif"/>
          <w:b w:val="false"/>
          <w:color w:val="000000"/>
          <w:sz w:val="22"/>
          <w:u w:val="single"/>
        </w:rPr>
        <w:t>Section 7.13</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Subordinated Debt Document</w:t>
      </w:r>
      <w:r>
        <w:rPr>
          <w:color w:val="000000"/>
        </w:rPr>
        <w:t>”</w:t>
      </w:r>
      <w:r>
        <w:rPr>
          <w:rFonts w:ascii="Times New Roman;sans-serif" w:hAnsi="Times New Roman;sans-serif"/>
          <w:b w:val="false"/>
          <w:color w:val="000000"/>
          <w:sz w:val="22"/>
        </w:rPr>
        <w: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approved in writing by the Administrative Agent.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Subordinated Indebtedness</w:t>
      </w:r>
      <w:r>
        <w:rPr>
          <w:color w:val="000000"/>
        </w:rPr>
        <w:t>”</w:t>
      </w:r>
      <w:r>
        <w:rPr>
          <w:rFonts w:ascii="Times New Roman;sans-serif" w:hAnsi="Times New Roman;sans-serif"/>
          <w:b w:val="false"/>
          <w:color w:val="000000"/>
          <w:sz w:val="22"/>
        </w:rPr>
        <w:t>: Indebtedness of a Loan Party subordinated to the Obligations pursuant to subordination terms (including payment, lien and remedies subordination terms, as applicable) reasonably acceptable to the Administrative Agent.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Subsidiary</w:t>
      </w:r>
      <w:r>
        <w:rPr>
          <w:color w:val="000000"/>
        </w:rPr>
        <w:t>”</w:t>
      </w:r>
      <w:r>
        <w:rPr>
          <w:rFonts w:ascii="Times New Roman;sans-serif" w:hAnsi="Times New Roman;sans-serif"/>
          <w:b w:val="false"/>
          <w:color w:val="000000"/>
          <w:sz w:val="22"/>
        </w:rPr>
        <w:t>: as to any Person, (a)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(b) a subsidiary, as defined in Section 1159 of the UK Companies Act 2006, or (c) unless the context otherwise requires, a subsidiary undertaking within the meaning of Section 1162 of the UK Companies Act. Unless otherwise qualified, all references to a “</w:t>
      </w:r>
      <w:r>
        <w:rPr>
          <w:rFonts w:ascii="Times New Roman;sans-serif" w:hAnsi="Times New Roman;sans-serif"/>
          <w:b/>
          <w:i/>
          <w:color w:val="000000"/>
          <w:sz w:val="22"/>
        </w:rPr>
        <w:t>Subsidiary</w:t>
      </w:r>
      <w:r>
        <w:rPr>
          <w:color w:val="000000"/>
        </w:rPr>
        <w:t xml:space="preserve">” </w:t>
      </w:r>
      <w:r>
        <w:rPr>
          <w:rFonts w:ascii="Times New Roman;sans-serif" w:hAnsi="Times New Roman;sans-serif"/>
          <w:b w:val="false"/>
          <w:color w:val="000000"/>
          <w:sz w:val="22"/>
        </w:rPr>
        <w:t>or to “</w:t>
      </w:r>
      <w:r>
        <w:rPr>
          <w:rFonts w:ascii="Times New Roman;sans-serif" w:hAnsi="Times New Roman;sans-serif"/>
          <w:b/>
          <w:i/>
          <w:color w:val="000000"/>
          <w:sz w:val="22"/>
        </w:rPr>
        <w:t>Subsidiaries</w:t>
      </w:r>
      <w:r>
        <w:rPr>
          <w:color w:val="000000"/>
        </w:rPr>
        <w:t xml:space="preserve">” </w:t>
      </w:r>
      <w:r>
        <w:rPr>
          <w:rFonts w:ascii="Times New Roman;sans-serif" w:hAnsi="Times New Roman;sans-serif"/>
          <w:b w:val="false"/>
          <w:color w:val="000000"/>
          <w:sz w:val="22"/>
        </w:rPr>
        <w:t>in this Agreement shall refer to a Subsidiary or Subsidiaries of the Borrower.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Surety Indebtedness</w:t>
      </w:r>
      <w:r>
        <w:rPr>
          <w:color w:val="000000"/>
        </w:rPr>
        <w:t>”</w:t>
      </w:r>
      <w:r>
        <w:rPr>
          <w:rFonts w:ascii="Times New Roman;sans-serif" w:hAnsi="Times New Roman;sans-serif"/>
          <w:b w:val="false"/>
          <w:color w:val="000000"/>
          <w:sz w:val="22"/>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Loan Party or any such Subsidiary.</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defined in the preamble hereto.</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Swap Agreement</w:t>
      </w:r>
      <w:r>
        <w:rPr>
          <w:color w:val="000000"/>
        </w:rPr>
        <w:t>”</w:t>
      </w:r>
      <w:r>
        <w:rPr>
          <w:rFonts w:ascii="Times New Roman;sans-serif" w:hAnsi="Times New Roman;sans-serif"/>
          <w:b w:val="false"/>
          <w:color w:val="000000"/>
          <w:sz w:val="22"/>
        </w:rPr>
        <w:t xml:space="preserve">: any agreement with respect to any swap, hedge, forward, future, foreign exchange, currency transactions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phantom stock or similar plan providing for payments only on account of services provided by current or former directors, officers, employees or consultants of the Group Members shall be deemed to be a “Swap Agreement.” For the avoidance of doubt, any stock option or warrant agreement for the purchase of Capital Stock of the Borrower, the purchase of Capital Stock or Indebtedness (including securities convertible into Capital Stock) of the Borrower pursuant to delayed delivery contracts, accelerated stock repurchase agreements, forward contracts or other similar agreements shall not be deemed to be a “Swap Agreement.” </w:t>
      </w:r>
      <w:r>
        <w:br w:type="page"/>
      </w:r>
    </w:p>
    <w:p>
      <w:pPr>
        <w:pStyle w:val="TextBody"/>
        <w:spacing w:before="0" w:after="0"/>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60655"/>
                <wp:effectExtent l="0" t="0" r="0" b="0"/>
                <wp:wrapNone/>
                <wp:docPr id="288" name="Frame28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Swap Obligation</w:t>
      </w:r>
      <w:r>
        <w:rPr>
          <w:color w:val="000000"/>
        </w:rPr>
        <w:t>”</w:t>
      </w:r>
      <w:r>
        <w:rPr>
          <w:rFonts w:ascii="Times New Roman;sans-serif" w:hAnsi="Times New Roman;sans-serif"/>
          <w:b w:val="false"/>
          <w:color w:val="000000"/>
          <w:sz w:val="22"/>
        </w:rPr>
        <w:t>: with respect to any Guarantor, any obligation of such Guarantor to pay or perform under any agreement, contract or transaction that constitutes a “swap” within the meaning of Section 1a(47) of the Commodity Exchange Act.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Swap Termination Value</w:t>
      </w:r>
      <w:r>
        <w:rPr>
          <w:color w:val="000000"/>
        </w:rPr>
        <w:t>”</w:t>
      </w:r>
      <w:r>
        <w:rPr>
          <w:rFonts w:ascii="Times New Roman;sans-serif" w:hAnsi="Times New Roman;sans-serif"/>
          <w:b w:val="false"/>
          <w:color w:val="000000"/>
          <w:sz w:val="22"/>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Swingline Commitment</w:t>
      </w:r>
      <w:r>
        <w:rPr>
          <w:color w:val="000000"/>
        </w:rPr>
        <w:t>”</w:t>
      </w:r>
      <w:r>
        <w:rPr>
          <w:rFonts w:ascii="Times New Roman;sans-serif" w:hAnsi="Times New Roman;sans-serif"/>
          <w:b w:val="false"/>
          <w:color w:val="000000"/>
          <w:sz w:val="22"/>
        </w:rPr>
        <w:t xml:space="preserve">: the obligation of the Swingline Lender to make Swingline Loans pursuant to </w:t>
      </w:r>
      <w:r>
        <w:rPr>
          <w:rFonts w:ascii="Times New Roman;sans-serif" w:hAnsi="Times New Roman;sans-serif"/>
          <w:b w:val="false"/>
          <w:color w:val="000000"/>
          <w:sz w:val="22"/>
          <w:u w:val="single"/>
        </w:rPr>
        <w:t>Section 2.6</w:t>
      </w:r>
      <w:r>
        <w:rPr>
          <w:color w:val="000000"/>
        </w:rPr>
        <w:t xml:space="preserve"> </w:t>
      </w:r>
      <w:r>
        <w:rPr>
          <w:rFonts w:ascii="Times New Roman;sans-serif" w:hAnsi="Times New Roman;sans-serif"/>
          <w:b w:val="false"/>
          <w:color w:val="000000"/>
          <w:sz w:val="22"/>
        </w:rPr>
        <w:t>in an aggregate principal amount at any one time outstanding not to exceed $5,000,000.</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Swingline Lender</w:t>
      </w:r>
      <w:r>
        <w:rPr>
          <w:color w:val="000000"/>
        </w:rPr>
        <w:t>”</w:t>
      </w:r>
      <w:r>
        <w:rPr>
          <w:rFonts w:ascii="Times New Roman;sans-serif" w:hAnsi="Times New Roman;sans-serif"/>
          <w:b w:val="false"/>
          <w:color w:val="000000"/>
          <w:sz w:val="22"/>
        </w:rPr>
        <w:t xml:space="preserve">: SVB, in its capacity as the lender of Swingline Loans or such other Lender as the Borrower may from time to time select, in its sole discretion, as the Swingline Lender hereunder pursuant to </w:t>
      </w:r>
      <w:r>
        <w:rPr>
          <w:rFonts w:ascii="Times New Roman;sans-serif" w:hAnsi="Times New Roman;sans-serif"/>
          <w:b w:val="false"/>
          <w:color w:val="000000"/>
          <w:sz w:val="22"/>
          <w:u w:val="single"/>
        </w:rPr>
        <w:t>Section 2.7(f)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Lender has agreed to be a Swingline Lender.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Swingline Loan Note</w:t>
      </w:r>
      <w:r>
        <w:rPr>
          <w:color w:val="000000"/>
        </w:rPr>
        <w:t>”</w:t>
      </w:r>
      <w:r>
        <w:rPr>
          <w:rFonts w:ascii="Times New Roman;sans-serif" w:hAnsi="Times New Roman;sans-serif"/>
          <w:b w:val="false"/>
          <w:color w:val="000000"/>
          <w:sz w:val="22"/>
        </w:rPr>
        <w:t xml:space="preserve">: a promissory note in the form of </w:t>
      </w:r>
      <w:r>
        <w:rPr>
          <w:rFonts w:ascii="Times New Roman;sans-serif" w:hAnsi="Times New Roman;sans-serif"/>
          <w:b w:val="false"/>
          <w:color w:val="000000"/>
          <w:sz w:val="22"/>
          <w:u w:val="single"/>
        </w:rPr>
        <w:t>Exhibit H-2</w:t>
      </w:r>
      <w:r>
        <w:rPr>
          <w:rFonts w:ascii="Times New Roman;sans-serif" w:hAnsi="Times New Roman;sans-serif"/>
          <w:b w:val="false"/>
          <w:color w:val="000000"/>
          <w:sz w:val="22"/>
        </w:rPr>
        <w:t>, as it may be amended, supplemented or otherwise modified from time to time.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Swingline Loans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2.6</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Swingline Participation Amount</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2.7(c)</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Synthetic Lease Obligation</w:t>
      </w:r>
      <w:r>
        <w:rPr>
          <w:color w:val="000000"/>
        </w:rPr>
        <w:t>”</w:t>
      </w:r>
      <w:r>
        <w:rPr>
          <w:rFonts w:ascii="Times New Roman;sans-serif" w:hAnsi="Times New Roman;sans-serif"/>
          <w:b w:val="false"/>
          <w:color w:val="000000"/>
          <w:sz w:val="22"/>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Taxes</w:t>
      </w:r>
      <w:r>
        <w:rPr>
          <w:color w:val="000000"/>
        </w:rPr>
        <w:t>”</w:t>
      </w:r>
      <w:r>
        <w:rPr>
          <w:rFonts w:ascii="Times New Roman;sans-serif" w:hAnsi="Times New Roman;sans-serif"/>
          <w:b w:val="false"/>
          <w:color w:val="000000"/>
          <w:sz w:val="22"/>
        </w:rPr>
        <w:t>: all present or future taxes, levies, imposts, duties, deductions, withholdings (including backup withholding), assessments, fees or other charges imposed by any Taxing Authority, including any interest, additions to tax or penalties applicable thereto.</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Taxing Authority</w:t>
      </w:r>
      <w:r>
        <w:rPr>
          <w:color w:val="000000"/>
        </w:rPr>
        <w:t>”</w:t>
      </w:r>
      <w:r>
        <w:rPr>
          <w:rFonts w:ascii="Times New Roman;sans-serif" w:hAnsi="Times New Roman;sans-serif"/>
          <w:b w:val="false"/>
          <w:color w:val="000000"/>
          <w:sz w:val="22"/>
        </w:rPr>
        <w:t>: any authority included in part (a) of the defined term “Governmental Authority” exercising authority in respect of Taxes.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Term Commitment</w:t>
      </w:r>
      <w:r>
        <w:rPr>
          <w:color w:val="000000"/>
        </w:rPr>
        <w:t>”</w:t>
      </w:r>
      <w:r>
        <w:rPr>
          <w:rFonts w:ascii="Times New Roman;sans-serif" w:hAnsi="Times New Roman;sans-serif"/>
          <w:b w:val="false"/>
          <w:color w:val="000000"/>
          <w:sz w:val="22"/>
        </w:rPr>
        <w:t xml:space="preserve">: as to any Lender, the obligation of such Lender, if any, to make a Term Loan to the Borrower in an aggregate principal amount not to exceed the amount set forth under the heading “Term Commitment” opposite such Lender’s name on </w:t>
      </w:r>
      <w:r>
        <w:rPr>
          <w:rFonts w:ascii="Times New Roman;sans-serif" w:hAnsi="Times New Roman;sans-serif"/>
          <w:b w:val="false"/>
          <w:color w:val="000000"/>
          <w:sz w:val="22"/>
          <w:u w:val="single"/>
        </w:rPr>
        <w:t>Schedule 1.1A</w:t>
      </w:r>
      <w:r>
        <w:rPr>
          <w:rFonts w:ascii="Times New Roman;sans-serif" w:hAnsi="Times New Roman;sans-serif"/>
          <w:b w:val="false"/>
          <w:color w:val="000000"/>
          <w:sz w:val="22"/>
        </w:rPr>
        <w:t>. The original aggregate principal amount of the Term Commitments on the Closing Date is $40,000,000.</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Term Facility</w:t>
      </w:r>
      <w:r>
        <w:rPr>
          <w:color w:val="000000"/>
        </w:rPr>
        <w:t>”</w:t>
      </w:r>
      <w:r>
        <w:rPr>
          <w:rFonts w:ascii="Times New Roman;sans-serif" w:hAnsi="Times New Roman;sans-serif"/>
          <w:b w:val="false"/>
          <w:color w:val="000000"/>
          <w:sz w:val="22"/>
        </w:rPr>
        <w:t>: the Term Commitments and the Term Loans made thereunder.</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Term Lender</w:t>
      </w:r>
      <w:r>
        <w:rPr>
          <w:color w:val="000000"/>
        </w:rPr>
        <w:t>”</w:t>
      </w:r>
      <w:r>
        <w:rPr>
          <w:rFonts w:ascii="Times New Roman;sans-serif" w:hAnsi="Times New Roman;sans-serif"/>
          <w:b w:val="false"/>
          <w:color w:val="000000"/>
          <w:sz w:val="22"/>
        </w:rPr>
        <w:t xml:space="preserve">: each Lender that has a Term Commitment or that holds a Term Loan. “Term Loan”: the term loans made by the Lenders pursuant to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Term Loan Funding Office</w:t>
      </w:r>
      <w:r>
        <w:rPr>
          <w:color w:val="000000"/>
        </w:rPr>
        <w:t>”</w:t>
      </w:r>
      <w:r>
        <w:rPr>
          <w:rFonts w:ascii="Times New Roman;sans-serif" w:hAnsi="Times New Roman;sans-serif"/>
          <w:b w:val="false"/>
          <w:color w:val="000000"/>
          <w:sz w:val="22"/>
        </w:rPr>
        <w:t xml:space="preserve">: the office of the Administrative Agent specified in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or such other office as may be specified from time to time by the Administrative Agent as its funding office by written notice to the Borrower and the Lenders.</w:t>
      </w:r>
      <w:r>
        <w:br w:type="page"/>
      </w:r>
    </w:p>
    <w:p>
      <w:pPr>
        <w:pStyle w:val="TextBody"/>
        <w:spacing w:before="0" w:after="0"/>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60655"/>
                <wp:effectExtent l="0" t="0" r="0" b="0"/>
                <wp:wrapNone/>
                <wp:docPr id="289" name="Frame28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Term Loan Maturity Date</w:t>
      </w:r>
      <w:r>
        <w:rPr>
          <w:color w:val="000000"/>
        </w:rPr>
        <w:t>”</w:t>
      </w:r>
      <w:r>
        <w:rPr>
          <w:rFonts w:ascii="Times New Roman;sans-serif" w:hAnsi="Times New Roman;sans-serif"/>
          <w:b w:val="false"/>
          <w:color w:val="000000"/>
          <w:sz w:val="22"/>
        </w:rPr>
        <w:t>: January 14, 2024.</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Term Loan Note</w:t>
      </w:r>
      <w:r>
        <w:rPr>
          <w:color w:val="000000"/>
        </w:rPr>
        <w:t>”</w:t>
      </w:r>
      <w:r>
        <w:rPr>
          <w:rFonts w:ascii="Times New Roman;sans-serif" w:hAnsi="Times New Roman;sans-serif"/>
          <w:b w:val="false"/>
          <w:color w:val="000000"/>
          <w:sz w:val="22"/>
        </w:rPr>
        <w:t xml:space="preserve">: a promissory note in the form of </w:t>
      </w:r>
      <w:r>
        <w:rPr>
          <w:rFonts w:ascii="Times New Roman;sans-serif" w:hAnsi="Times New Roman;sans-serif"/>
          <w:b w:val="false"/>
          <w:color w:val="000000"/>
          <w:sz w:val="22"/>
          <w:u w:val="single"/>
        </w:rPr>
        <w:t>Exhibit H-3</w:t>
      </w:r>
      <w:r>
        <w:rPr>
          <w:rFonts w:ascii="Times New Roman;sans-serif" w:hAnsi="Times New Roman;sans-serif"/>
          <w:b w:val="false"/>
          <w:color w:val="000000"/>
          <w:sz w:val="22"/>
        </w:rPr>
        <w:t>, as it may be amended, supplemented or otherwise modified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Term Percentage</w:t>
      </w:r>
      <w:r>
        <w:rPr>
          <w:color w:val="000000"/>
        </w:rPr>
        <w:t>”</w:t>
      </w:r>
      <w:r>
        <w:rPr>
          <w:rFonts w:ascii="Times New Roman;sans-serif" w:hAnsi="Times New Roman;sans-serif"/>
          <w:b w:val="false"/>
          <w:color w:val="000000"/>
          <w:sz w:val="22"/>
        </w:rPr>
        <w:t>: as to any Term Lender at any time, the percentage which such Lender’s Term Commitments and funded Term Loans then constitutes of the aggregate Term Commitments and funded Term Loans of all Lenders.</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Total Credit Exposure</w:t>
      </w:r>
      <w:r>
        <w:rPr>
          <w:color w:val="000000"/>
        </w:rPr>
        <w:t>”</w:t>
      </w:r>
      <w:r>
        <w:rPr>
          <w:rFonts w:ascii="Times New Roman;sans-serif" w:hAnsi="Times New Roman;sans-serif"/>
          <w:b w:val="false"/>
          <w:color w:val="000000"/>
          <w:sz w:val="22"/>
        </w:rPr>
        <w:t>: is, as to any Lender at any time, the unused Commitments, Revolving Extensions of Credit and outstanding Term Loans of such Lender at such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Total L/C Commitments</w:t>
      </w:r>
      <w:r>
        <w:rPr>
          <w:color w:val="000000"/>
        </w:rPr>
        <w:t>”</w:t>
      </w:r>
      <w:r>
        <w:rPr>
          <w:rFonts w:ascii="Times New Roman;sans-serif" w:hAnsi="Times New Roman;sans-serif"/>
          <w:b w:val="false"/>
          <w:color w:val="000000"/>
          <w:sz w:val="22"/>
        </w:rPr>
        <w:t xml:space="preserve">: at any time, the sum of all L/C Commitments at such time, as the same may be reduced from time to time pursuant to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3.5(b)</w:t>
      </w:r>
      <w:r>
        <w:rPr>
          <w:rFonts w:ascii="Times New Roman;sans-serif" w:hAnsi="Times New Roman;sans-serif"/>
          <w:b w:val="false"/>
          <w:color w:val="000000"/>
          <w:sz w:val="22"/>
        </w:rPr>
        <w:t>. The original amount of the Total L/C Commitments on the Closing Date is $10,000,000.</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Total Revolving Commitments</w:t>
      </w:r>
      <w:r>
        <w:rPr>
          <w:color w:val="000000"/>
        </w:rPr>
        <w:t>”</w:t>
      </w:r>
      <w:r>
        <w:rPr>
          <w:rFonts w:ascii="Times New Roman;sans-serif" w:hAnsi="Times New Roman;sans-serif"/>
          <w:b w:val="false"/>
          <w:color w:val="000000"/>
          <w:sz w:val="22"/>
        </w:rPr>
        <w:t>: at any time, the aggregate amount of the Revolving Commitments then in effect.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Total Revolving Extensions of Credit</w:t>
      </w:r>
      <w:r>
        <w:rPr>
          <w:color w:val="000000"/>
        </w:rPr>
        <w:t>”</w:t>
      </w:r>
      <w:r>
        <w:rPr>
          <w:rFonts w:ascii="Times New Roman;sans-serif" w:hAnsi="Times New Roman;sans-serif"/>
          <w:b w:val="false"/>
          <w:color w:val="000000"/>
          <w:sz w:val="22"/>
        </w:rPr>
        <w:t>: at any time, the aggregate amount of the Revolving Extensions of Credit outstanding at such time.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Trade Date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10.6(b)(i)(B)</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Trailing Three Month Period</w:t>
      </w:r>
      <w:r>
        <w:rPr>
          <w:color w:val="000000"/>
        </w:rPr>
        <w:t>”</w:t>
      </w:r>
      <w:r>
        <w:rPr>
          <w:rFonts w:ascii="Times New Roman;sans-serif" w:hAnsi="Times New Roman;sans-serif"/>
          <w:b w:val="false"/>
          <w:color w:val="000000"/>
          <w:sz w:val="22"/>
        </w:rPr>
        <w:t xml:space="preserve">: as defined in the definition of “Churn Rate”. </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Transactions</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5.1(b)</w:t>
      </w:r>
      <w:r>
        <w:rPr>
          <w:rFonts w:ascii="Times New Roman;sans-serif" w:hAnsi="Times New Roman;sans-serif"/>
          <w:b w:val="false"/>
          <w:color w:val="000000"/>
          <w:sz w:val="22"/>
        </w:rPr>
        <w: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Transferee</w:t>
      </w:r>
      <w:r>
        <w:rPr>
          <w:color w:val="000000"/>
        </w:rPr>
        <w:t>”</w:t>
      </w:r>
      <w:r>
        <w:rPr>
          <w:rFonts w:ascii="Times New Roman;sans-serif" w:hAnsi="Times New Roman;sans-serif"/>
          <w:b w:val="false"/>
          <w:color w:val="000000"/>
          <w:sz w:val="22"/>
        </w:rPr>
        <w:t>: any Eligible Assignee or Participant.</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Type</w:t>
      </w:r>
      <w:r>
        <w:rPr>
          <w:color w:val="000000"/>
        </w:rPr>
        <w:t>”</w:t>
      </w:r>
      <w:r>
        <w:rPr>
          <w:rFonts w:ascii="Times New Roman;sans-serif" w:hAnsi="Times New Roman;sans-serif"/>
          <w:b w:val="false"/>
          <w:color w:val="000000"/>
          <w:sz w:val="22"/>
        </w:rPr>
        <w:t>: as to any Loan, its nature as an ABR Loan or a Eurodollar Loan.</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UK</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United Kingdom</w:t>
      </w:r>
      <w:r>
        <w:rPr>
          <w:color w:val="000000"/>
        </w:rPr>
        <w:t>”</w:t>
      </w:r>
      <w:r>
        <w:rPr>
          <w:rFonts w:ascii="Times New Roman;sans-serif" w:hAnsi="Times New Roman;sans-serif"/>
          <w:b w:val="false"/>
          <w:color w:val="000000"/>
          <w:sz w:val="22"/>
        </w:rPr>
        <w:t>: the United Kingdom of Great Britain and Northern Ireland.</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Bail-In Legislation</w:t>
      </w:r>
      <w:r>
        <w:rPr>
          <w:color w:val="000000"/>
        </w:rPr>
        <w:t>”</w:t>
      </w:r>
      <w:r>
        <w:rPr>
          <w:rFonts w:ascii="Times New Roman;sans-serif" w:hAnsi="Times New Roman;sans-serif"/>
          <w:b w:val="false"/>
          <w:color w:val="000000"/>
          <w:sz w:val="22"/>
        </w:rPr>
        <w:t>: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Debenture</w:t>
      </w:r>
      <w:r>
        <w:rPr>
          <w:color w:val="000000"/>
        </w:rPr>
        <w:t>”</w:t>
      </w:r>
      <w:r>
        <w:rPr>
          <w:rFonts w:ascii="Times New Roman;sans-serif" w:hAnsi="Times New Roman;sans-serif"/>
          <w:b w:val="false"/>
          <w:color w:val="000000"/>
          <w:sz w:val="22"/>
        </w:rPr>
        <w:t>: that certain debenture dated on or about the date of this Agreement between Kaltura Europe, the Borrower and the Administrative Agent and as may be amended, modified, supplemented, and/or restated from time to time.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Group Member</w:t>
      </w:r>
      <w:r>
        <w:rPr>
          <w:color w:val="000000"/>
        </w:rPr>
        <w:t>”</w:t>
      </w:r>
      <w:r>
        <w:rPr>
          <w:rFonts w:ascii="Times New Roman;sans-serif" w:hAnsi="Times New Roman;sans-serif"/>
          <w:b w:val="false"/>
          <w:color w:val="000000"/>
          <w:sz w:val="22"/>
        </w:rPr>
        <w:t xml:space="preserve">: any Group Member incorporated or established in England and Wales. </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Insolvency Proceeding</w:t>
      </w:r>
      <w:r>
        <w:rPr>
          <w:color w:val="000000"/>
        </w:rPr>
        <w:t>”</w:t>
      </w:r>
      <w:r>
        <w:rPr>
          <w:rFonts w:ascii="Times New Roman;sans-serif" w:hAnsi="Times New Roman;sans-serif"/>
          <w:b w:val="false"/>
          <w:color w:val="000000"/>
          <w:sz w:val="22"/>
        </w:rPr>
        <w:t>: in relation to any UK Group Member, any corporate action, legal proceedings or other procedure or step is taken in relation to: (a) the suspension of payments, a moratorium of any indebtedness, winding-up, dissolution, administration or reorganization (by way of voluntary arrangement, scheme of arrangement or otherwise) of any UK Group Member, (b) a composition, compromise, assignment or arrangement with any creditor of any UK Group Member, (c) the appointment of a liquidator, receiver, administrative receiver, administrator, compulsory manager or other similar officer in respect of any UK Group Member or any of its assets, or (d) the enforcement of any security over any assets of any UK Group Member.</w:t>
      </w:r>
      <w:r>
        <w:br w:type="page"/>
      </w:r>
    </w:p>
    <w:p>
      <w:pPr>
        <w:pStyle w:val="TextBody"/>
        <w:spacing w:before="0" w:after="0"/>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60655"/>
                <wp:effectExtent l="0" t="0" r="0" b="0"/>
                <wp:wrapNone/>
                <wp:docPr id="290" name="Frame28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Security Documents</w:t>
      </w:r>
      <w:r>
        <w:rPr>
          <w:color w:val="000000"/>
        </w:rPr>
        <w:t>”</w:t>
      </w:r>
      <w:r>
        <w:rPr>
          <w:rFonts w:ascii="Times New Roman;sans-serif" w:hAnsi="Times New Roman;sans-serif"/>
          <w:b w:val="false"/>
          <w:color w:val="000000"/>
          <w:sz w:val="22"/>
        </w:rPr>
        <w:t>: the collective reference to (a) the UK Debenture, and (b) any other document entered into by any Loan Party creating or expressed to create any Security under English law over all or any part of its assets located in England and Wales in respect of the obligations of any of the Loan Parties under any of the Loan Documents.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Security Property</w:t>
      </w:r>
      <w:r>
        <w:rPr>
          <w:color w:val="000000"/>
        </w:rPr>
        <w:t>”</w:t>
      </w:r>
      <w:r>
        <w:rPr>
          <w:rFonts w:ascii="Times New Roman;sans-serif" w:hAnsi="Times New Roman;sans-serif"/>
          <w:b w:val="false"/>
          <w:color w:val="000000"/>
          <w:sz w:val="22"/>
        </w:rPr>
        <w:t>: (a) the UK Trust Security expressed to be granted in favor of the Administrative Agent as trustee for the Secured Parties and all proceeds of that UK Trust Security, (b) all obligations expressed to be undertaken by any Chargor (as defined in any UK Security Document) to pay amounts to the Administrative Agent as trustee for the Secured Parties and secured by the UK Trust Security together with all representations and warranties expressed to be given by the Chargor in favor of the Administrative Agent as trustee for the Secured Parties and (c) any other amounts or property, whether rights, entitlements, choses in action or otherwise, actual or contingent, which the Administrative Agent is required by the terms of the UK Security Documents to hold as trustee on trust for the Secured Parties.</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UK Trust Security</w:t>
      </w:r>
      <w:r>
        <w:rPr>
          <w:color w:val="000000"/>
        </w:rPr>
        <w:t>”</w:t>
      </w:r>
      <w:r>
        <w:rPr>
          <w:rFonts w:ascii="Times New Roman;sans-serif" w:hAnsi="Times New Roman;sans-serif"/>
          <w:b w:val="false"/>
          <w:color w:val="000000"/>
          <w:sz w:val="22"/>
        </w:rPr>
        <w:t>: the Liens created or evidenced or expressed to be created or evidenced under or pursuant to any UK Security Document.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Unfriendly Acquisition</w:t>
      </w:r>
      <w:r>
        <w:rPr>
          <w:color w:val="000000"/>
        </w:rPr>
        <w:t>”</w:t>
      </w:r>
      <w:r>
        <w:rPr>
          <w:rFonts w:ascii="Times New Roman;sans-serif" w:hAnsi="Times New Roman;sans-serif"/>
          <w:b w:val="false"/>
          <w:color w:val="000000"/>
          <w:sz w:val="22"/>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Uniform Commercial Code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UCC</w:t>
      </w:r>
      <w:r>
        <w:rPr>
          <w:color w:val="000000"/>
        </w:rPr>
        <w:t>”</w:t>
      </w:r>
      <w:r>
        <w:rPr>
          <w:rFonts w:ascii="Times New Roman;sans-serif" w:hAnsi="Times New Roman;sans-serif"/>
          <w:b w:val="false"/>
          <w:color w:val="000000"/>
          <w:sz w:val="22"/>
        </w:rPr>
        <w:t>: the Uniform Commercial Code (or any similar or equivalent legislation) as in effect from time to time in the State of New York, or as the context may require, any other applicable jurisdiction.</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U.S.</w:t>
      </w:r>
      <w:r>
        <w:rPr>
          <w:color w:val="000000"/>
        </w:rPr>
        <w:t>”</w:t>
      </w:r>
      <w:r>
        <w:rPr>
          <w:rFonts w:ascii="Times New Roman;sans-serif" w:hAnsi="Times New Roman;sans-serif"/>
          <w:b w:val="false"/>
          <w:color w:val="000000"/>
          <w:sz w:val="22"/>
        </w:rPr>
        <w:t xml:space="preserve">: the United States of America. </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USCRO</w:t>
      </w:r>
      <w:r>
        <w:rPr>
          <w:color w:val="000000"/>
        </w:rPr>
        <w:t>”</w:t>
      </w:r>
      <w:r>
        <w:rPr>
          <w:rFonts w:ascii="Times New Roman;sans-serif" w:hAnsi="Times New Roman;sans-serif"/>
          <w:b w:val="false"/>
          <w:color w:val="000000"/>
          <w:sz w:val="22"/>
        </w:rPr>
        <w:t>: the U.S. Copyright Office.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USPTO</w:t>
      </w:r>
      <w:r>
        <w:rPr>
          <w:color w:val="000000"/>
        </w:rPr>
        <w:t>”</w:t>
      </w:r>
      <w:r>
        <w:rPr>
          <w:rFonts w:ascii="Times New Roman;sans-serif" w:hAnsi="Times New Roman;sans-serif"/>
          <w:b w:val="false"/>
          <w:color w:val="000000"/>
          <w:sz w:val="22"/>
        </w:rPr>
        <w:t>: the U.S. Patent and Trademark Office.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U.S. Person</w:t>
      </w:r>
      <w:r>
        <w:rPr>
          <w:color w:val="000000"/>
        </w:rPr>
        <w:t>”</w:t>
      </w:r>
      <w:r>
        <w:rPr>
          <w:rFonts w:ascii="Times New Roman;sans-serif" w:hAnsi="Times New Roman;sans-serif"/>
          <w:b w:val="false"/>
          <w:color w:val="000000"/>
          <w:sz w:val="22"/>
        </w:rPr>
        <w:t>: any Person that is a “United States person” as defined in Section 7701(a)(30) of the Code.</w:t>
      </w:r>
    </w:p>
    <w:p>
      <w:pPr>
        <w:pStyle w:val="TextBody"/>
        <w:spacing w:lineRule="auto" w:line="288" w:before="0" w:after="180"/>
        <w:ind w:left="0" w:right="0" w:firstLine="720"/>
        <w:rPr/>
      </w:pPr>
      <w:r>
        <w:rPr>
          <w:color w:val="000000"/>
        </w:rPr>
        <w:t>“</w:t>
      </w:r>
      <w:r>
        <w:rPr>
          <w:rFonts w:ascii="Times New Roman;sans-serif" w:hAnsi="Times New Roman;sans-serif"/>
          <w:b/>
          <w:i/>
          <w:color w:val="000000"/>
          <w:sz w:val="22"/>
        </w:rPr>
        <w:t>U.S. Tax Compliance Certificate</w:t>
      </w:r>
      <w:r>
        <w:rPr>
          <w:color w:val="000000"/>
        </w:rPr>
        <w:t>”</w:t>
      </w:r>
      <w:r>
        <w:rPr>
          <w:rFonts w:ascii="Times New Roman;sans-serif" w:hAnsi="Times New Roman;sans-serif"/>
          <w:b w:val="false"/>
          <w:color w:val="000000"/>
          <w:sz w:val="22"/>
        </w:rPr>
        <w:t xml:space="preserve">: as defined in </w:t>
      </w:r>
      <w:r>
        <w:rPr>
          <w:rFonts w:ascii="Times New Roman;sans-serif" w:hAnsi="Times New Roman;sans-serif"/>
          <w:b w:val="false"/>
          <w:color w:val="000000"/>
          <w:sz w:val="22"/>
          <w:u w:val="single"/>
        </w:rPr>
        <w:t>Section 2.20(f)</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Withholding Agent</w:t>
      </w:r>
      <w:r>
        <w:rPr>
          <w:color w:val="000000"/>
        </w:rPr>
        <w:t>”</w:t>
      </w:r>
      <w:r>
        <w:rPr>
          <w:rFonts w:ascii="Times New Roman;sans-serif" w:hAnsi="Times New Roman;sans-serif"/>
          <w:b w:val="false"/>
          <w:color w:val="000000"/>
          <w:sz w:val="22"/>
        </w:rPr>
        <w:t>: as applicable, any of any applicable Loan Party and the Administrative Agent, as the context may require.</w:t>
      </w:r>
    </w:p>
    <w:p>
      <w:pPr>
        <w:pStyle w:val="TextBody"/>
        <w:spacing w:lineRule="auto" w:line="288" w:before="0" w:after="180"/>
        <w:ind w:left="0" w:right="0" w:firstLine="720"/>
        <w:jc w:val="both"/>
        <w:rPr/>
      </w:pPr>
      <w:r>
        <w:rPr>
          <w:color w:val="000000"/>
        </w:rPr>
        <w:t>“</w:t>
      </w:r>
      <w:r>
        <w:rPr>
          <w:rFonts w:ascii="Times New Roman;sans-serif" w:hAnsi="Times New Roman;sans-serif"/>
          <w:b/>
          <w:i/>
          <w:color w:val="000000"/>
          <w:sz w:val="22"/>
        </w:rPr>
        <w:t>Write-Down and Conversion Powers</w:t>
      </w:r>
      <w:r>
        <w:rPr>
          <w:color w:val="000000"/>
        </w:rPr>
        <w:t>”</w:t>
      </w:r>
      <w:r>
        <w:rPr>
          <w:rFonts w:ascii="Times New Roman;sans-serif" w:hAnsi="Times New Roman;sans-serif"/>
          <w:b w:val="false"/>
          <w:color w:val="000000"/>
          <w:sz w:val="22"/>
        </w:rPr>
        <w:t xml:space="preserve">: (a) in relation to any Bail-In Legislation described in the EU Bail-In Legislation Schedule from time to time, the powers described as such in relation to that Bail-In Legislation in the EU Bail-In Legislation Schedule, (b)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w:t>
      </w:r>
      <w:r>
        <w:br w:type="page"/>
      </w:r>
    </w:p>
    <w:p>
      <w:pPr>
        <w:pStyle w:val="TextBody"/>
        <w:spacing w:before="0" w:after="0"/>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60655"/>
                <wp:effectExtent l="0" t="0" r="0" b="0"/>
                <wp:wrapNone/>
                <wp:docPr id="291" name="Frame28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respect of that liability or any of the powers under that Bail-In Legislation that are related to or ancillary to any of those powers, and (ii) any similar or analogous powers under that Bail-In Legislation, and (c) in relation to any UK Bail-In Legislation: (i)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 (ii) any similar or analogous powers under that UK Bail-In Legislation.</w:t>
      </w:r>
    </w:p>
    <w:p>
      <w:pPr>
        <w:pStyle w:val="TextBody"/>
        <w:spacing w:lineRule="auto" w:line="288" w:before="0" w:after="180"/>
        <w:ind w:left="0" w:right="0" w:firstLine="720"/>
        <w:jc w:val="both"/>
        <w:rPr/>
      </w:pPr>
      <w:r>
        <w:rPr>
          <w:rFonts w:ascii="Times New Roman;sans-serif" w:hAnsi="Times New Roman;sans-serif"/>
          <w:b/>
          <w:color w:val="000000"/>
          <w:sz w:val="22"/>
        </w:rPr>
        <w:t>1.2</w:t>
      </w:r>
      <w:r>
        <w:rPr>
          <w:rFonts w:ascii="Times New Roman;sans-serif" w:hAnsi="Times New Roman;sans-serif"/>
          <w:b/>
          <w:color w:val="000000"/>
          <w:sz w:val="22"/>
        </w:rPr>
        <w:t>Other Definitional Provisions.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Unless otherwise specified therein, all terms defined in this Agreement shall have the defined meanings when used in the other Loan Documents or any certificate or other document made or delivered pursuant hereto or thereto.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As used herein and in the other Loan Documents, and in any certificate or other document made or delivered pursuant hereto or thereto, (i) accounting terms relating to any Group Member not defined in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and accounting terms partly defined in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on financial liabilities shall be disregarded.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words “</w:t>
      </w:r>
      <w:r>
        <w:rPr>
          <w:rFonts w:ascii="Times New Roman;sans-serif" w:hAnsi="Times New Roman;sans-serif"/>
          <w:b/>
          <w:i/>
          <w:color w:val="000000"/>
          <w:sz w:val="22"/>
        </w:rPr>
        <w:t>hereof</w:t>
      </w:r>
      <w:r>
        <w:rPr>
          <w:rFonts w:ascii="Times New Roman;sans-serif" w:hAnsi="Times New Roman;sans-serif"/>
          <w:b w:val="false"/>
          <w:color w:val="000000"/>
          <w:sz w:val="22"/>
        </w:rPr>
        <w:t>,” “</w:t>
      </w:r>
      <w:r>
        <w:rPr>
          <w:rFonts w:ascii="Times New Roman;sans-serif" w:hAnsi="Times New Roman;sans-serif"/>
          <w:b/>
          <w:i/>
          <w:color w:val="000000"/>
          <w:sz w:val="22"/>
        </w:rPr>
        <w:t>herein</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hereunder</w:t>
      </w:r>
      <w:r>
        <w:rPr>
          <w:color w:val="000000"/>
        </w:rPr>
        <w:t xml:space="preserve">” </w:t>
      </w:r>
      <w:r>
        <w:rPr>
          <w:rFonts w:ascii="Times New Roman;sans-serif" w:hAnsi="Times New Roman;sans-serif"/>
          <w:b w:val="false"/>
          <w:color w:val="000000"/>
          <w:sz w:val="22"/>
        </w:rPr>
        <w:t>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meanings given to terms defined herein shall be equally applicable to both the singular and plural forms of such terms. Whenever the context may require, any pronoun shall include the corresponding masculine, feminine and neuter forms.</w:t>
      </w:r>
      <w:r>
        <w:br w:type="page"/>
      </w:r>
    </w:p>
    <w:p>
      <w:pPr>
        <w:pStyle w:val="TextBody"/>
        <w:spacing w:before="0" w:after="0"/>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60655"/>
                <wp:effectExtent l="0" t="0" r="0" b="0"/>
                <wp:wrapNone/>
                <wp:docPr id="292" name="Frame28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Any reference to a provision of law is a reference to that provision as amended or re-enacted.</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A “</w:t>
      </w:r>
      <w:r>
        <w:rPr>
          <w:rFonts w:ascii="Times New Roman;sans-serif" w:hAnsi="Times New Roman;sans-serif"/>
          <w:b/>
          <w:i/>
          <w:color w:val="000000"/>
          <w:sz w:val="22"/>
        </w:rPr>
        <w:t>regulation</w:t>
      </w:r>
      <w:r>
        <w:rPr>
          <w:color w:val="000000"/>
        </w:rPr>
        <w:t xml:space="preserve">” </w:t>
      </w:r>
      <w:r>
        <w:rPr>
          <w:rFonts w:ascii="Times New Roman;sans-serif" w:hAnsi="Times New Roman;sans-serif"/>
          <w:b w:val="false"/>
          <w:color w:val="000000"/>
          <w:sz w:val="22"/>
        </w:rPr>
        <w:t>includes any regulation, rule, official directive, request or guideline (whether or not having the force of law) of any governmental, intergovernmental or supranational body, agency, department or any regulatory, self-regulatory or other authority or organization.</w:t>
      </w:r>
    </w:p>
    <w:p>
      <w:pPr>
        <w:pStyle w:val="TextBody"/>
        <w:spacing w:lineRule="auto" w:line="288" w:before="0" w:after="180"/>
        <w:ind w:left="0" w:right="0" w:firstLine="720"/>
        <w:jc w:val="both"/>
        <w:rPr/>
      </w:pPr>
      <w:r>
        <w:rPr>
          <w:rFonts w:ascii="Times New Roman;sans-serif" w:hAnsi="Times New Roman;sans-serif"/>
          <w:b/>
          <w:color w:val="000000"/>
          <w:sz w:val="22"/>
        </w:rPr>
        <w:t>1.3</w:t>
      </w:r>
      <w:r>
        <w:rPr>
          <w:rFonts w:ascii="Times New Roman;sans-serif" w:hAnsi="Times New Roman;sans-serif"/>
          <w:b/>
          <w:color w:val="000000"/>
          <w:sz w:val="22"/>
        </w:rPr>
        <w:t>Rounding</w:t>
      </w:r>
      <w:r>
        <w:rPr>
          <w:rFonts w:ascii="Times New Roman;sans-serif" w:hAnsi="Times New Roman;sans-serif"/>
          <w:b w:val="false"/>
          <w:color w:val="000000"/>
          <w:sz w:val="22"/>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2</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AMOUNT AND TERMS OF COMMITMENTS</w:t>
      </w:r>
    </w:p>
    <w:p>
      <w:pPr>
        <w:pStyle w:val="TextBody"/>
        <w:spacing w:lineRule="auto" w:line="288" w:before="0" w:after="180"/>
        <w:ind w:left="0" w:right="0" w:firstLine="720"/>
        <w:jc w:val="both"/>
        <w:rPr/>
      </w:pPr>
      <w:r>
        <w:rPr>
          <w:rFonts w:ascii="Times New Roman;sans-serif" w:hAnsi="Times New Roman;sans-serif"/>
          <w:b/>
          <w:color w:val="000000"/>
          <w:sz w:val="22"/>
        </w:rPr>
        <w:t>2.1</w:t>
      </w:r>
      <w:r>
        <w:rPr>
          <w:rFonts w:ascii="Times New Roman;sans-serif" w:hAnsi="Times New Roman;sans-serif"/>
          <w:b/>
          <w:color w:val="000000"/>
          <w:sz w:val="22"/>
        </w:rPr>
        <w:t>Term Commitments</w:t>
      </w:r>
      <w:r>
        <w:rPr>
          <w:rFonts w:ascii="Times New Roman;sans-serif" w:hAnsi="Times New Roman;sans-serif"/>
          <w:b w:val="false"/>
          <w:color w:val="000000"/>
          <w:sz w:val="22"/>
        </w:rPr>
        <w:t xml:space="preserve">. Subject to the terms and conditions hereof, each Term Lender severally agrees to make a Term Loan to the Borrower on the Closing Date in an amount equal to the amount of the Term Commitment of such Lender. The Term Loans may from time to time be Eurodollar Loans or ABR Loans, as determined by the Borrower and notified to the Administrative Agent in accordance with </w:t>
      </w:r>
      <w:r>
        <w:rPr>
          <w:rFonts w:ascii="Times New Roman;sans-serif" w:hAnsi="Times New Roman;sans-serif"/>
          <w:b w:val="false"/>
          <w:color w:val="000000"/>
          <w:sz w:val="22"/>
          <w:u w:val="single"/>
        </w:rPr>
        <w:t>Sections 2.2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2.2</w:t>
      </w:r>
      <w:r>
        <w:rPr>
          <w:rFonts w:ascii="Times New Roman;sans-serif" w:hAnsi="Times New Roman;sans-serif"/>
          <w:b/>
          <w:color w:val="000000"/>
          <w:sz w:val="22"/>
        </w:rPr>
        <w:t>Procedure for Term Loan Borrowing</w:t>
      </w:r>
      <w:r>
        <w:rPr>
          <w:rFonts w:ascii="Times New Roman;sans-serif" w:hAnsi="Times New Roman;sans-serif"/>
          <w:b w:val="false"/>
          <w:color w:val="000000"/>
          <w:sz w:val="22"/>
        </w:rPr>
        <w:t>. The Borrower shall give the Administrative Agent an irrevocable Notice of Borrowing (which must be received by the Administrative Agent prior to 10:00 A.M. one (1) Business Day prior to the anticipated Closing Date) requesting that the Term Lenders make the Term Loans on the Closing Date and specifying the amount to be borrowed. Upon receipt of such Notice of Borrowing, the Administrative Agent shall promptly notify each Term Lender thereof. Not later than 12:00 P.M. on the Closing Date each Term Lender shall make available to the Administrative Agent at the Term Loan Funding Office an amount in immediately available funds equal to the Term Loan or Term Loans to be made by such Lender. The Administrative Agent shall credit the account of the Borrower on the books of such office of the Administrative Agent with the aggregate of the amounts made available to the Administrative Agent by the Term Lenders in immediately available funds or, if so specified in the Flow of Funds Agreement, the Administrative Agent shall wire transfer or otherwise credit all or a portion of such aggregate amounts to the Existing Lenders for application against amounts in accordance with the wire instructions specified in the Flow of Funds Agreement.</w:t>
      </w:r>
    </w:p>
    <w:p>
      <w:pPr>
        <w:pStyle w:val="TextBody"/>
        <w:spacing w:lineRule="auto" w:line="288" w:before="0" w:after="180"/>
        <w:ind w:left="0" w:right="0" w:firstLine="720"/>
        <w:jc w:val="both"/>
        <w:rPr/>
      </w:pPr>
      <w:r>
        <w:rPr>
          <w:rFonts w:ascii="Times New Roman;sans-serif" w:hAnsi="Times New Roman;sans-serif"/>
          <w:b/>
          <w:color w:val="000000"/>
          <w:sz w:val="22"/>
        </w:rPr>
        <w:t>2.3</w:t>
      </w:r>
      <w:r>
        <w:rPr>
          <w:rFonts w:ascii="Times New Roman;sans-serif" w:hAnsi="Times New Roman;sans-serif"/>
          <w:b/>
          <w:color w:val="000000"/>
          <w:sz w:val="22"/>
        </w:rPr>
        <w:t>Repayment of Term Loans</w:t>
      </w:r>
      <w:r>
        <w:rPr>
          <w:rFonts w:ascii="Times New Roman;sans-serif" w:hAnsi="Times New Roman;sans-serif"/>
          <w:b w:val="false"/>
          <w:color w:val="000000"/>
          <w:sz w:val="22"/>
        </w:rPr>
        <w:t xml:space="preserve">. Beginning on March 31, 2021, the Term Loans shall be repaid in consecutive quarterly installments on the last day of each fiscal quarter, each of which </w:t>
      </w:r>
      <w:r>
        <w:br w:type="page"/>
      </w:r>
    </w:p>
    <w:p>
      <w:pPr>
        <w:pStyle w:val="TextBody"/>
        <w:spacing w:before="0" w:after="0"/>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60655"/>
                <wp:effectExtent l="0" t="0" r="0" b="0"/>
                <wp:wrapNone/>
                <wp:docPr id="293" name="Frame28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installments shall be in an amount equal to such Lender’s Term Percentage multiplied by the installment amount set forth below opposite such installment payment date:</w:t>
      </w:r>
    </w:p>
    <w:tbl>
      <w:tblPr>
        <w:tblW w:w="7215" w:type="dxa"/>
        <w:jc w:val="left"/>
        <w:tblInd w:w="0" w:type="dxa"/>
        <w:tblCellMar>
          <w:top w:w="28" w:type="dxa"/>
          <w:left w:w="28" w:type="dxa"/>
          <w:bottom w:w="28" w:type="dxa"/>
          <w:right w:w="28" w:type="dxa"/>
        </w:tblCellMar>
      </w:tblPr>
      <w:tblGrid>
        <w:gridCol w:w="1887"/>
        <w:gridCol w:w="1657"/>
        <w:gridCol w:w="1661"/>
        <w:gridCol w:w="588"/>
        <w:gridCol w:w="588"/>
        <w:gridCol w:w="834"/>
      </w:tblGrid>
      <w:tr>
        <w:trPr/>
        <w:tc>
          <w:tcPr>
            <w:tcW w:w="1887"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18"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Installment Payment Dates</w:t>
            </w:r>
          </w:p>
        </w:tc>
        <w:tc>
          <w:tcPr>
            <w:tcW w:w="201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18"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Installment Amount</w:t>
            </w:r>
          </w:p>
        </w:tc>
      </w:tr>
      <w:tr>
        <w:trPr/>
        <w:tc>
          <w:tcPr>
            <w:tcW w:w="52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1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31, 2021 through December 31, 2021</w:t>
            </w:r>
          </w:p>
        </w:tc>
        <w:tc>
          <w:tcPr>
            <w:tcW w:w="201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1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$250,000</w:t>
            </w:r>
          </w:p>
        </w:tc>
      </w:tr>
      <w:tr>
        <w:trPr/>
        <w:tc>
          <w:tcPr>
            <w:tcW w:w="52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1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31, 2022 through December 31, 2022</w:t>
            </w:r>
          </w:p>
        </w:tc>
        <w:tc>
          <w:tcPr>
            <w:tcW w:w="201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1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$750,000</w:t>
            </w:r>
          </w:p>
        </w:tc>
      </w:tr>
      <w:tr>
        <w:trPr/>
        <w:tc>
          <w:tcPr>
            <w:tcW w:w="520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1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31, 2023 through the Term Loan Maturity Date</w:t>
            </w:r>
          </w:p>
        </w:tc>
        <w:tc>
          <w:tcPr>
            <w:tcW w:w="201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1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w:t>
            </w:r>
          </w:p>
        </w:tc>
      </w:tr>
    </w:tbl>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not previously paid, all Term Loans shall be due and payable on the Term Loan Maturity Date, together with accrued and unpaid interest on the principal amount to be paid to but excluding the date of payment.</w:t>
      </w:r>
    </w:p>
    <w:p>
      <w:pPr>
        <w:pStyle w:val="TextBody"/>
        <w:spacing w:lineRule="auto" w:line="288" w:before="0" w:after="180"/>
        <w:ind w:left="0" w:right="0" w:firstLine="720"/>
        <w:jc w:val="both"/>
        <w:rPr/>
      </w:pPr>
      <w:r>
        <w:rPr>
          <w:rFonts w:ascii="Times New Roman;sans-serif" w:hAnsi="Times New Roman;sans-serif"/>
          <w:b/>
          <w:color w:val="000000"/>
          <w:sz w:val="22"/>
        </w:rPr>
        <w:t>2.4</w:t>
      </w:r>
      <w:r>
        <w:rPr>
          <w:rFonts w:ascii="Times New Roman;sans-serif" w:hAnsi="Times New Roman;sans-serif"/>
          <w:b/>
          <w:color w:val="000000"/>
          <w:sz w:val="22"/>
        </w:rPr>
        <w:t>Revolving Commitments.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terms and conditions hereof, each Revolving Lender severally agrees to make revolving credit loans (each, a “</w:t>
      </w:r>
      <w:r>
        <w:rPr>
          <w:rFonts w:ascii="Times New Roman;sans-serif" w:hAnsi="Times New Roman;sans-serif"/>
          <w:b/>
          <w:i/>
          <w:color w:val="000000"/>
          <w:sz w:val="22"/>
        </w:rPr>
        <w:t>Revolving Loan</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Revolving Loans</w:t>
      </w:r>
      <w:r>
        <w:rPr>
          <w:color w:val="000000"/>
        </w:rPr>
        <w:t>”</w:t>
      </w:r>
      <w:r>
        <w:rPr>
          <w:rFonts w:ascii="Times New Roman;sans-serif" w:hAnsi="Times New Roman;sans-serif"/>
          <w:b w:val="false"/>
          <w:color w:val="000000"/>
          <w:sz w:val="22"/>
        </w:rPr>
        <w:t xml:space="preserve">) to the Borrower from time to time during the Revolving Commitment Period in an aggregate principal amount at any one time outstanding which, when added to the aggregate amount of the Swingline Loans, the aggregate undrawn amount of all outstanding Letters of Credit, and the aggregate amount of all L/C Disbursements that have not yet been reimbursed or converted into Revolving Loans, incurred on behalf of the Borrower and owing to such Lender, does not exceed the amount of such Lender’s Revolving Commitment. In addition, (A) such aggregate obligations shall not at any time exceed the </w:t>
      </w:r>
      <w:r>
        <w:rPr>
          <w:rFonts w:ascii="Times New Roman;sans-serif" w:hAnsi="Times New Roman;sans-serif"/>
          <w:b w:val="false"/>
          <w:color w:val="000000"/>
          <w:sz w:val="22"/>
          <w:u w:val="single"/>
        </w:rPr>
        <w:t>lesser</w:t>
      </w:r>
      <w:r>
        <w:rPr>
          <w:color w:val="000000"/>
        </w:rPr>
        <w:t xml:space="preserve"> </w:t>
      </w:r>
      <w:r>
        <w:rPr>
          <w:rFonts w:ascii="Times New Roman;sans-serif" w:hAnsi="Times New Roman;sans-serif"/>
          <w:b w:val="false"/>
          <w:color w:val="000000"/>
          <w:sz w:val="22"/>
        </w:rPr>
        <w:t xml:space="preserve">of (i) the Total Revolving Commitments in effect at such time, and (ii) the Borrowing Base at such time and (B) in no event shall the aggregate undrawn amount of all outstanding Letters of Credit at such time, the aggregate amount of all L/C Disbursements that have not yet been reimbursed or converted into Revolving Loans at such time, the aggregate principal balance of any Revolving Loans (including Swingline Loans) outstanding at such time, and the aggregate principal balance of any Term Loans outstanding at such time, collectively exceed the Available Total Commitment. During the Revolving Commitment Period the Borrower may use the Revolving Commitments by borrowing, prepaying the Revolving Loans in whole or in part, and reborrowing, all in accordance with the terms and conditions hereof. The Revolving Loans may from time to time be Eurodollar Loans or ABR Loans, as determined by the Borrower and notified to the Administrative Agent in accordance with </w:t>
      </w:r>
      <w:r>
        <w:rPr>
          <w:rFonts w:ascii="Times New Roman;sans-serif" w:hAnsi="Times New Roman;sans-serif"/>
          <w:b w:val="false"/>
          <w:color w:val="000000"/>
          <w:sz w:val="22"/>
          <w:u w:val="single"/>
        </w:rPr>
        <w:t>Sections 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Borrower shall repay all outstanding Revolving Loans (including all outstanding Overadvances and Protective Overadvances) on the Revolving Termination Date.</w:t>
      </w:r>
    </w:p>
    <w:p>
      <w:pPr>
        <w:pStyle w:val="TextBody"/>
        <w:spacing w:lineRule="auto" w:line="288" w:before="0" w:after="180"/>
        <w:ind w:left="0" w:right="0" w:firstLine="720"/>
        <w:jc w:val="both"/>
        <w:rPr/>
      </w:pPr>
      <w:r>
        <w:rPr>
          <w:rFonts w:ascii="Times New Roman;sans-serif" w:hAnsi="Times New Roman;sans-serif"/>
          <w:b/>
          <w:color w:val="000000"/>
          <w:sz w:val="22"/>
        </w:rPr>
        <w:t>2.5</w:t>
      </w:r>
      <w:r>
        <w:rPr>
          <w:rFonts w:ascii="Times New Roman;sans-serif" w:hAnsi="Times New Roman;sans-serif"/>
          <w:b/>
          <w:color w:val="000000"/>
          <w:sz w:val="22"/>
        </w:rPr>
        <w:t>Procedure for Revolving Loan Borrowing</w:t>
      </w:r>
      <w:r>
        <w:rPr>
          <w:rFonts w:ascii="Times New Roman;sans-serif" w:hAnsi="Times New Roman;sans-serif"/>
          <w:b w:val="false"/>
          <w:color w:val="000000"/>
          <w:sz w:val="22"/>
        </w:rPr>
        <w:t xml:space="preserve">. The Borrower may borrow under the Revolving Commitments during the Revolving Commitment Period on any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give the Administrative Agent an irrevocable Notice of Borrowing (which must be received by the Administrative Agent prior to 10:00 A.M. (a) three (3) Business Days prior to the requested Borrowing Date, in the case of Eurodollar Loans, or (b) one (1) Business Day prior to the requested Borrowing Date, in the case of ABR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Notice of Borrowing of ABR Loans under the Revolving Facility to finance payments under </w:t>
      </w:r>
      <w:r>
        <w:rPr>
          <w:rFonts w:ascii="Times New Roman;sans-serif" w:hAnsi="Times New Roman;sans-serif"/>
          <w:b w:val="false"/>
          <w:color w:val="000000"/>
          <w:sz w:val="22"/>
          <w:u w:val="single"/>
        </w:rPr>
        <w:t>Section 3.5(a)</w:t>
      </w:r>
      <w:r>
        <w:rPr>
          <w:color w:val="000000"/>
        </w:rPr>
        <w:t xml:space="preserve"> </w:t>
      </w:r>
      <w:r>
        <w:rPr>
          <w:rFonts w:ascii="Times New Roman;sans-serif" w:hAnsi="Times New Roman;sans-serif"/>
          <w:b w:val="false"/>
          <w:color w:val="000000"/>
          <w:sz w:val="22"/>
        </w:rPr>
        <w:t xml:space="preserve">may be given not later than 10:00 A.M. on the date of the proposed borrowing), in each such case specifying (i) the amount and Type of Revolving Loans to be borrowed, (ii) the requested Borrowing Date, (iii) in the case of Eurodollar Loans, the respective amounts of each such Type of Loan and the respective lengths of the initial Interest Period therefor, and (iv) instructions for remittance of the proceeds of the applicable Loans to be borrowed. Unless otherwise agreed by the Administrative Agent in its sole discretion, no Revolving Loan may be made as, converted into or continued as a Eurodollar Loan having an Interest Period in </w:t>
      </w:r>
      <w:r>
        <w:br w:type="page"/>
      </w:r>
    </w:p>
    <w:p>
      <w:pPr>
        <w:pStyle w:val="TextBody"/>
        <w:spacing w:before="0" w:after="0"/>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60655"/>
                <wp:effectExtent l="0" t="0" r="0" b="0"/>
                <wp:wrapNone/>
                <wp:docPr id="294" name="Frame28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excess of one month prior to the date that is 30 days after the Closing Date. Each borrowing under the Revolving Commitments shall be in an amount equal to in the case of ABR Loans, $100,000 or a whole multiple of $100,000 in excess thereof (or, if the then Available Revolving Commitment are less than $100,000, such lesser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Swingline Lender may request, on behalf of the Borrower, borrowings under the Revolving Commitments that are ABR Loans in other amounts pursuant to </w:t>
      </w:r>
      <w:r>
        <w:rPr>
          <w:rFonts w:ascii="Times New Roman;sans-serif" w:hAnsi="Times New Roman;sans-serif"/>
          <w:b w:val="false"/>
          <w:color w:val="000000"/>
          <w:sz w:val="22"/>
          <w:u w:val="single"/>
        </w:rPr>
        <w:t>Section 2.7</w:t>
      </w:r>
      <w:r>
        <w:rPr>
          <w:rFonts w:ascii="Times New Roman;sans-serif" w:hAnsi="Times New Roman;sans-serif"/>
          <w:b w:val="false"/>
          <w:color w:val="000000"/>
          <w:sz w:val="22"/>
        </w:rPr>
        <w:t xml:space="preserve">. Upon receipt of any such Notice of Borrowing from the Borrower, the Administrative Agent shall promptly notify each Revolving Lender thereof. Each Revolving Lender will make the amount of its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share of each such borrowing available to the Administrative Agent for the account of the Borrower at the Revolving Loan Funding Office prior to 12:00 P.M.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 or, if so specified in the Flow of Funds Agreement, the Administrative Agent shall wire transfer all or a portion of such aggregate amounts in accordance with the wire instructions specified therein.</w:t>
      </w:r>
    </w:p>
    <w:p>
      <w:pPr>
        <w:pStyle w:val="TextBody"/>
        <w:spacing w:lineRule="auto" w:line="288" w:before="0" w:after="180"/>
        <w:ind w:left="0" w:right="0" w:firstLine="720"/>
        <w:jc w:val="both"/>
        <w:rPr/>
      </w:pPr>
      <w:r>
        <w:rPr>
          <w:rFonts w:ascii="Times New Roman;sans-serif" w:hAnsi="Times New Roman;sans-serif"/>
          <w:b/>
          <w:color w:val="000000"/>
          <w:sz w:val="22"/>
        </w:rPr>
        <w:t>2.6</w:t>
      </w:r>
      <w:r>
        <w:rPr>
          <w:rFonts w:ascii="Times New Roman;sans-serif" w:hAnsi="Times New Roman;sans-serif"/>
          <w:b/>
          <w:color w:val="000000"/>
          <w:sz w:val="22"/>
        </w:rPr>
        <w:t>Swingline Commitment</w:t>
      </w:r>
      <w:r>
        <w:rPr>
          <w:rFonts w:ascii="Times New Roman;sans-serif" w:hAnsi="Times New Roman;sans-serif"/>
          <w:b w:val="false"/>
          <w:color w:val="000000"/>
          <w:sz w:val="22"/>
        </w:rPr>
        <w:t>. Subject to the terms and conditions hereof, the Swingline Lender agrees to make available a portion of the credit accommodations otherwise available to the Borrower under the Revolving Commitments from time to time during the Revolving Commitment Period by making swing line loans (each a “</w:t>
      </w:r>
      <w:r>
        <w:rPr>
          <w:rFonts w:ascii="Times New Roman;sans-serif" w:hAnsi="Times New Roman;sans-serif"/>
          <w:b/>
          <w:i/>
          <w:color w:val="000000"/>
          <w:sz w:val="22"/>
        </w:rPr>
        <w:t>Swingline Loan</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Swingline Loans</w:t>
      </w:r>
      <w:r>
        <w:rPr>
          <w:color w:val="000000"/>
        </w:rPr>
        <w:t>”</w:t>
      </w:r>
      <w:r>
        <w:rPr>
          <w:rFonts w:ascii="Times New Roman;sans-serif" w:hAnsi="Times New Roman;sans-serif"/>
          <w:b w:val="false"/>
          <w:color w:val="000000"/>
          <w:sz w:val="22"/>
        </w:rPr>
        <w:t xml:space="preserve">) to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Available Revolving Commitment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5.2(c)</w:t>
      </w:r>
      <w:r>
        <w:rPr>
          <w:rFonts w:ascii="Times New Roman;sans-serif" w:hAnsi="Times New Roman;sans-serif"/>
          <w:b w:val="false"/>
          <w:color w:val="000000"/>
          <w:sz w:val="22"/>
        </w:rPr>
        <w:t>) is not then satisfied and has had a reasonable opportunity to react to such notice and ending when such conditions are satisfied or duly waived.</w:t>
      </w:r>
    </w:p>
    <w:p>
      <w:pPr>
        <w:pStyle w:val="TextBody"/>
        <w:spacing w:lineRule="auto" w:line="288" w:before="0" w:after="180"/>
        <w:ind w:left="0" w:right="0" w:firstLine="720"/>
        <w:jc w:val="both"/>
        <w:rPr/>
      </w:pPr>
      <w:r>
        <w:rPr>
          <w:rFonts w:ascii="Times New Roman;sans-serif" w:hAnsi="Times New Roman;sans-serif"/>
          <w:b/>
          <w:color w:val="000000"/>
          <w:sz w:val="22"/>
        </w:rPr>
        <w:t>2.7</w:t>
      </w:r>
      <w:r>
        <w:rPr>
          <w:rFonts w:ascii="Times New Roman;sans-serif" w:hAnsi="Times New Roman;sans-serif"/>
          <w:b/>
          <w:color w:val="000000"/>
          <w:sz w:val="22"/>
        </w:rPr>
        <w:t>Procedure for Swingline Borrowing; Refunding of Swingline Loans.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(or, if the then Available Revolving Commitment are less than $100,000, such lesser amount).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w:t>
      </w:r>
      <w:r>
        <w:br w:type="page"/>
      </w:r>
    </w:p>
    <w:p>
      <w:pPr>
        <w:pStyle w:val="TextBody"/>
        <w:spacing w:before="0" w:after="0"/>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60655"/>
                <wp:effectExtent l="0" t="0" r="0" b="0"/>
                <wp:wrapNone/>
                <wp:docPr id="295" name="Frame28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refinanced by the advance of a Revolving Loan pursuant to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such Swingline Loan shall be repaid by the Borrower no later than five (5) Business Days after the advance of such Swingline Loan.</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Swingline Lender, at any time and from time to time in its sole and absolute discretion may, on behalf of the Borrower (which hereby irrevocably directs the Swingline Lender to act on its behalf), on one (1)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sans-serif" w:hAnsi="Times New Roman;sans-serif"/>
          <w:b/>
          <w:i/>
          <w:color w:val="000000"/>
          <w:sz w:val="22"/>
        </w:rPr>
        <w:t>Refunded Swingline Loan</w:t>
      </w:r>
      <w:r>
        <w:rPr>
          <w:color w:val="000000"/>
        </w:rPr>
        <w:t>”</w:t>
      </w:r>
      <w:r>
        <w:rPr>
          <w:rFonts w:ascii="Times New Roman;sans-serif" w:hAnsi="Times New Roman;sans-serif"/>
          <w:b w:val="false"/>
          <w:color w:val="000000"/>
          <w:sz w:val="22"/>
        </w:rPr>
        <w:t>) outstanding on the date of such notice, to repay the Swingline Lender. Each Revolving Lender shall make the amount of such Revolving Loan available to the Administrative Agent at the Revolving Loan Funding Office in immediately available funds, not later than 10:00 A.M. one (1)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outstanding amount of any Refunded Swingline Loan to the extent amounts received from the Revolving Lenders are not sufficient to repay in full such Refunded Swingline Loan.</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If prior to the time that the Borrower has repaid the Swingline Loans pursuant to </w:t>
      </w:r>
      <w:r>
        <w:rPr>
          <w:rFonts w:ascii="Times New Roman;sans-serif" w:hAnsi="Times New Roman;sans-serif"/>
          <w:b w:val="false"/>
          <w:color w:val="000000"/>
          <w:sz w:val="22"/>
          <w:u w:val="single"/>
        </w:rPr>
        <w:t>Section 2.7(a)</w:t>
      </w:r>
      <w:r>
        <w:rPr>
          <w:color w:val="000000"/>
        </w:rPr>
        <w:t xml:space="preserve"> </w:t>
      </w:r>
      <w:r>
        <w:rPr>
          <w:rFonts w:ascii="Times New Roman;sans-serif" w:hAnsi="Times New Roman;sans-serif"/>
          <w:b w:val="false"/>
          <w:color w:val="000000"/>
          <w:sz w:val="22"/>
        </w:rPr>
        <w:t xml:space="preserve">or a Revolving Loan has been made pursuant to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xml:space="preserve">, one of the events described in </w:t>
      </w:r>
      <w:r>
        <w:rPr>
          <w:rFonts w:ascii="Times New Roman;sans-serif" w:hAnsi="Times New Roman;sans-serif"/>
          <w:b w:val="false"/>
          <w:color w:val="000000"/>
          <w:sz w:val="22"/>
          <w:u w:val="single"/>
        </w:rPr>
        <w:t>Section 8.1(f)</w:t>
      </w:r>
      <w:r>
        <w:rPr>
          <w:color w:val="000000"/>
        </w:rPr>
        <w:t xml:space="preserve"> </w:t>
      </w:r>
      <w:r>
        <w:rPr>
          <w:rFonts w:ascii="Times New Roman;sans-serif" w:hAnsi="Times New Roman;sans-serif"/>
          <w:b w:val="false"/>
          <w:color w:val="000000"/>
          <w:sz w:val="22"/>
        </w:rPr>
        <w:t xml:space="preserve">shall have occurred or if for any other reason, as determined by the Swingline Lender in its sole discretion, Revolving Loans may not be made as contemplated by </w:t>
      </w:r>
      <w:r>
        <w:rPr>
          <w:rFonts w:ascii="Times New Roman;sans-serif" w:hAnsi="Times New Roman;sans-serif"/>
          <w:b w:val="false"/>
          <w:color w:val="000000"/>
          <w:sz w:val="22"/>
          <w:u w:val="single"/>
        </w:rPr>
        <w:t>Section 2.7(b)</w:t>
      </w:r>
      <w:r>
        <w:rPr>
          <w:rFonts w:ascii="Times New Roman;sans-serif" w:hAnsi="Times New Roman;sans-serif"/>
          <w:b w:val="false"/>
          <w:color w:val="000000"/>
          <w:sz w:val="22"/>
        </w:rPr>
        <w:t xml:space="preserve">, each Revolving Lender shall, on the date such Revolving Loan was to have been made pursuant to the notice referred to in </w:t>
      </w:r>
      <w:r>
        <w:rPr>
          <w:rFonts w:ascii="Times New Roman;sans-serif" w:hAnsi="Times New Roman;sans-serif"/>
          <w:b w:val="false"/>
          <w:color w:val="000000"/>
          <w:sz w:val="22"/>
          <w:u w:val="single"/>
        </w:rPr>
        <w:t>Section 2.7(b)</w:t>
      </w:r>
      <w:r>
        <w:rPr>
          <w:color w:val="000000"/>
        </w:rPr>
        <w:t xml:space="preserve"> </w:t>
      </w:r>
      <w:r>
        <w:rPr>
          <w:rFonts w:ascii="Times New Roman;sans-serif" w:hAnsi="Times New Roman;sans-serif"/>
          <w:b w:val="false"/>
          <w:color w:val="000000"/>
          <w:sz w:val="22"/>
        </w:rPr>
        <w:t>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Times New Roman;sans-serif" w:hAnsi="Times New Roman;sans-serif"/>
          <w:b/>
          <w:i/>
          <w:color w:val="000000"/>
          <w:sz w:val="22"/>
        </w:rPr>
        <w:t>Swingline Participation Amount</w:t>
      </w:r>
      <w:r>
        <w:rPr>
          <w:color w:val="000000"/>
        </w:rPr>
        <w:t>”</w:t>
      </w:r>
      <w:r>
        <w:rPr>
          <w:rFonts w:ascii="Times New Roman;sans-serif" w:hAnsi="Times New Roman;sans-serif"/>
          <w:b w:val="false"/>
          <w:color w:val="000000"/>
          <w:sz w:val="22"/>
        </w:rPr>
        <w:t xml:space="preserve">) equal to (i) such Revolving Lender’s Revolving Percentage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(ii) the sum of the aggregate principal amount of the outstanding Swingline Loans that were to have been repaid with such Revolving Loans.</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event that such payment received by the Swingline Lender is required to be returned, such Revolving Lender will return to the Swingline Lender any portion thereof previously distributed to it by the Swingline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Each Revolving Lender’s obligation to make the Loans referred to in </w:t>
      </w:r>
      <w:r>
        <w:rPr>
          <w:rFonts w:ascii="Times New Roman;sans-serif" w:hAnsi="Times New Roman;sans-serif"/>
          <w:b w:val="false"/>
          <w:color w:val="000000"/>
          <w:sz w:val="22"/>
          <w:u w:val="single"/>
        </w:rPr>
        <w:t>Section 2.7(b)</w:t>
      </w:r>
      <w:r>
        <w:rPr>
          <w:color w:val="000000"/>
        </w:rPr>
        <w:t xml:space="preserve"> </w:t>
      </w:r>
      <w:r>
        <w:rPr>
          <w:rFonts w:ascii="Times New Roman;sans-serif" w:hAnsi="Times New Roman;sans-serif"/>
          <w:b w:val="false"/>
          <w:color w:val="000000"/>
          <w:sz w:val="22"/>
        </w:rPr>
        <w:t xml:space="preserve">and to purchase participating interests pursuant to </w:t>
      </w:r>
      <w:r>
        <w:rPr>
          <w:rFonts w:ascii="Times New Roman;sans-serif" w:hAnsi="Times New Roman;sans-serif"/>
          <w:b w:val="false"/>
          <w:color w:val="000000"/>
          <w:sz w:val="22"/>
          <w:u w:val="single"/>
        </w:rPr>
        <w:t>Section 2.7(c)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sans-serif" w:hAnsi="Times New Roman;sans-serif"/>
          <w:b w:val="false"/>
          <w:color w:val="000000"/>
          <w:sz w:val="22"/>
          <w:u w:val="single"/>
        </w:rPr>
        <w:t>Section 5</w:t>
      </w:r>
      <w:r>
        <w:rPr>
          <w:rFonts w:ascii="Times New Roman;sans-serif" w:hAnsi="Times New Roman;sans-serif"/>
          <w:b w:val="false"/>
          <w:color w:val="000000"/>
          <w:sz w:val="22"/>
        </w:rPr>
        <w:t xml:space="preserve">, (iii) any adverse change in the condition (financial or otherwise) of the Borrower, (iv) any breach of this </w:t>
      </w:r>
      <w:r>
        <w:br w:type="page"/>
      </w:r>
    </w:p>
    <w:p>
      <w:pPr>
        <w:pStyle w:val="TextBody"/>
        <w:spacing w:before="0" w:after="0"/>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60655"/>
                <wp:effectExtent l="0" t="0" r="0" b="0"/>
                <wp:wrapNone/>
                <wp:docPr id="296" name="Frame28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Agreement or any other Loan Document by the Borrower, any other Loan Party or any other Revolving Lender, or (v) any other circumstance, happening or event whatsoever, whether or not similar to any of the foregoing.</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From and after the effective date of any such resignation or replacement, (i) the successor Swingline Lender shall have all the rights and obligations of the Swingline Lender under this Agreement with respect to Swingline Loans to be made by it thereafter and (ii) references herein and in the other Loan Documents to the term “Swingline Lender” shall be deemed to refer to such successor or to any previous Swingline Lender, or to such successor and all previous Swingline Lenders, as the context shall require.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pStyle w:val="TextBody"/>
        <w:spacing w:lineRule="auto" w:line="288" w:before="0" w:after="180"/>
        <w:ind w:left="0" w:right="0" w:firstLine="720"/>
        <w:jc w:val="both"/>
        <w:rPr/>
      </w:pPr>
      <w:r>
        <w:rPr>
          <w:rFonts w:ascii="Times New Roman;sans-serif" w:hAnsi="Times New Roman;sans-serif"/>
          <w:b/>
          <w:color w:val="000000"/>
          <w:sz w:val="22"/>
        </w:rPr>
        <w:t>2.8</w:t>
      </w:r>
      <w:r>
        <w:rPr>
          <w:rFonts w:ascii="Times New Roman;sans-serif" w:hAnsi="Times New Roman;sans-serif"/>
          <w:b/>
          <w:color w:val="000000"/>
          <w:sz w:val="22"/>
        </w:rPr>
        <w:t>Overadvances</w:t>
      </w:r>
      <w:r>
        <w:rPr>
          <w:rFonts w:ascii="Times New Roman;sans-serif" w:hAnsi="Times New Roman;sans-serif"/>
          <w:b w:val="false"/>
          <w:color w:val="000000"/>
          <w:sz w:val="22"/>
        </w:rPr>
        <w:t xml:space="preserve">; </w:t>
      </w:r>
      <w:r>
        <w:rPr>
          <w:rFonts w:ascii="Times New Roman;sans-serif" w:hAnsi="Times New Roman;sans-serif"/>
          <w:b/>
          <w:color w:val="000000"/>
          <w:sz w:val="22"/>
        </w:rPr>
        <w:t>Protective Overadvances</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at any time or for any reason the aggregate amount of (A) all Revolving Extensions of Credit of all of the Lenders exceeds the lesser of (x) the amount of the Total Revolving Commitments then in effect, and (y) the amount of the Borrowing Base then in effect or (B) the aggregate undrawn amount of all outstanding Letters of Credit at such time, the aggregate amount of Revolving Extensions of Credit and the aggregate principal balance of any Term Loans outstanding at such time collectively exceeds the Available Total Commitment (any such excess, an “</w:t>
      </w:r>
      <w:r>
        <w:rPr>
          <w:rFonts w:ascii="Times New Roman;sans-serif" w:hAnsi="Times New Roman;sans-serif"/>
          <w:b/>
          <w:i/>
          <w:color w:val="000000"/>
          <w:sz w:val="22"/>
        </w:rPr>
        <w:t>Overadvance</w:t>
      </w:r>
      <w:r>
        <w:rPr>
          <w:color w:val="000000"/>
        </w:rPr>
        <w:t>”</w:t>
      </w:r>
      <w:r>
        <w:rPr>
          <w:rFonts w:ascii="Times New Roman;sans-serif" w:hAnsi="Times New Roman;sans-serif"/>
          <w:b w:val="false"/>
          <w:color w:val="000000"/>
          <w:sz w:val="22"/>
        </w:rPr>
        <w:t xml:space="preserve">), the Borrower shall, within one (1) Business Day, from the receipt of a request by the Administrative Agent therefore pay the full amount of such Overadvance to the Administrative Agent, without notice or demand, for application against, first, the Revolving Extensions of Credit in accordance with the terms hereof and second, to prepay the Term Loans in accordance with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 xml:space="preserve">. Any prepayment of any Loan that is a Eurodollar Loan hereunder shall be subject to Borrower’s obligation to pay any amounts owing pursuant to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Upon the occurrence and during the continuance of an Event of Default, the Administrative Agent, in its sole discretion, may make Revolving Loans to the Borrower on behalf of the Lenders, so long as the aggregate amount of such Revolving Loans shall not exceed the lesser of (y) ten percent (10%) of the Borrowing Base (if then applicable) and (z) ten percent (10%) of the Commitments, if the Administrative Agent, in its reasonable credit judgment, deems that such Revolving Loans are necessary or desirable (i) to protect all or any portion of the Collateral, (ii) to enhance the likelihood or maximize the amount of repayment of the Loans and the other Obligations or (iii) to pay any other amount chargeable to the Borrower pursuant to this Agreement (such Revolving Loans, “</w:t>
      </w:r>
      <w:r>
        <w:rPr>
          <w:rFonts w:ascii="Times New Roman;sans-serif" w:hAnsi="Times New Roman;sans-serif"/>
          <w:b/>
          <w:i/>
          <w:color w:val="000000"/>
          <w:sz w:val="22"/>
        </w:rPr>
        <w:t>Protective Overadvances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in no event shall the Total Revolving Extensions of Credit exceed the amount of the Total Revolving Commitments then in effect and (B) the Borrower shall repay each Protective Overadvance on the date which is the earlier of (x) the 30th day after the date of incurrence of such Protective Overadvance and (y) the date the Required Lenders provide written notice to the Administrative Agent and the Borrower requiring the Borrower to repay such Protective Overadvance. Each applicable Lender shall be obligated to advance to the Borrower its Revolving Percentage of each Protective Overadvance made in accordance with this </w:t>
      </w:r>
      <w:r>
        <w:rPr>
          <w:rFonts w:ascii="Times New Roman;sans-serif" w:hAnsi="Times New Roman;sans-serif"/>
          <w:b w:val="false"/>
          <w:color w:val="000000"/>
          <w:sz w:val="22"/>
          <w:u w:val="single"/>
        </w:rPr>
        <w:t>Section 2.8(b)</w:t>
      </w:r>
      <w:r>
        <w:rPr>
          <w:rFonts w:ascii="Times New Roman;sans-serif" w:hAnsi="Times New Roman;sans-serif"/>
          <w:b w:val="false"/>
          <w:color w:val="000000"/>
          <w:sz w:val="22"/>
        </w:rPr>
        <w:t xml:space="preserve">. If Protective Overadvances are made in accordance with the preceding sentence, then all Revolving Lenders shall be bound to make, or </w:t>
      </w:r>
      <w:r>
        <w:br w:type="page"/>
      </w:r>
    </w:p>
    <w:p>
      <w:pPr>
        <w:pStyle w:val="TextBody"/>
        <w:spacing w:before="0" w:after="0"/>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60655"/>
                <wp:effectExtent l="0" t="0" r="0" b="0"/>
                <wp:wrapNone/>
                <wp:docPr id="297" name="Frame29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permit to remain outstanding, such Protective Overadvances based upon their Revolving Percentages in accordance with the terms of this Agreement. All Protective Overadvances shall be secured by the Collateral and shall bear interest as provided in this Agreement for Revolving Loans generally.</w:t>
      </w:r>
    </w:p>
    <w:p>
      <w:pPr>
        <w:pStyle w:val="TextBody"/>
        <w:spacing w:lineRule="auto" w:line="288" w:before="0" w:after="180"/>
        <w:ind w:left="0" w:right="0" w:firstLine="720"/>
        <w:jc w:val="both"/>
        <w:rPr/>
      </w:pPr>
      <w:r>
        <w:rPr>
          <w:rFonts w:ascii="Times New Roman;sans-serif" w:hAnsi="Times New Roman;sans-serif"/>
          <w:b/>
          <w:color w:val="000000"/>
          <w:sz w:val="22"/>
        </w:rPr>
        <w:t>2.9</w:t>
      </w:r>
      <w:r>
        <w:rPr>
          <w:rFonts w:ascii="Times New Roman;sans-serif" w:hAnsi="Times New Roman;sans-serif"/>
          <w:b/>
          <w:color w:val="000000"/>
          <w:sz w:val="22"/>
        </w:rPr>
        <w:t>Fees.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The Borrower agrees to pay to the Administrative Agent the fees specified in the Fee Letter.</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Commitment Fee</w:t>
      </w:r>
      <w:r>
        <w:rPr>
          <w:rFonts w:ascii="Times New Roman;sans-serif" w:hAnsi="Times New Roman;sans-serif"/>
          <w:b w:val="false"/>
          <w:color w:val="000000"/>
          <w:sz w:val="22"/>
        </w:rPr>
        <w:t>. As additional compensation for the Revolving Commitments, the Borrower shall pay to the Administrative Agent for the account of the Lenders, in arrears, on the last day of each quarter prior to the Revolving Termination Date and on the Revolving Termination Date, a fee (each, a “</w:t>
      </w:r>
      <w:r>
        <w:rPr>
          <w:rFonts w:ascii="Times New Roman;sans-serif" w:hAnsi="Times New Roman;sans-serif"/>
          <w:b/>
          <w:i/>
          <w:color w:val="000000"/>
          <w:sz w:val="22"/>
        </w:rPr>
        <w:t>Commitment Fee</w:t>
      </w:r>
      <w:r>
        <w:rPr>
          <w:color w:val="000000"/>
        </w:rPr>
        <w:t>”</w:t>
      </w:r>
      <w:r>
        <w:rPr>
          <w:rFonts w:ascii="Times New Roman;sans-serif" w:hAnsi="Times New Roman;sans-serif"/>
          <w:b w:val="false"/>
          <w:color w:val="000000"/>
          <w:sz w:val="22"/>
        </w:rPr>
        <w:t xml:space="preserve">) for the Borrower’s non-use of available funds in an amount equal to the Commitment Fee Rate per annum multiplied by the </w:t>
      </w:r>
      <w:r>
        <w:rPr>
          <w:rFonts w:ascii="Times New Roman;sans-serif" w:hAnsi="Times New Roman;sans-serif"/>
          <w:b w:val="false"/>
          <w:color w:val="000000"/>
          <w:sz w:val="22"/>
          <w:u w:val="single"/>
        </w:rPr>
        <w:t>difference</w:t>
      </w:r>
      <w:r>
        <w:rPr>
          <w:color w:val="000000"/>
        </w:rPr>
        <w:t xml:space="preserve"> </w:t>
      </w:r>
      <w:r>
        <w:rPr>
          <w:rFonts w:ascii="Times New Roman;sans-serif" w:hAnsi="Times New Roman;sans-serif"/>
          <w:b w:val="false"/>
          <w:color w:val="000000"/>
          <w:sz w:val="22"/>
        </w:rPr>
        <w:t>between (x) the Total Revolving Commitments (as they may be reduced from time to time) and (y) the sum of (A) the average for the period of the daily closing balance of the Revolving Loans,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at such time.</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Fees Nonrefundable</w:t>
      </w:r>
      <w:r>
        <w:rPr>
          <w:rFonts w:ascii="Times New Roman;sans-serif" w:hAnsi="Times New Roman;sans-serif"/>
          <w:b w:val="false"/>
          <w:color w:val="000000"/>
          <w:sz w:val="22"/>
        </w:rPr>
        <w:t xml:space="preserve">. All fees payable under this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shall be fully earned on the date paid and nonrefundable.</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Increase in Fees</w:t>
      </w:r>
      <w:r>
        <w:rPr>
          <w:rFonts w:ascii="Times New Roman;sans-serif" w:hAnsi="Times New Roman;sans-serif"/>
          <w:b w:val="false"/>
          <w:color w:val="000000"/>
          <w:sz w:val="22"/>
        </w:rPr>
        <w:t xml:space="preserve">. At any time that an Event of Default exists and is continuing, upon the request of the Required Lenders, the amount of any due and payable Commitment Fees shall be increased by adding two percent (2.00%) per annum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Default Rate shall apply to such Commitment Fees automatically and without any Required Lender request or consent therefor upon the occurrence of any Event of Default arising under </w:t>
      </w:r>
      <w:r>
        <w:rPr>
          <w:rFonts w:ascii="Times New Roman;sans-serif" w:hAnsi="Times New Roman;sans-serif"/>
          <w:b w:val="false"/>
          <w:color w:val="000000"/>
          <w:sz w:val="22"/>
          <w:u w:val="single"/>
        </w:rPr>
        <w:t>Section 8.1(a)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it being clarified that such Default Rate shall be in lieu of (and not in addition to) the aforementioned two percent (2.00%) increase.</w:t>
      </w:r>
    </w:p>
    <w:p>
      <w:pPr>
        <w:pStyle w:val="TextBody"/>
        <w:spacing w:lineRule="auto" w:line="288" w:before="0" w:after="180"/>
        <w:ind w:left="0" w:right="0" w:firstLine="720"/>
        <w:jc w:val="both"/>
        <w:rPr/>
      </w:pPr>
      <w:r>
        <w:rPr>
          <w:rFonts w:ascii="Times New Roman;sans-serif" w:hAnsi="Times New Roman;sans-serif"/>
          <w:b/>
          <w:color w:val="000000"/>
          <w:sz w:val="22"/>
        </w:rPr>
        <w:t>2.10</w:t>
      </w:r>
      <w:r>
        <w:rPr>
          <w:rFonts w:ascii="Times New Roman;sans-serif" w:hAnsi="Times New Roman;sans-serif"/>
          <w:b/>
          <w:color w:val="000000"/>
          <w:sz w:val="22"/>
        </w:rPr>
        <w:t xml:space="preserve">Termination or Reduction of Revolving Commitments. </w:t>
      </w:r>
      <w:r>
        <w:rPr>
          <w:rFonts w:ascii="Times New Roman;sans-serif" w:hAnsi="Times New Roman;sans-serif"/>
          <w:b w:val="false"/>
          <w:color w:val="000000"/>
          <w:sz w:val="22"/>
        </w:rPr>
        <w:t xml:space="preserve">The Borrower shall have the right, without premium or penalty, upon not less than three (3) Business Days’ notice to the Administrative Agent, to terminate the Revolving Commitments or, from time to time, to reduce the amount of the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termination or reduction of the Revolving Commitments shall be permitted if, after giving effect thereto and to any prepayments of the Revolving Loans and Swingline Loans made on the effective date thereof, the Total Revolving Extensions of Credit would exceed the Available Revolving Commitment. Any such reduction shall be in an amount equal to $1,000,000, or a whole multiple thereof (or, if the then Revolving Commitments are less than $1,000,000, such lesser amount), and shall reduce permanently the Revolving Commitments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if in connection with any such reduction or termination of the Revolving Commitments a Eurodollar Loan is prepaid on any day other than the last day of the Interest Period applicable thereto, the Borrower shall also pay any amounts owing pursuant to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xml:space="preserve">. The Borrower shall have the right, without premium or penalty, upon not less than three (3) Business Days’ notice to the Administrative Agent, to terminate the L/C Commitments or, from time to time, to reduce the amount of the L/C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L/C </w:t>
      </w:r>
      <w:r>
        <w:br w:type="page"/>
      </w:r>
    </w:p>
    <w:p>
      <w:pPr>
        <w:pStyle w:val="TextBody"/>
        <w:spacing w:before="0" w:after="0"/>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60655"/>
                <wp:effectExtent l="0" t="0" r="0" b="0"/>
                <wp:wrapNone/>
                <wp:docPr id="298" name="Frame29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Commitments are less than $1,000,000, such lesser amount), and shall reduce permanently the L/C Commitments then in effect.</w:t>
      </w:r>
    </w:p>
    <w:p>
      <w:pPr>
        <w:pStyle w:val="TextBody"/>
        <w:spacing w:lineRule="auto" w:line="288" w:before="0" w:after="180"/>
        <w:ind w:left="0" w:right="0" w:firstLine="720"/>
        <w:jc w:val="both"/>
        <w:rPr/>
      </w:pPr>
      <w:r>
        <w:rPr>
          <w:rFonts w:ascii="Times New Roman;sans-serif" w:hAnsi="Times New Roman;sans-serif"/>
          <w:b/>
          <w:color w:val="000000"/>
          <w:sz w:val="22"/>
        </w:rPr>
        <w:t>2.11</w:t>
      </w:r>
      <w:r>
        <w:rPr>
          <w:rFonts w:ascii="Times New Roman;sans-serif" w:hAnsi="Times New Roman;sans-serif"/>
          <w:b/>
          <w:color w:val="000000"/>
          <w:sz w:val="22"/>
        </w:rPr>
        <w:t xml:space="preserve">Optional Loan Prepayments. </w:t>
      </w:r>
      <w:r>
        <w:rPr>
          <w:rFonts w:ascii="Times New Roman;sans-serif" w:hAnsi="Times New Roman;sans-serif"/>
          <w:b w:val="false"/>
          <w:color w:val="000000"/>
          <w:sz w:val="22"/>
        </w:rPr>
        <w:t xml:space="preserve">The Borrower may at any time and from time to time prepay the Loans, in whole or in part, without premium or penalty, upon irrevocable notice delivered to the Administrative Agent no later than 10:00 A.M. three (3) Business Days prior thereto, in the case of Eurodollar Loans, and no later than 10:00 A.M. one (1) Business Day prior thereto, in the case of ABR Loans, which notice shall specify the date and amount of the proposed prepayment;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Eurodollar Loan is prepaid on any day other than the last day of the Interest Period applicable thereto, the Borrower shall also pay any amounts owing pursuant to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such notice of prepayment indicates that such prepayment is to be funded with the proceeds of a refinancing, such notice of prepayment may be revoked if the financing is not consummated.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and Revolving Loans shall be in an aggregate principal amount of $1,000,000 or a whole multiple thereof (or, if the then outstanding Term Loans or Revolving Loans are less than $1,000,000, such lesser amount). Partial prepayments of Swingline Loans shall be in an aggregate principal amount of $100,000 or a whole multiple thereof (or, if the then outstanding Swingline Loans are less than $100,000, such lesser amount).</w:t>
      </w:r>
    </w:p>
    <w:p>
      <w:pPr>
        <w:pStyle w:val="TextBody"/>
        <w:spacing w:lineRule="auto" w:line="288" w:before="0" w:after="180"/>
        <w:ind w:left="0" w:right="0" w:firstLine="720"/>
        <w:jc w:val="both"/>
        <w:rPr/>
      </w:pPr>
      <w:r>
        <w:rPr>
          <w:rFonts w:ascii="Times New Roman;sans-serif" w:hAnsi="Times New Roman;sans-serif"/>
          <w:b/>
          <w:color w:val="000000"/>
          <w:sz w:val="22"/>
        </w:rPr>
        <w:t>2.12</w:t>
      </w:r>
      <w:r>
        <w:rPr>
          <w:rFonts w:ascii="Times New Roman;sans-serif" w:hAnsi="Times New Roman;sans-serif"/>
          <w:b/>
          <w:color w:val="000000"/>
          <w:sz w:val="22"/>
        </w:rPr>
        <w:t>Mandatory Prepayments.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[Reserved].</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any Indebtedness shall be incurred by any Group Member (excluding any Indebtedness incurred in accordance with </w:t>
      </w:r>
      <w:r>
        <w:rPr>
          <w:rFonts w:ascii="Times New Roman;sans-serif" w:hAnsi="Times New Roman;sans-serif"/>
          <w:b w:val="false"/>
          <w:color w:val="000000"/>
          <w:sz w:val="22"/>
          <w:u w:val="single"/>
        </w:rPr>
        <w:t xml:space="preserve">Section 7.2 </w:t>
      </w:r>
      <w:r>
        <w:rPr>
          <w:rFonts w:ascii="Times New Roman;sans-serif" w:hAnsi="Times New Roman;sans-serif"/>
          <w:b w:val="false"/>
          <w:color w:val="000000"/>
          <w:sz w:val="22"/>
        </w:rPr>
        <w:t xml:space="preserve">but including any Overadvance set forth in Section 2.8(a), an amount equal to 100% of the Net Cash Proceeds thereof shall be applied on the date of such incurrence toward the prepayment of the Term Loans and other amounts as set forth in </w:t>
      </w:r>
      <w:r>
        <w:rPr>
          <w:rFonts w:ascii="Times New Roman;sans-serif" w:hAnsi="Times New Roman;sans-serif"/>
          <w:b w:val="false"/>
          <w:color w:val="000000"/>
          <w:sz w:val="22"/>
          <w:u w:val="single"/>
        </w:rPr>
        <w:t>Section 2.12(e)</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If on any date any Group Member shall receive Net Cash Proceeds from any Asset Sale or Recovery Event then, unless a Reinvestment Notice shall be delivered in respect thereof, such Net Cash Proceeds shall be applied on such date toward the prepayment of the Loans and other amounts as set forth in </w:t>
      </w:r>
      <w:r>
        <w:rPr>
          <w:rFonts w:ascii="Times New Roman;sans-serif" w:hAnsi="Times New Roman;sans-serif"/>
          <w:b w:val="false"/>
          <w:color w:val="000000"/>
          <w:sz w:val="22"/>
          <w:u w:val="single"/>
        </w:rPr>
        <w:t>Section 2.12(e)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the foregoing, on each Reinvestment Prepayment Date, an amount equal to the Reinvestment Prepayment Amount with respect to the relevant Reinvestment Event shall be applied toward the prepayment of the Loans and other amounts as set forth in </w:t>
      </w:r>
      <w:r>
        <w:rPr>
          <w:rFonts w:ascii="Times New Roman;sans-serif" w:hAnsi="Times New Roman;sans-serif"/>
          <w:b w:val="false"/>
          <w:color w:val="000000"/>
          <w:sz w:val="22"/>
          <w:u w:val="single"/>
        </w:rPr>
        <w:t>Section 2.12(e)</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[Reserved].</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Amounts to be applied in connection with prepayments made pursuant to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 xml:space="preserve">shall be applied to the prepayment of installments due in respect of the Term Loans in reverse order of maturity and in accordance with </w:t>
      </w:r>
      <w:r>
        <w:rPr>
          <w:rFonts w:ascii="Times New Roman;sans-serif" w:hAnsi="Times New Roman;sans-serif"/>
          <w:b w:val="false"/>
          <w:color w:val="000000"/>
          <w:sz w:val="22"/>
          <w:u w:val="single"/>
        </w:rPr>
        <w:t>Sections 2.3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2.18(b)</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Term Lender may decline any such prepayment (the aggregate amount of all such prepayments declined in connection with any particular prepayment, collectively, the “</w:t>
      </w:r>
      <w:r>
        <w:rPr>
          <w:rFonts w:ascii="Times New Roman;sans-serif" w:hAnsi="Times New Roman;sans-serif"/>
          <w:b/>
          <w:i/>
          <w:color w:val="000000"/>
          <w:sz w:val="22"/>
        </w:rPr>
        <w:t>Declined Amount</w:t>
      </w:r>
      <w:r>
        <w:rPr>
          <w:color w:val="000000"/>
        </w:rPr>
        <w:t>”</w:t>
      </w:r>
      <w:r>
        <w:rPr>
          <w:rFonts w:ascii="Times New Roman;sans-serif" w:hAnsi="Times New Roman;sans-serif"/>
          <w:b w:val="false"/>
          <w:color w:val="000000"/>
          <w:sz w:val="22"/>
        </w:rPr>
        <w:t xml:space="preserve">), in which case the Declined Amount shall be distributed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prepayment, on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basis, of the Term Loans held by Term Lenders that have elected to accept such Declined Amounts;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extent of any residual, if no Term Loans remain outstanding, to the prepayment of the Revolving Loans in accordance with </w:t>
      </w:r>
      <w:r>
        <w:rPr>
          <w:rFonts w:ascii="Times New Roman;sans-serif" w:hAnsi="Times New Roman;sans-serif"/>
          <w:b w:val="false"/>
          <w:color w:val="000000"/>
          <w:sz w:val="22"/>
          <w:u w:val="single"/>
        </w:rPr>
        <w:t>Section 2.15(c)</w:t>
      </w:r>
      <w:r>
        <w:rPr>
          <w:color w:val="000000"/>
        </w:rPr>
        <w:t xml:space="preserve"> </w:t>
      </w:r>
      <w:r>
        <w:rPr>
          <w:rFonts w:ascii="Times New Roman;sans-serif" w:hAnsi="Times New Roman;sans-serif"/>
          <w:b w:val="false"/>
          <w:color w:val="000000"/>
          <w:sz w:val="22"/>
        </w:rPr>
        <w:t xml:space="preserve">(with no corresponding permanent reduction in the Revolving Commitments); and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the extent of any residual, if no Term Loans or Revolving Loans remain outstanding, to the replacement of outstanding Letters of Credit and/or the deposit of an amount in cash (in an amount not to exceed 105% </w:t>
      </w:r>
      <w:r>
        <w:br w:type="page"/>
      </w:r>
    </w:p>
    <w:p>
      <w:pPr>
        <w:pStyle w:val="TextBody"/>
        <w:spacing w:before="0" w:after="0"/>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60655"/>
                <wp:effectExtent l="0" t="0" r="0" b="0"/>
                <wp:wrapNone/>
                <wp:docPr id="299" name="Frame29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of the then existing L/C Exposure) in a Cash Collateral account established with the Administrative Agent for the benefit of the L/C Lenders on terms and conditions satisfactory to the Issuing Lender. Each prepayment of the Loans under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 xml:space="preserve">(except in the case of Revolving Loans that are ABR Loans and Swingline Loans, in the event all Revolving Commitments have not been terminated) shall be accompanied by accrued interest to the date of such prepayment on the amount prepaid. The Borrower shall deliver to the Administrative Agent and each Term Lender notice of each prepayment of Term Loans in whole or in part pursuant to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not less than five (5) Business Days prior to the date such prepayment shall be made (each, a “</w:t>
      </w:r>
      <w:r>
        <w:rPr>
          <w:rFonts w:ascii="Times New Roman;sans-serif" w:hAnsi="Times New Roman;sans-serif"/>
          <w:b/>
          <w:i/>
          <w:color w:val="000000"/>
          <w:sz w:val="22"/>
        </w:rPr>
        <w:t>Mandatory Prepayment Date</w:t>
      </w:r>
      <w:r>
        <w:rPr>
          <w:color w:val="000000"/>
        </w:rPr>
        <w:t>”</w:t>
      </w:r>
      <w:r>
        <w:rPr>
          <w:rFonts w:ascii="Times New Roman;sans-serif" w:hAnsi="Times New Roman;sans-serif"/>
          <w:b w:val="false"/>
          <w:color w:val="000000"/>
          <w:sz w:val="22"/>
        </w:rPr>
        <w:t>). Such notice shall set forth (i) the Mandatory Prepayment Date, (ii) the aggregate amount of such prepayment and (iii) the options of each Term Lender to (x) decline or accept its share of such prepayment and (y) to accept Declined Amounts. Any Term Lender that wishes to exercise its option to decline such prepayment or to accept Declined Amounts shall notify the Administrative Agent by facsimile not later than three (3) Business Days prior to the Mandatory Prepayment Date.</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Borrower shall deliver to the Administrative Agent, at the time of each prepayment required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(i) a certificate signed by a Responsible Officer setting forth in reasonable detail the calculation of the amount of such prepayment or reduction and (ii) to the extent practicable, at least ten days prior written notice of such prepayment or reduction (and the Administrative Agent shall promptly provide the same to each Lender). Each notice of prepayment shall specify the prepayment or reduction date, the Type of each Loan being prepaid and the principal amount of each Loan (or portion thereof) to be prepaid.</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No prepayment fee shall be payable in respect of any mandatory prepayments made pursuant to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2.13</w:t>
      </w:r>
      <w:r>
        <w:rPr>
          <w:rFonts w:ascii="Times New Roman;sans-serif" w:hAnsi="Times New Roman;sans-serif"/>
          <w:b/>
          <w:color w:val="000000"/>
          <w:sz w:val="22"/>
        </w:rPr>
        <w:t>Conversion and Continuation Options.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Borrower may elect from time to time to convert Eurodollar Loans to ABR Loans by giving the Administrative Agent prior irrevocable notice in a Notice of Conversion/Continuation of such election no later than 10:00 A.M. on the Business Day preceding the proposed conversion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conversion of Eurodollar Loans may only be made on the last day of an Interest Period with respect thereto. The Borrower may elect from time to time to convert ABR Loans to Eurodollar Loans by giving the Administrative Agent prior irrevocable notice in a Notice of Conversion/Continuation of such election no later than 10:00 A.M. on the third (3rd) Business Day preceding the proposed conversion date (which notice shall specify the length of the initial Interest Period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ABR Loan may be converted into a Eurodollar Loan when any Event of Default has occurred and is continuing. Upon receipt of any such notice, the Administrative Agent shall promptly notify each relevant Lender thereof.</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Any Eurodollar Loan may be continued as such upon the expiration of the then current Interest Period with respect thereto by the Borrower giving irrevocable notice in a Notice of Conversion/Continuation to the Administrative Agent, in accordance with the applicable provisions of the term “Interest Period” set forth in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xml:space="preserve">, of the length of the next Interest Period to be applicable to such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unless the Administrative Agent otherwise agrees, no Eurodollar Loan may be continued as such when any Event of Default has occurred and is continuing;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r>
        <w:br w:type="page"/>
      </w:r>
    </w:p>
    <w:p>
      <w:pPr>
        <w:pStyle w:val="TextBody"/>
        <w:spacing w:before="0" w:after="0"/>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60655"/>
                <wp:effectExtent l="0" t="0" r="0" b="0"/>
                <wp:wrapNone/>
                <wp:docPr id="300" name="Frame29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2.14</w:t>
      </w:r>
      <w:r>
        <w:rPr>
          <w:rFonts w:ascii="Times New Roman;sans-serif" w:hAnsi="Times New Roman;sans-serif"/>
          <w:b/>
          <w:color w:val="000000"/>
          <w:sz w:val="22"/>
        </w:rPr>
        <w:t>Limitations on Eurodollar Tranches</w:t>
      </w:r>
      <w:r>
        <w:rPr>
          <w:rFonts w:ascii="Times New Roman;sans-serif" w:hAnsi="Times New Roman;sans-serif"/>
          <w:b w:val="false"/>
          <w:color w:val="000000"/>
          <w:sz w:val="22"/>
        </w:rPr>
        <w:t>. 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 or a whole multiple of $100,000 in excess thereof (or, if the then outstanding principal amount of the Eurodollar Loans are less than $100,000, such lesser amount), and (b) no more than seven (7) Eurodollar Tranches shall be outstanding at any one time.</w:t>
      </w:r>
    </w:p>
    <w:p>
      <w:pPr>
        <w:pStyle w:val="TextBody"/>
        <w:spacing w:lineRule="auto" w:line="288" w:before="0" w:after="180"/>
        <w:ind w:left="0" w:right="0" w:firstLine="720"/>
        <w:jc w:val="both"/>
        <w:rPr/>
      </w:pPr>
      <w:r>
        <w:rPr>
          <w:rFonts w:ascii="Times New Roman;sans-serif" w:hAnsi="Times New Roman;sans-serif"/>
          <w:b/>
          <w:color w:val="000000"/>
          <w:sz w:val="22"/>
        </w:rPr>
        <w:t>2.15</w:t>
      </w:r>
      <w:r>
        <w:rPr>
          <w:rFonts w:ascii="Times New Roman;sans-serif" w:hAnsi="Times New Roman;sans-serif"/>
          <w:b/>
          <w:color w:val="000000"/>
          <w:sz w:val="22"/>
        </w:rPr>
        <w:t>Interest Rates and Payment Dates.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outstanding Eurodollar Loan shall bear interest for each day during each Interest Period with respect thereto at a rate per annum equal to (i) the Eurodollar Rate determined for such day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the Applicable Margin.</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outstanding ABR Loan (including any Swingline Loan) shall bear interest at a rate per annum equal to (i) the ABR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the Applicable Margin.</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During the continuance of an Event of Default, at the request of the Required Lenders, all outstanding Loans and Letter of Credit Fees shall bear interest at a rate per annum equal to the rate that would otherwise be applicable thereto pursuant to the foregoing provisions of this Section plus 2.00% (the “</w:t>
      </w:r>
      <w:r>
        <w:rPr>
          <w:rFonts w:ascii="Times New Roman;sans-serif" w:hAnsi="Times New Roman;sans-serif"/>
          <w:b/>
          <w:i/>
          <w:color w:val="000000"/>
          <w:sz w:val="22"/>
        </w:rPr>
        <w:t>Default Rate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Default Rate shall apply to all outstanding Loans and all Letter of Credit Fees automatically and without any Required Lender request or consent therefor upon the occurrence of any Event of Default arising under </w:t>
      </w:r>
      <w:r>
        <w:rPr>
          <w:rFonts w:ascii="Times New Roman;sans-serif" w:hAnsi="Times New Roman;sans-serif"/>
          <w:b w:val="false"/>
          <w:color w:val="000000"/>
          <w:sz w:val="22"/>
          <w:u w:val="single"/>
        </w:rPr>
        <w:t>Section 8.1(a)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Interest shall be payable in arrears on each Interest Payment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interest accruing pursuant to </w:t>
      </w:r>
      <w:r>
        <w:rPr>
          <w:rFonts w:ascii="Times New Roman;sans-serif" w:hAnsi="Times New Roman;sans-serif"/>
          <w:b w:val="false"/>
          <w:color w:val="000000"/>
          <w:sz w:val="22"/>
          <w:u w:val="single"/>
        </w:rPr>
        <w:t>Section 2.15(c)</w:t>
      </w:r>
      <w:r>
        <w:rPr>
          <w:color w:val="000000"/>
        </w:rPr>
        <w:t xml:space="preserve"> </w:t>
      </w:r>
      <w:r>
        <w:rPr>
          <w:rFonts w:ascii="Times New Roman;sans-serif" w:hAnsi="Times New Roman;sans-serif"/>
          <w:b w:val="false"/>
          <w:color w:val="000000"/>
          <w:sz w:val="22"/>
        </w:rPr>
        <w:t>shall be payable from time to time on demand.</w:t>
      </w:r>
    </w:p>
    <w:p>
      <w:pPr>
        <w:pStyle w:val="TextBody"/>
        <w:spacing w:lineRule="auto" w:line="288" w:before="0" w:after="180"/>
        <w:ind w:left="0" w:right="0" w:firstLine="720"/>
        <w:jc w:val="both"/>
        <w:rPr/>
      </w:pPr>
      <w:r>
        <w:rPr>
          <w:rFonts w:ascii="Times New Roman;sans-serif" w:hAnsi="Times New Roman;sans-serif"/>
          <w:b/>
          <w:color w:val="000000"/>
          <w:sz w:val="22"/>
        </w:rPr>
        <w:t>2.16</w:t>
      </w:r>
      <w:r>
        <w:rPr>
          <w:rFonts w:ascii="Times New Roman;sans-serif" w:hAnsi="Times New Roman;sans-serif"/>
          <w:b/>
          <w:color w:val="000000"/>
          <w:sz w:val="22"/>
        </w:rPr>
        <w:t>Computation of Interest and Fees.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Interest and fees payable pursuant hereto shall be calculated on the basis of a 360- day year for the actual days elapsed, except that, with respect to ABR Loans the rate of interest on which is calculated on the basis of the Prime Rate (or, as applicable, on the basis of the Eurodollar Rate), the interest thereon shall be calculated on the basis of a 365- (or 366-, as the case may be) day year for the actual days elapsed. The Administrative Agent shall as soon as practicable notify the Borrower and the relevant Lenders of each determination of a Eurodollar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sans-serif" w:hAnsi="Times New Roman;sans-serif"/>
          <w:b w:val="false"/>
          <w:color w:val="000000"/>
          <w:sz w:val="22"/>
          <w:u w:val="single"/>
        </w:rPr>
        <w:t>Section 2.16(a)</w:t>
      </w:r>
      <w:r>
        <w:rPr>
          <w:rFonts w:ascii="Times New Roman;sans-serif" w:hAnsi="Times New Roman;sans-serif"/>
          <w:b w:val="false"/>
          <w:color w:val="000000"/>
          <w:sz w:val="22"/>
        </w:rPr>
        <w:t>.</w:t>
      </w:r>
    </w:p>
    <w:p>
      <w:pPr>
        <w:pStyle w:val="TextBody"/>
        <w:spacing w:lineRule="auto" w:line="288" w:before="0" w:after="180"/>
        <w:ind w:left="0" w:right="0" w:hanging="360"/>
        <w:rPr/>
      </w:pPr>
      <w:r>
        <w:rPr>
          <w:rFonts w:ascii="Times New Roman;sans-serif" w:hAnsi="Times New Roman;sans-serif"/>
          <w:b/>
          <w:color w:val="000000"/>
          <w:sz w:val="22"/>
        </w:rPr>
        <w:t>2.17Inability to Determine Interest Rate</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prior to the first day of any Interest Period, the Administrative Agent shall have determined (which determination shall be conclusive and binding upon the Borrower) in connection with any request for a Eurodollar Loan or a conversion to or a continuation thereof that, by reason of circumstances affecting the relevant market, (i) Dollar deposits are not being offered to banks in the </w:t>
      </w:r>
      <w:r>
        <w:br w:type="page"/>
      </w:r>
    </w:p>
    <w:p>
      <w:pPr>
        <w:pStyle w:val="TextBody"/>
        <w:spacing w:before="0" w:after="0"/>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60655"/>
                <wp:effectExtent l="0" t="0" r="0" b="0"/>
                <wp:wrapNone/>
                <wp:docPr id="301" name="Frame29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London interbank market for the applicable amount and Interest Period of such requested Loan or conversion or continuation, as applicable, (ii) adequate and reasonable means do not exist for ascertaining the Eurodollar Rate for such Interest Period, or (iii) the Eurodollar Rate determined or to be determined for such Interest Period will not adequately and fairly reflect the cost to such Lenders (as conclusively certified by such Lenders) of making or maintaining their affected Loans during such Interest Period, then, in any such case (i), (ii) or (iii), the Administrative Agent shall promptly notify the Borrower and the relevant Lenders thereof as soon as practicable thereafter. Any such determination shall specify the basis for such determination and shall, in the absence of manifest error, be conclusive and binding for all purposes. Thereafter, (x) any Eurodollar Loans under the relevant Facility requested to be made on the first day of such Interest Period shall be made as ABR Loans, (y) any Loans under the relevant Facility that were to have been converted on the first day of such Interest Period to Eurodollar Loans shall be continued as ABR Loans and (z) any outstanding Eurodollar Loans under the relevant Facility shall be converted, on the last day of the then-current Interest Period, to ABR Loans. Until such notice has been withdrawn by the Administrative Agent, no further Eurodollar Loans under the relevant Facility shall be made or continued as such, nor shall the Borrower have the right to convert Loans under the relevant Facility to Eurodollar Loans.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at any time the Administrative Agent determines (which determination shall be conclusive absent manifest error) that (i) the circumstances set forth in </w:t>
      </w:r>
      <w:r>
        <w:rPr>
          <w:rFonts w:ascii="Times New Roman;sans-serif" w:hAnsi="Times New Roman;sans-serif"/>
          <w:b w:val="false"/>
          <w:color w:val="000000"/>
          <w:sz w:val="22"/>
          <w:u w:val="single"/>
        </w:rPr>
        <w:t>Section 2.17(a)(i)</w:t>
      </w:r>
      <w:r>
        <w:rPr>
          <w:color w:val="000000"/>
        </w:rPr>
        <w:t xml:space="preserve"> </w:t>
      </w:r>
      <w:r>
        <w:rPr>
          <w:rFonts w:ascii="Times New Roman;sans-serif" w:hAnsi="Times New Roman;sans-serif"/>
          <w:b w:val="false"/>
          <w:color w:val="000000"/>
          <w:sz w:val="22"/>
        </w:rPr>
        <w:t xml:space="preserve">or (ii) have arisen and such circumstances are unlikely to be temporary or (ii) the circumstances set forth in </w:t>
      </w:r>
      <w:r>
        <w:rPr>
          <w:rFonts w:ascii="Times New Roman;sans-serif" w:hAnsi="Times New Roman;sans-serif"/>
          <w:b w:val="false"/>
          <w:color w:val="000000"/>
          <w:sz w:val="22"/>
          <w:u w:val="single"/>
        </w:rPr>
        <w:t>Section 2.17(a)(i)</w:t>
      </w:r>
      <w:r>
        <w:rPr>
          <w:color w:val="000000"/>
        </w:rPr>
        <w:t xml:space="preserve"> </w:t>
      </w:r>
      <w:r>
        <w:rPr>
          <w:rFonts w:ascii="Times New Roman;sans-serif" w:hAnsi="Times New Roman;sans-serif"/>
          <w:b w:val="false"/>
          <w:color w:val="000000"/>
          <w:sz w:val="22"/>
        </w:rPr>
        <w:t xml:space="preserve">or (ii) have not arisen but the supervisor for the administrator of the LIBOR reporting system or a Governmental Authority having jurisdiction over the Administrative Agent has made a public statement identifying a specific date after which LIBOR shall no longer be used for determining interest rates for loans, then Administrative Agent and Borrower shall endeavor to establish an alternate rate of interest to LIBOR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if such alternate rate of interest shall be less than 1.00%, such rate shall be deemed to be 1.00% for the purposes of this Agreement. Notwithstanding anything to the contrary in </w:t>
      </w:r>
      <w:r>
        <w:rPr>
          <w:rFonts w:ascii="Times New Roman;sans-serif" w:hAnsi="Times New Roman;sans-serif"/>
          <w:b w:val="false"/>
          <w:color w:val="000000"/>
          <w:sz w:val="22"/>
          <w:u w:val="single"/>
        </w:rPr>
        <w:t>Section 12.7</w:t>
      </w:r>
      <w:r>
        <w:rPr>
          <w:rFonts w:ascii="Times New Roman;sans-serif" w:hAnsi="Times New Roman;sans-serif"/>
          <w:b w:val="false"/>
          <w:color w:val="000000"/>
          <w:sz w:val="22"/>
        </w:rPr>
        <w:t>, such amendment shall become effective without any further action or consent of any other party to this Agreement (other than the Administrative Agent and the Borrower) so long as the Administrative Agent shall not have received, within five (5) Business Days of the date notice of such alternative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Section 2.17(b), only to the extent that LIBOR for such Interest Period is not available or published at such time on a current basis), (x) any Eurodollar Loans requested to be made shall be made as ABR Loans, and (y) any outstanding Eurodollar Loans shall be converted, on the last day of the then-current Interest Period, to ABR Loans.</w:t>
      </w:r>
    </w:p>
    <w:p>
      <w:pPr>
        <w:pStyle w:val="TextBody"/>
        <w:spacing w:lineRule="auto" w:line="288" w:before="0" w:after="180"/>
        <w:ind w:left="0" w:right="0" w:hanging="720"/>
        <w:rPr/>
      </w:pPr>
      <w:r>
        <w:rPr>
          <w:rFonts w:ascii="Times New Roman;sans-serif" w:hAnsi="Times New Roman;sans-serif"/>
          <w:b/>
          <w:color w:val="000000"/>
          <w:sz w:val="20"/>
        </w:rPr>
        <w:t>2.18</w:t>
      </w:r>
      <w:r>
        <w:rPr>
          <w:rFonts w:ascii="Times New Roman;sans-serif" w:hAnsi="Times New Roman;sans-serif"/>
          <w:b/>
          <w:color w:val="000000"/>
          <w:sz w:val="22"/>
        </w:rPr>
        <w:t>Pro Rata Treatment and Payments.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borrowing by the Borrower from the Lenders hereunder, each payment by the Borrower on account of any Commitment Fee and any reduction of the Commitments shall be made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according to the respective Term Percentages, L/C Percentages or Revolving Percentages, as the case may be, of the relevant Lenders.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Except as otherwise provided herein, each payment (including each prepayment) by the Borrower on account of principal of and interest on the Term Loans shall be made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according to the respective outstanding principal amounts of the Term Loans then held by the Term </w:t>
      </w:r>
      <w:r>
        <w:br w:type="page"/>
      </w:r>
    </w:p>
    <w:p>
      <w:pPr>
        <w:pStyle w:val="TextBody"/>
        <w:spacing w:before="0" w:after="0"/>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60655"/>
                <wp:effectExtent l="0" t="0" r="0" b="0"/>
                <wp:wrapNone/>
                <wp:docPr id="302" name="Frame29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Lenders. The amount of each principal prepayment of the Term Loans (whether optional or mandatory) shall be applied to reduce the then remaining installments of the Term Loans on a pro rata basis. Except as otherwise may be agreed by the Borrower and the Required Lenders, any prepayment of Loans shall be applied to the then outstanding Term Loans on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basis regardless of type. Amounts prepaid on account of the Term Loans may not be reborrowed.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Each payment (including each prepayment) by the Borrower on account of principal of and interest on the Revolving Loans shall be made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according to the respective outstanding principal amounts of the Revolving Loans then held by the Revolving Lenders.</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and in immediately available funds.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w:t>
      </w:r>
      <w:r>
        <w:br w:type="page"/>
      </w:r>
    </w:p>
    <w:p>
      <w:pPr>
        <w:pStyle w:val="TextBody"/>
        <w:spacing w:before="0" w:after="0"/>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60655"/>
                <wp:effectExtent l="0" t="0" r="0" b="0"/>
                <wp:wrapNone/>
                <wp:docPr id="303" name="Frame29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If any Lender makes available to the Administrative Agent funds for any Loan to be made by such Lender as provided in the foregoing provisions of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and such funds are not made available to the Borrower by the Administrative Agent because the conditions to the applicable extension of credit set forth in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The obligations of the Lenders hereunder to (i) make Term Loans, (ii) make Revolving Loans, (iii) fund its participations in L/C Disbursements in accordance with its respective L/C Percentage, (iv) fund its respective Swingline Participation Amount of any Swingline Loan, and (v) make payments pursuant to </w:t>
      </w:r>
      <w:r>
        <w:rPr>
          <w:rFonts w:ascii="Times New Roman;sans-serif" w:hAnsi="Times New Roman;sans-serif"/>
          <w:b w:val="false"/>
          <w:color w:val="000000"/>
          <w:sz w:val="22"/>
          <w:u w:val="single"/>
        </w:rPr>
        <w:t>Section 9.7</w:t>
      </w:r>
      <w:r>
        <w:rPr>
          <w:rFonts w:ascii="Times New Roman;sans-serif" w:hAnsi="Times New Roman;sans-serif"/>
          <w:b w:val="false"/>
          <w:color w:val="000000"/>
          <w:sz w:val="22"/>
        </w:rPr>
        <w:t xml:space="preserve">, as applicable, are several and not joint. The failure of any Lender to make any such Loan, to fund any such participation or to make any such payment under </w:t>
      </w:r>
      <w:r>
        <w:rPr>
          <w:rFonts w:ascii="Times New Roman;sans-serif" w:hAnsi="Times New Roman;sans-serif"/>
          <w:b w:val="false"/>
          <w:color w:val="000000"/>
          <w:sz w:val="22"/>
          <w:u w:val="single"/>
        </w:rPr>
        <w:t>Section 9.7</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ans-serif" w:hAnsi="Times New Roman;sans-serif"/>
          <w:b w:val="false"/>
          <w:color w:val="000000"/>
          <w:sz w:val="22"/>
          <w:u w:val="single"/>
        </w:rPr>
        <w:t>Section 9.7</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If at any time insufficient funds are received by and available to the Administrative Agent to pay fully all amounts of principal, interest and fees then due hereunder, such funds shall be applied (i)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toward payment of interest and fees, Overadvances and Protective Overadvances then due hereunder, ratably among the parties entitled thereto in accordance with the amounts of interest and fees, Overadvances and Protective Overadvances then due to such parties, and (ii)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toward payment of principal then due hereunder, ratably among the parties entitled thereto in accordance with the amounts of principal then due to such parties.</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Percentage,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Term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w:t>
      </w:r>
      <w:r>
        <w:br w:type="page"/>
      </w:r>
    </w:p>
    <w:p>
      <w:pPr>
        <w:pStyle w:val="TextBody"/>
        <w:spacing w:before="0" w:after="0"/>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60655"/>
                <wp:effectExtent l="0" t="0" r="0" b="0"/>
                <wp:wrapNone/>
                <wp:docPr id="304" name="Frame29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Percentages, Revolving Percentages or L/C Percentages, as applicable;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paragraph shall apply). The Borrower agrees that any Lender so purchasing a participation from another Lender pursuant to this </w:t>
      </w:r>
      <w:r>
        <w:rPr>
          <w:rFonts w:ascii="Times New Roman;sans-serif" w:hAnsi="Times New Roman;sans-serif"/>
          <w:b w:val="false"/>
          <w:color w:val="000000"/>
          <w:sz w:val="22"/>
          <w:u w:val="single"/>
        </w:rPr>
        <w:t>Section 2.18(k)</w:t>
      </w:r>
      <w:r>
        <w:rPr>
          <w:color w:val="000000"/>
        </w:rPr>
        <w:t xml:space="preserve"> </w:t>
      </w:r>
      <w:r>
        <w:rPr>
          <w:rFonts w:ascii="Times New Roman;sans-serif" w:hAnsi="Times New Roman;sans-serif"/>
          <w:b w:val="false"/>
          <w:color w:val="000000"/>
          <w:sz w:val="22"/>
        </w:rPr>
        <w:t xml:space="preserve">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sans-serif" w:hAnsi="Times New Roman;sans-serif"/>
          <w:b w:val="false"/>
          <w:color w:val="000000"/>
          <w:sz w:val="22"/>
          <w:u w:val="single"/>
        </w:rPr>
        <w:t>Section 2.18(k)</w:t>
      </w:r>
      <w:r>
        <w:rPr>
          <w:color w:val="000000"/>
        </w:rPr>
        <w:t xml:space="preserve"> </w:t>
      </w:r>
      <w:r>
        <w:rPr>
          <w:rFonts w:ascii="Times New Roman;sans-serif" w:hAnsi="Times New Roman;sans-serif"/>
          <w:b w:val="false"/>
          <w:color w:val="000000"/>
          <w:sz w:val="22"/>
        </w:rPr>
        <w:t xml:space="preserve">shall be required to implement the terms of this </w:t>
      </w:r>
      <w:r>
        <w:rPr>
          <w:rFonts w:ascii="Times New Roman;sans-serif" w:hAnsi="Times New Roman;sans-serif"/>
          <w:b w:val="false"/>
          <w:color w:val="000000"/>
          <w:sz w:val="22"/>
          <w:u w:val="single"/>
        </w:rPr>
        <w:t>Section 2.18(k)</w:t>
      </w:r>
      <w:r>
        <w:rPr>
          <w:rFonts w:ascii="Times New Roman;sans-serif" w:hAnsi="Times New Roman;sans-serif"/>
          <w:b w:val="false"/>
          <w:color w:val="000000"/>
          <w:sz w:val="22"/>
        </w:rPr>
        <w:t xml:space="preserve">. The Administrative Agent shall keep records (which shall be conclusive and binding in the absence of manifest error) of participations purchased pursuant to this </w:t>
      </w:r>
      <w:r>
        <w:rPr>
          <w:rFonts w:ascii="Times New Roman;sans-serif" w:hAnsi="Times New Roman;sans-serif"/>
          <w:b w:val="false"/>
          <w:color w:val="000000"/>
          <w:sz w:val="22"/>
          <w:u w:val="single"/>
        </w:rPr>
        <w:t>Section 2.18(k)</w:t>
      </w:r>
      <w:r>
        <w:rPr>
          <w:color w:val="000000"/>
        </w:rPr>
        <w:t xml:space="preserve"> </w:t>
      </w:r>
      <w:r>
        <w:rPr>
          <w:rFonts w:ascii="Times New Roman;sans-serif" w:hAnsi="Times New Roman;sans-serif"/>
          <w:b w:val="false"/>
          <w:color w:val="000000"/>
          <w:sz w:val="22"/>
        </w:rPr>
        <w:t xml:space="preserve">and shall in each case notify the Term Lenders, the Revolving Lenders or the L/C Lenders, as applicable, following any such purchase. The provisions of this </w:t>
      </w:r>
      <w:r>
        <w:rPr>
          <w:rFonts w:ascii="Times New Roman;sans-serif" w:hAnsi="Times New Roman;sans-serif"/>
          <w:b w:val="false"/>
          <w:color w:val="000000"/>
          <w:sz w:val="22"/>
          <w:u w:val="single"/>
        </w:rPr>
        <w:t>Section 2.18(k)</w:t>
      </w:r>
      <w:r>
        <w:rPr>
          <w:color w:val="000000"/>
        </w:rPr>
        <w:t xml:space="preserve"> </w:t>
      </w:r>
      <w:r>
        <w:rPr>
          <w:rFonts w:ascii="Times New Roman;sans-serif" w:hAnsi="Times New Roman;sans-serif"/>
          <w:b w:val="false"/>
          <w:color w:val="000000"/>
          <w:sz w:val="22"/>
        </w:rPr>
        <w:t xml:space="preserve">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Times New Roman;sans-serif" w:hAnsi="Times New Roman;sans-serif"/>
          <w:b w:val="false"/>
          <w:color w:val="000000"/>
          <w:sz w:val="22"/>
          <w:u w:val="single"/>
        </w:rPr>
        <w:t>Section 3.10</w:t>
      </w:r>
      <w:r>
        <w:rPr>
          <w:rFonts w:ascii="Times New Roman;sans-serif" w:hAnsi="Times New Roman;sans-serif"/>
          <w:b w:val="false"/>
          <w:color w:val="000000"/>
          <w:sz w:val="22"/>
        </w:rPr>
        <w:t>, or (iii) 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Notwithstanding anything to the contrary in this Agreement, the Administrative Agent may, in its discretion at any time or from time to time, without the Borrower’s request and even if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after giving effect to any such Revolving Loan, the aggregate outstanding Revolving Loans will not exceed the Total Revolving Commitments then in effect.</w:t>
      </w:r>
    </w:p>
    <w:p>
      <w:pPr>
        <w:pStyle w:val="TextBody"/>
        <w:spacing w:lineRule="auto" w:line="288" w:before="0" w:after="180"/>
        <w:ind w:left="0" w:right="0" w:firstLine="720"/>
        <w:rPr/>
      </w:pPr>
      <w:r>
        <w:rPr>
          <w:rFonts w:ascii="Times New Roman;sans-serif" w:hAnsi="Times New Roman;sans-serif"/>
          <w:b/>
          <w:color w:val="000000"/>
          <w:sz w:val="22"/>
        </w:rPr>
        <w:t>2.19</w:t>
      </w:r>
      <w:r>
        <w:rPr>
          <w:rFonts w:ascii="Times New Roman;sans-serif" w:hAnsi="Times New Roman;sans-serif"/>
          <w:b/>
          <w:color w:val="000000"/>
          <w:sz w:val="22"/>
        </w:rPr>
        <w:t>Illegality; Requirements of Law.</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xml:space="preserve">. If any Lender determines that any Requirement of Law has made it unlawful, or that any Governmental Authority has asserted that it is unlawful, for such Lender to make, maintain or fund Eurodollar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Loans or to convert ABR Loans to Eurodollar Loans shall be suspended until such Lender notifies the Administrative Agent and the Borrower that the circumstances giving rise to such </w:t>
      </w:r>
      <w:r>
        <w:br w:type="page"/>
      </w:r>
    </w:p>
    <w:p>
      <w:pPr>
        <w:pStyle w:val="TextBody"/>
        <w:spacing w:before="0" w:after="0"/>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60655"/>
                <wp:effectExtent l="0" t="0" r="0" b="0"/>
                <wp:wrapNone/>
                <wp:docPr id="305" name="Frame29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determination no longer exist. Upon receipt of such notice, the Borrower shall, upon demand from such Lender (with a copy to the Administrative Agent), prepay or, if applicable, convert all Eurodollar Loans of such Lender to ABR Loans either on the last day of the Interest Period therefor, if such Lender may lawfully continue to maintain such Eurodollar Loans to such day, or immediately, if such Lender may not lawfully continue to maintain such Eurodollar Loans. Upon any such prepayment or conversion, the Borrower shall also pay accrued interest on the amount so prepaid or converted.</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Requirements of Law</w:t>
      </w:r>
      <w:r>
        <w:rPr>
          <w:rFonts w:ascii="Times New Roman;sans-serif" w:hAnsi="Times New Roman;sans-serif"/>
          <w:b w:val="false"/>
          <w:color w:val="000000"/>
          <w:sz w:val="22"/>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spacing w:lineRule="auto" w:line="288" w:before="0" w:after="180"/>
        <w:ind w:left="0" w:right="0" w:firstLine="2160"/>
        <w:rPr/>
      </w:pPr>
      <w:r>
        <w:rPr>
          <w:rFonts w:ascii="Times New Roman;sans-serif" w:hAnsi="Times New Roman;sans-serif"/>
          <w:b w:val="false"/>
          <w:color w:val="000000"/>
          <w:sz w:val="22"/>
        </w:rPr>
        <w:t>(ii)</w:t>
      </w:r>
      <w:r>
        <w:rPr>
          <w:rFonts w:ascii="Times New Roman;sans-serif" w:hAnsi="Times New Roman;sans-serif"/>
          <w:b w:val="false"/>
          <w:color w:val="000000"/>
          <w:sz w:val="22"/>
        </w:rPr>
        <w:t>shall 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impose on any Lender or the London interbank market any other condition, cost or expense (other than Taxes) affecting this Agreement or Loans made by such Lender or any Letter of Credit or participation therein; and the result of any of the foregoing shall be to increase the cost to such Lender or such other Recipient of making, converting to, continuing or maintaining Loans determined with reference to the Eurodollar Rate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r>
        <w:br w:type="page"/>
      </w:r>
    </w:p>
    <w:p>
      <w:pPr>
        <w:pStyle w:val="TextBody"/>
        <w:spacing w:before="0" w:after="0"/>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60655"/>
                <wp:effectExtent l="0" t="0" r="0" b="0"/>
                <wp:wrapNone/>
                <wp:docPr id="306" name="Frame29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 xml:space="preserve">, the Borrower shall not be required to compensate a Lender pursuant to this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for any amounts incurred more than nine months prior to the date that such Lender notifies the Borrower of the change in the Requirement of Law giving rise to such increased costs or reductions, and of such Lender’s intention to claim compensation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circumstances giving rise to such claim have a retroactive effect, then such nine-month period shall be extended to include the period of such retroactive effect. The obligations of the Borrower arising pursuant to this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shall survive the Discharge of Obligations and the resignation of the Administrative Agent.</w:t>
      </w:r>
    </w:p>
    <w:p>
      <w:pPr>
        <w:pStyle w:val="TextBody"/>
        <w:spacing w:lineRule="auto" w:line="288" w:before="0" w:after="180"/>
        <w:ind w:left="0" w:right="0" w:firstLine="720"/>
        <w:rPr/>
      </w:pPr>
      <w:r>
        <w:rPr>
          <w:rFonts w:ascii="Times New Roman;sans-serif" w:hAnsi="Times New Roman;sans-serif"/>
          <w:b/>
          <w:color w:val="000000"/>
          <w:sz w:val="20"/>
        </w:rPr>
        <w:t>2.20</w:t>
      </w:r>
      <w:r>
        <w:rPr>
          <w:rFonts w:ascii="Times New Roman;sans-serif" w:hAnsi="Times New Roman;sans-serif"/>
          <w:b/>
          <w:color w:val="000000"/>
          <w:sz w:val="22"/>
        </w:rPr>
        <w:t>Taxes.</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For purposes of this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the term “Lender” includes the Issuing Lender and the term “applicable Requirement of Law” includes FATCA.</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Payments Free of Taxes</w:t>
      </w:r>
      <w:r>
        <w:rPr>
          <w:rFonts w:ascii="Times New Roman;sans-serif" w:hAnsi="Times New Roman;sans-serif"/>
          <w:b w:val="false"/>
          <w:color w:val="000000"/>
          <w:sz w:val="22"/>
        </w:rPr>
        <w:t xml:space="preserve">. Any and all payments by or on account of any obligation of any Loan Party under any Loan Document shall be made without deduction or withholding for any Taxes, except as required by applicable Requirements of Law. If any applicable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Taxing Authority in accordance with such applicable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the applicable Recipient receives an amount equal to the sum it would have received had no such deduction or withholding been made.</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 of Other Taxes</w:t>
      </w:r>
      <w:r>
        <w:rPr>
          <w:rFonts w:ascii="Times New Roman;sans-serif" w:hAnsi="Times New Roman;sans-serif"/>
          <w:b w:val="false"/>
          <w:color w:val="000000"/>
          <w:sz w:val="22"/>
        </w:rPr>
        <w:t>. The Borrower shall timely pay or cause to be paid to the relevant Taxing Authority in accordance with any applicable Requirement of Law, or at the option of the Administrative Agent timely reimburse it for the payment of, any Other Taxes.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As soon as practicable after any payment of Taxes by any Loan Party to a Taxing Authority pursuant to this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the applicable Loan Party shall deliver to the Administrative Agent the original or a certified copy of a receipt issued by such Taxing Authority evidencing such payment, a copy of the return reporting such payment or other evidence of such payment reasonably satisfactory to the Administrative Agent.</w:t>
      </w:r>
      <w:r>
        <w:br w:type="page"/>
      </w:r>
    </w:p>
    <w:p>
      <w:pPr>
        <w:pStyle w:val="TextBody"/>
        <w:spacing w:before="0" w:after="0"/>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60655"/>
                <wp:effectExtent l="0" t="0" r="0" b="0"/>
                <wp:wrapNone/>
                <wp:docPr id="307" name="Frame30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Indemnification by Loan Parties</w:t>
      </w:r>
      <w:r>
        <w:rPr>
          <w:rFonts w:ascii="Times New Roman;sans-serif" w:hAnsi="Times New Roman;sans-serif"/>
          <w:b w:val="false"/>
          <w:color w:val="000000"/>
          <w:sz w:val="22"/>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Taxing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Indemnification by Lenders</w:t>
      </w:r>
      <w:r>
        <w:rPr>
          <w:rFonts w:ascii="Times New Roman;sans-serif" w:hAnsi="Times New Roman;sans-serif"/>
          <w:b w:val="false"/>
          <w:color w:val="000000"/>
          <w:sz w:val="22"/>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sans-serif" w:hAnsi="Times New Roman;sans-serif"/>
          <w:b w:val="false"/>
          <w:color w:val="000000"/>
          <w:sz w:val="22"/>
          <w:u w:val="single"/>
        </w:rPr>
        <w:t>Section 10.6</w:t>
      </w:r>
      <w:r>
        <w:rPr>
          <w:color w:val="000000"/>
        </w:rPr>
        <w:t xml:space="preserve"> </w:t>
      </w:r>
      <w:r>
        <w:rPr>
          <w:rFonts w:ascii="Times New Roman;sans-serif" w:hAnsi="Times New Roman;sans-serif"/>
          <w:b w:val="false"/>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Taxing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ans-serif" w:hAnsi="Times New Roman;sans-serif"/>
          <w:b w:val="false"/>
          <w:color w:val="000000"/>
          <w:sz w:val="22"/>
          <w:u w:val="single"/>
        </w:rPr>
        <w:t>Section 2.20(e)</w:t>
      </w:r>
      <w:r>
        <w:rPr>
          <w:rFonts w:ascii="Times New Roman;sans-serif" w:hAnsi="Times New Roman;sans-serif"/>
          <w:b w:val="false"/>
          <w:color w:val="000000"/>
          <w:sz w:val="22"/>
        </w:rPr>
        <w:t>.</w:t>
      </w:r>
    </w:p>
    <w:p>
      <w:pPr>
        <w:pStyle w:val="TextBody"/>
        <w:spacing w:lineRule="auto" w:line="288" w:before="0" w:after="180"/>
        <w:ind w:left="0" w:right="0" w:firstLine="144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Status of Lenders</w:t>
      </w:r>
      <w:r>
        <w:rPr>
          <w:rFonts w:ascii="Times New Roman;sans-serif" w:hAnsi="Times New Roman;sans-serif"/>
          <w:b w:val="false"/>
          <w:color w:val="000000"/>
          <w:sz w:val="22"/>
        </w:rPr>
        <w:t>.</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any applicable Requirement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2"/>
          <w:u w:val="single"/>
        </w:rPr>
        <w:t>Sections 2.20(f)(ii)(A)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(ii)(D)</w:t>
      </w:r>
      <w:r>
        <w:rPr>
          <w:color w:val="000000"/>
        </w:rPr>
        <w:t xml:space="preserve"> </w:t>
      </w:r>
      <w:r>
        <w:rPr>
          <w:rFonts w:ascii="Times New Roman;sans-serif" w:hAnsi="Times New Roman;sans-serif"/>
          <w:b w:val="false"/>
          <w:color w:val="000000"/>
          <w:sz w:val="22"/>
        </w:rPr>
        <w:t>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pStyle w:val="TextBody"/>
        <w:spacing w:lineRule="auto" w:line="288" w:before="0" w:after="180"/>
        <w:ind w:left="0" w:right="0" w:firstLine="2160"/>
        <w:rPr/>
      </w:pPr>
      <w:r>
        <w:rPr>
          <w:rFonts w:ascii="Times New Roman;sans-serif" w:hAnsi="Times New Roman;sans-serif"/>
          <w:b w:val="false"/>
          <w:color w:val="000000"/>
          <w:sz w:val="22"/>
        </w:rPr>
        <w:t>(ii)</w:t>
      </w:r>
      <w:r>
        <w:rPr>
          <w:rFonts w:ascii="Times New Roman;sans-serif" w:hAnsi="Times New Roman;sans-serif"/>
          <w:b w:val="false"/>
          <w:color w:val="000000"/>
          <w:sz w:val="22"/>
        </w:rPr>
        <w:t>Without limiting the generality of the foregoing,</w:t>
      </w:r>
    </w:p>
    <w:p>
      <w:pPr>
        <w:pStyle w:val="TextBody"/>
        <w:spacing w:lineRule="auto" w:line="288" w:before="0" w:after="180"/>
        <w:ind w:left="0" w:right="0" w:firstLine="288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any Lender that is a U.S. Person shall deliver to the Borrower and the Administrative Agent on or prior to the date on which such Lender becomes a Lender under this Agreement (and from time to time thereafter upon the reasonable request of the Borrower or the </w:t>
      </w:r>
      <w:r>
        <w:br w:type="page"/>
      </w:r>
    </w:p>
    <w:p>
      <w:pPr>
        <w:pStyle w:val="TextBody"/>
        <w:spacing w:before="0" w:after="0"/>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60655"/>
                <wp:effectExtent l="0" t="0" r="0" b="0"/>
                <wp:wrapNone/>
                <wp:docPr id="308" name="Frame30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executed copies of IRS Form W-9 certifying that such Lender is exempt from U.S. federal backup withholding tax;</w:t>
      </w:r>
    </w:p>
    <w:p>
      <w:pPr>
        <w:pStyle w:val="TextBody"/>
        <w:spacing w:lineRule="auto" w:line="288" w:before="0" w:after="180"/>
        <w:ind w:left="0" w:right="0" w:firstLine="288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spacing w:lineRule="auto" w:line="288" w:before="0" w:after="180"/>
        <w:ind w:left="0" w:right="0" w:firstLine="360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in the case of a Foreign Lender claiming the benefits of an income tax treaty to which the United States is a party (x) with respect to payments of interest under any Loan Document, executed copies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pStyle w:val="TextBody"/>
        <w:spacing w:lineRule="auto" w:line="288" w:before="0" w:after="180"/>
        <w:ind w:left="0" w:right="0" w:firstLine="360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executed copies of IRS Form W-8ECI;</w:t>
      </w:r>
    </w:p>
    <w:p>
      <w:pPr>
        <w:pStyle w:val="TextBody"/>
        <w:spacing w:lineRule="auto" w:line="288" w:before="0" w:after="180"/>
        <w:ind w:left="0" w:right="0" w:firstLine="360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sans-serif" w:hAnsi="Times New Roman;sans-serif"/>
          <w:b/>
          <w:i/>
          <w:color w:val="000000"/>
          <w:sz w:val="22"/>
        </w:rPr>
        <w:t>U.S. Tax Compliance Certificate</w:t>
      </w:r>
      <w:r>
        <w:rPr>
          <w:color w:val="000000"/>
        </w:rPr>
        <w:t>”</w:t>
      </w:r>
      <w:r>
        <w:rPr>
          <w:rFonts w:ascii="Times New Roman;sans-serif" w:hAnsi="Times New Roman;sans-serif"/>
          <w:b w:val="false"/>
          <w:color w:val="000000"/>
          <w:sz w:val="22"/>
        </w:rPr>
        <w:t>) and (y) executed copies of IRS Form W-8BEN or IRS Form W-8BEN-E, as applicable (or any successor form); or</w:t>
      </w:r>
    </w:p>
    <w:p>
      <w:pPr>
        <w:pStyle w:val="TextBody"/>
        <w:spacing w:lineRule="auto" w:line="288" w:before="0" w:after="180"/>
        <w:ind w:left="0" w:right="0" w:firstLine="360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pStyle w:val="TextBody"/>
        <w:spacing w:lineRule="auto" w:line="288" w:before="0" w:after="180"/>
        <w:ind w:left="0" w:right="0" w:firstLine="288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any applicable Requirement of Law as a basis for claiming exemption from or a reduction in U.S. federal withholding Tax, duly completed, together with such supplementary documentation as may be prescribed by any applicable Requirement of Law to permit the Borrower or the Administrative Agent to determine the withholding or deduction required to be made; and</w:t>
      </w:r>
    </w:p>
    <w:p>
      <w:pPr>
        <w:pStyle w:val="TextBody"/>
        <w:spacing w:lineRule="auto" w:line="288" w:before="0" w:after="180"/>
        <w:ind w:left="0" w:right="0" w:firstLine="288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w:t>
      </w:r>
      <w:r>
        <w:br w:type="page"/>
      </w:r>
    </w:p>
    <w:p>
      <w:pPr>
        <w:pStyle w:val="TextBody"/>
        <w:spacing w:before="0" w:after="0"/>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60655"/>
                <wp:effectExtent l="0" t="0" r="0" b="0"/>
                <wp:wrapNone/>
                <wp:docPr id="309" name="Frame30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Agent at the time or times prescribed by law and at such time or times reasonably requested by the Borrower or the Administrative Agent such documentation prescribed by any applicable Requirement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(including by the payment of additional amounts pursuant to this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it shall pay to the indemnifying party an amount equal to such refund (but only to the extent of indemnity payments made under this Section with respect to the Taxes giving rise to such refund), net of all out-of- pocket expenses (including Taxes) of such indemnified party and without interest (other than any interest paid by the relevant Taxing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2"/>
          <w:u w:val="single"/>
        </w:rPr>
        <w:t>Section 2.20(g)</w:t>
      </w:r>
      <w:r>
        <w:rPr>
          <w:color w:val="000000"/>
        </w:rPr>
        <w:t xml:space="preserve"> </w:t>
      </w:r>
      <w:r>
        <w:rPr>
          <w:rFonts w:ascii="Times New Roman;sans-serif" w:hAnsi="Times New Roman;sans-serif"/>
          <w:b w:val="false"/>
          <w:color w:val="000000"/>
          <w:sz w:val="22"/>
        </w:rPr>
        <w:t xml:space="preserve">(plus any penalties, interest or other charges imposed by the relevant Taxing Authority) in the event that such indemnified party is required to repay such refund to such Taxing Authority. Notwithstanding anything to the contrary in this </w:t>
      </w:r>
      <w:r>
        <w:rPr>
          <w:rFonts w:ascii="Times New Roman;sans-serif" w:hAnsi="Times New Roman;sans-serif"/>
          <w:b w:val="false"/>
          <w:color w:val="000000"/>
          <w:sz w:val="22"/>
          <w:u w:val="single"/>
        </w:rPr>
        <w:t>Section 2.20(g)</w:t>
      </w:r>
      <w:r>
        <w:rPr>
          <w:rFonts w:ascii="Times New Roman;sans-serif" w:hAnsi="Times New Roman;sans-serif"/>
          <w:b w:val="false"/>
          <w:color w:val="000000"/>
          <w:sz w:val="22"/>
        </w:rPr>
        <w:t xml:space="preserve">, in no event will the indemnified party be required to pay any amount to an indemnifying party pursuant to this </w:t>
      </w:r>
      <w:r>
        <w:rPr>
          <w:rFonts w:ascii="Times New Roman;sans-serif" w:hAnsi="Times New Roman;sans-serif"/>
          <w:b w:val="false"/>
          <w:color w:val="000000"/>
          <w:sz w:val="22"/>
          <w:u w:val="single"/>
        </w:rPr>
        <w:t>Section 2.20(g)</w:t>
      </w:r>
      <w:r>
        <w:rPr>
          <w:color w:val="000000"/>
        </w:rPr>
        <w:t xml:space="preserve"> </w:t>
      </w:r>
      <w:r>
        <w:rPr>
          <w:rFonts w:ascii="Times New Roman;sans-serif" w:hAnsi="Times New Roman;sans-serif"/>
          <w:b w:val="false"/>
          <w:color w:val="000000"/>
          <w:sz w:val="22"/>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On or prior to the date the Administrative Agent (or any successor thereto) becomes a party to this Agreement, with respect to payments received on account of any Lender, the Administrative Agent shall deliver to the Borrower executed copies of (i) IRS Form W-9, or (ii) IRS Form W-8IMY properly completed and duly executed to treat the Administrative Agent as a U.S. person (as described in Section 1.1441-1(e)(3)(v) of the United States Treasury Regulations).</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and the Discharge of Obligations.</w:t>
      </w:r>
    </w:p>
    <w:p>
      <w:pPr>
        <w:pStyle w:val="TextBody"/>
        <w:spacing w:lineRule="auto" w:line="288" w:before="0" w:after="180"/>
        <w:ind w:left="0" w:right="0" w:firstLine="720"/>
        <w:jc w:val="both"/>
        <w:rPr/>
      </w:pPr>
      <w:r>
        <w:rPr>
          <w:rFonts w:ascii="Times New Roman;sans-serif" w:hAnsi="Times New Roman;sans-serif"/>
          <w:b/>
          <w:color w:val="000000"/>
          <w:sz w:val="22"/>
        </w:rPr>
        <w:t>2.21</w:t>
      </w:r>
      <w:r>
        <w:rPr>
          <w:rFonts w:ascii="Times New Roman;sans-serif" w:hAnsi="Times New Roman;sans-serif"/>
          <w:b/>
          <w:color w:val="000000"/>
          <w:sz w:val="22"/>
        </w:rPr>
        <w:t>Indemnity</w:t>
      </w:r>
      <w:r>
        <w:rPr>
          <w:rFonts w:ascii="Times New Roman;sans-serif" w:hAnsi="Times New Roman;sans-serif"/>
          <w:b w:val="false"/>
          <w:color w:val="000000"/>
          <w:sz w:val="22"/>
        </w:rPr>
        <w:t xml:space="preserve">. The Borrower agrees to indemnify each Lender for, and to hold each Lender harmless from, any loss or expense that such Lender may sustain or incur as a consequence of (a) a default by the Borrower in making a borrowing of, conversion into or continuation of Eurodollar Loans </w:t>
      </w:r>
      <w:r>
        <w:br w:type="page"/>
      </w:r>
    </w:p>
    <w:p>
      <w:pPr>
        <w:pStyle w:val="TextBody"/>
        <w:spacing w:before="0" w:after="0"/>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60655"/>
                <wp:effectExtent l="0" t="0" r="0" b="0"/>
                <wp:wrapNone/>
                <wp:docPr id="310" name="Frame30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after the Borrower has given a notice requesting the same in accordance with the provisions of this Agreement, (b) a default by the Borrower in making any prepayment of or conversion from Eurodollar Loans after the Borrower has given a notice thereof in accordance with the provisions of this Agreement, or (c) for any reason, the making of a prepayment of Eurodollar Loans on a day that is not the last day of an Interest Period with respect thereto. Such losses and expenses shall be equal to the excess, if any, of (i) the amount of interest that would have accrued on the amount so prepaid, or not so borrowed, reduced, converted or continued, for the period from the date of such prepayment or of such failure to borrow, reduce, convert or continue to the last day of such Interest Period (or, in the case of a failure to borrow, reduce, convert or continue, the Interest Period that would have commenced on the date of such failure) in each case at the applicable rate of interest or other return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Discharge of Obligations.</w:t>
      </w:r>
    </w:p>
    <w:p>
      <w:pPr>
        <w:pStyle w:val="TextBody"/>
        <w:spacing w:lineRule="auto" w:line="288" w:before="0" w:after="180"/>
        <w:ind w:left="0" w:right="0" w:firstLine="720"/>
        <w:jc w:val="both"/>
        <w:rPr/>
      </w:pPr>
      <w:r>
        <w:rPr>
          <w:rFonts w:ascii="Times New Roman;sans-serif" w:hAnsi="Times New Roman;sans-serif"/>
          <w:b/>
          <w:color w:val="000000"/>
          <w:sz w:val="22"/>
        </w:rPr>
        <w:t>2.22</w:t>
      </w:r>
      <w:r>
        <w:rPr>
          <w:rFonts w:ascii="Times New Roman;sans-serif" w:hAnsi="Times New Roman;sans-serif"/>
          <w:b/>
          <w:color w:val="000000"/>
          <w:sz w:val="22"/>
        </w:rPr>
        <w:t>Change of Lending Office</w:t>
      </w:r>
      <w:r>
        <w:rPr>
          <w:rFonts w:ascii="Times New Roman;sans-serif" w:hAnsi="Times New Roman;sans-serif"/>
          <w:b w:val="false"/>
          <w:color w:val="000000"/>
          <w:sz w:val="22"/>
        </w:rPr>
        <w:t xml:space="preserve">. Each Lender agrees that, upon the occurrence of any event giving rise to the operation of </w:t>
      </w:r>
      <w:r>
        <w:rPr>
          <w:rFonts w:ascii="Times New Roman;sans-serif" w:hAnsi="Times New Roman;sans-serif"/>
          <w:b w:val="false"/>
          <w:color w:val="000000"/>
          <w:sz w:val="22"/>
          <w:u w:val="single"/>
        </w:rPr>
        <w:t>Section 2.19(b)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2.19(c)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2.20(a)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2.20(b)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2.20(d)</w:t>
      </w:r>
      <w:r>
        <w:rPr>
          <w:color w:val="000000"/>
        </w:rPr>
        <w:t xml:space="preserve"> </w:t>
      </w:r>
      <w:r>
        <w:rPr>
          <w:rFonts w:ascii="Times New Roman;sans-serif" w:hAnsi="Times New Roman;sans-serif"/>
          <w:b w:val="false"/>
          <w:color w:val="000000"/>
          <w:sz w:val="22"/>
        </w:rPr>
        <w:t xml:space="preserve">with respect to such Lender,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2.20</w:t>
      </w:r>
      <w:r>
        <w:rPr>
          <w:rFonts w:ascii="Times New Roman;sans-serif" w:hAnsi="Times New Roman;sans-serif"/>
          <w:b w:val="false"/>
          <w:color w:val="000000"/>
          <w:sz w:val="22"/>
        </w:rPr>
        <w:t xml:space="preserve">, as the case may be, in the future, and (ii) would not subject such Lender to any unreimbursed cost or expense and would not otherwise be disadvantageous to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in this Section shall affect or postpone any of the obligations of the Borrower or the rights of any Lender pursuant to </w:t>
      </w:r>
      <w:r>
        <w:rPr>
          <w:rFonts w:ascii="Times New Roman;sans-serif" w:hAnsi="Times New Roman;sans-serif"/>
          <w:b w:val="false"/>
          <w:color w:val="000000"/>
          <w:sz w:val="22"/>
          <w:u w:val="single"/>
        </w:rPr>
        <w:t>Section 2.19(b)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2.19(c)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2.20(a)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2.20(b)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2.20(d)</w:t>
      </w:r>
      <w:r>
        <w:rPr>
          <w:rFonts w:ascii="Times New Roman;sans-serif" w:hAnsi="Times New Roman;sans-serif"/>
          <w:b w:val="false"/>
          <w:color w:val="000000"/>
          <w:sz w:val="22"/>
        </w:rPr>
        <w:t>. The Borrower hereby agrees to pay all reasonable and documented costs and expenses incurred by any Lender in connection with any such designation or assignment made at the request of the Borrower.</w:t>
      </w:r>
    </w:p>
    <w:p>
      <w:pPr>
        <w:pStyle w:val="TextBody"/>
        <w:spacing w:lineRule="auto" w:line="288" w:before="0" w:after="180"/>
        <w:ind w:left="0" w:right="0" w:firstLine="720"/>
        <w:jc w:val="both"/>
        <w:rPr/>
      </w:pPr>
      <w:r>
        <w:rPr>
          <w:rFonts w:ascii="Times New Roman;sans-serif" w:hAnsi="Times New Roman;sans-serif"/>
          <w:b/>
          <w:color w:val="000000"/>
          <w:sz w:val="22"/>
        </w:rPr>
        <w:t>2.23</w:t>
      </w:r>
      <w:r>
        <w:rPr>
          <w:rFonts w:ascii="Times New Roman;sans-serif" w:hAnsi="Times New Roman;sans-serif"/>
          <w:b/>
          <w:color w:val="000000"/>
          <w:sz w:val="22"/>
        </w:rPr>
        <w:t>Substitution of Lenders</w:t>
      </w:r>
      <w:r>
        <w:rPr>
          <w:rFonts w:ascii="Times New Roman;sans-serif" w:hAnsi="Times New Roman;sans-serif"/>
          <w:b w:val="false"/>
          <w:color w:val="000000"/>
          <w:sz w:val="22"/>
        </w:rPr>
        <w:t>. Upon the receipt by the Borrower of any of the following (or in the case of clause (a) below, if the Borrower is required to pay any such amount), with respect to any Lender (any such Lender described in clauses (a) through (c) below being referred to as an “</w:t>
      </w:r>
      <w:r>
        <w:rPr>
          <w:rFonts w:ascii="Times New Roman;sans-serif" w:hAnsi="Times New Roman;sans-serif"/>
          <w:b/>
          <w:i/>
          <w:color w:val="000000"/>
          <w:sz w:val="22"/>
        </w:rPr>
        <w:t>Affected Lender</w:t>
      </w:r>
      <w:r>
        <w:rPr>
          <w:color w:val="000000"/>
        </w:rPr>
        <w:t xml:space="preserve">” </w:t>
      </w:r>
      <w:r>
        <w:rPr>
          <w:rFonts w:ascii="Times New Roman;sans-serif" w:hAnsi="Times New Roman;sans-serif"/>
          <w:b w:val="false"/>
          <w:color w:val="000000"/>
          <w:sz w:val="22"/>
        </w:rPr>
        <w:t>hereunder):</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 request from a Lender for payment of Indemnified Taxes or additional amounts under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or of increased costs pursuant to </w:t>
      </w:r>
      <w:r>
        <w:rPr>
          <w:rFonts w:ascii="Times New Roman;sans-serif" w:hAnsi="Times New Roman;sans-serif"/>
          <w:b w:val="false"/>
          <w:color w:val="000000"/>
          <w:sz w:val="22"/>
          <w:u w:val="single"/>
        </w:rPr>
        <w:t>Section 2.19(b)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2.19(c)</w:t>
      </w:r>
      <w:r>
        <w:rPr>
          <w:color w:val="000000"/>
        </w:rPr>
        <w:t xml:space="preserve"> </w:t>
      </w:r>
      <w:r>
        <w:rPr>
          <w:rFonts w:ascii="Times New Roman;sans-serif" w:hAnsi="Times New Roman;sans-serif"/>
          <w:b w:val="false"/>
          <w:color w:val="000000"/>
          <w:sz w:val="22"/>
        </w:rPr>
        <w:t xml:space="preserve">(and, in any such case, such Lender has declined or is unable to designate a different lending office in accordance with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or is a Non-Consenting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 notice from the Administrative Agent under </w:t>
      </w:r>
      <w:r>
        <w:rPr>
          <w:rFonts w:ascii="Times New Roman;sans-serif" w:hAnsi="Times New Roman;sans-serif"/>
          <w:b w:val="false"/>
          <w:color w:val="000000"/>
          <w:sz w:val="22"/>
          <w:u w:val="single"/>
        </w:rPr>
        <w:t>Section 10.1(b)</w:t>
      </w:r>
      <w:r>
        <w:rPr>
          <w:color w:val="000000"/>
        </w:rPr>
        <w:t xml:space="preserve"> </w:t>
      </w:r>
      <w:r>
        <w:rPr>
          <w:rFonts w:ascii="Times New Roman;sans-serif" w:hAnsi="Times New Roman;sans-serif"/>
          <w:b w:val="false"/>
          <w:color w:val="000000"/>
          <w:sz w:val="22"/>
        </w:rPr>
        <w:t>that one or more Minority Lenders are unwilling to agree to an amendment or other modification approved by the Required Lenders and the Administrative Agent; or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notice from the Administrative Agent that a Lender is a Defaulting Lender; 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w:t>
      </w:r>
      <w:r>
        <w:br w:type="page"/>
      </w:r>
    </w:p>
    <w:p>
      <w:pPr>
        <w:pStyle w:val="TextBody"/>
        <w:spacing w:before="0" w:after="0"/>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60655"/>
                <wp:effectExtent l="0" t="0" r="0" b="0"/>
                <wp:wrapNone/>
                <wp:docPr id="311" name="Frame30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Affected Lender’s Loans and Commitment (the replacing Lender or lender in (i) or (ii) being a “</w:t>
      </w:r>
      <w:r>
        <w:rPr>
          <w:rFonts w:ascii="Times New Roman;sans-serif" w:hAnsi="Times New Roman;sans-serif"/>
          <w:b/>
          <w:i/>
          <w:color w:val="000000"/>
          <w:sz w:val="22"/>
        </w:rPr>
        <w:t>Replacement Lender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Borrower shall be liable for the payment upon demand of all costs and other amounts arising under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that result from the acquisition of any Affected Lender’s Loan and/or Commitment (or any portion thereof) by a Lender or Replacement Lender, as the case may be, on a date other than the last day of the applicable Interest Period with respect to any Eurodollar Loans then outstanding. The Affected Lender replaced pursuant to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hereof). Any such designation of a Replacement Lender shall be effected in accordance with, and subject to the terms and conditions of, the assignment provisions contained in </w:t>
      </w:r>
      <w:r>
        <w:rPr>
          <w:rFonts w:ascii="Times New Roman;sans-serif" w:hAnsi="Times New Roman;sans-serif"/>
          <w:b w:val="false"/>
          <w:color w:val="000000"/>
          <w:sz w:val="22"/>
          <w:u w:val="single"/>
        </w:rPr>
        <w:t>Section 10.6</w:t>
      </w:r>
      <w:r>
        <w:rPr>
          <w:color w:val="000000"/>
        </w:rPr>
        <w:t xml:space="preserve"> </w:t>
      </w:r>
      <w:r>
        <w:rPr>
          <w:rFonts w:ascii="Times New Roman;sans-serif" w:hAnsi="Times New Roman;sans-serif"/>
          <w:b w:val="false"/>
          <w:color w:val="000000"/>
          <w:sz w:val="22"/>
        </w:rPr>
        <w:t>(with the assignment fee to be paid by the Borrower in such instance)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Affected Lender does not comply with </w:t>
      </w:r>
      <w:r>
        <w:rPr>
          <w:rFonts w:ascii="Times New Roman;sans-serif" w:hAnsi="Times New Roman;sans-serif"/>
          <w:b w:val="false"/>
          <w:color w:val="000000"/>
          <w:sz w:val="22"/>
          <w:u w:val="single"/>
        </w:rPr>
        <w:t>Section 10.6</w:t>
      </w:r>
      <w:r>
        <w:rPr>
          <w:color w:val="000000"/>
        </w:rPr>
        <w:t xml:space="preserve"> </w:t>
      </w:r>
      <w:r>
        <w:rPr>
          <w:rFonts w:ascii="Times New Roman;sans-serif" w:hAnsi="Times New Roman;sans-serif"/>
          <w:b w:val="false"/>
          <w:color w:val="000000"/>
          <w:sz w:val="22"/>
        </w:rPr>
        <w:t xml:space="preserve">within ten (10) Business Days after the Borrower’s request, the Administrative Agent is authorized to execute the Assignment and Acceptance on behalf of such Affected Lender)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(a) in the case of any such assignment resulting from a claim for compensation under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pStyle w:val="TextBody"/>
        <w:spacing w:lineRule="auto" w:line="288" w:before="0" w:after="180"/>
        <w:ind w:left="0" w:right="0" w:firstLine="720"/>
        <w:rPr/>
      </w:pPr>
      <w:r>
        <w:rPr>
          <w:rFonts w:ascii="Times New Roman;sans-serif" w:hAnsi="Times New Roman;sans-serif"/>
          <w:b/>
          <w:color w:val="000000"/>
          <w:sz w:val="22"/>
        </w:rPr>
        <w:t>2.24</w:t>
      </w:r>
      <w:r>
        <w:rPr>
          <w:rFonts w:ascii="Times New Roman;sans-serif" w:hAnsi="Times New Roman;sans-serif"/>
          <w:b/>
          <w:color w:val="000000"/>
          <w:sz w:val="22"/>
        </w:rPr>
        <w:t>Defaulting Lenders.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Defaulting Lender 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Such Defaulting Lender’s right to approve or disapprove any amendment, waiver or consent with respect to this Agreement shall be restricted as set forth in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and in the definitions of Majority Revolving Lenders, Majority Term Lenders and Required Lenders.</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or otherwise, and including any amounts made available to the Administrative Agent by such Defaulting Lender pursuant to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xml:space="preserve">), shall be applied at such time or times as may be determined by the Administrative Agent as follows: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payment on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basis of any amounts owing by such Defaulting Lender to the Issuing Lender or to the Swingline Lender hereunder;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be held as Cash Collateral for the funding </w:t>
      </w:r>
      <w:r>
        <w:br w:type="page"/>
      </w:r>
    </w:p>
    <w:p>
      <w:pPr>
        <w:pStyle w:val="TextBody"/>
        <w:spacing w:before="0" w:after="0"/>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60655"/>
                <wp:effectExtent l="0" t="0" r="0" b="0"/>
                <wp:wrapNone/>
                <wp:docPr id="312" name="Frame30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obligations of such Defaulting Lender of any participation in any Letter of Credit;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and L/C Advances owed to, all Non-Defaulting Lenders on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Times New Roman;sans-serif" w:hAnsi="Times New Roman;sans-serif"/>
          <w:b w:val="false"/>
          <w:color w:val="000000"/>
          <w:sz w:val="22"/>
          <w:u w:val="single"/>
        </w:rPr>
        <w:t>Section 2.24(a)(iv)</w:t>
      </w:r>
      <w:r>
        <w:rPr>
          <w:rFonts w:ascii="Times New Roman;sans-serif" w:hAnsi="Times New Roman;sans-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2.24(a)(ii)</w:t>
      </w:r>
      <w:r>
        <w:rPr>
          <w:color w:val="000000"/>
        </w:rPr>
        <w:t xml:space="preserve"> </w:t>
      </w:r>
      <w:r>
        <w:rPr>
          <w:rFonts w:ascii="Times New Roman;sans-serif" w:hAnsi="Times New Roman;sans-serif"/>
          <w:b w:val="false"/>
          <w:color w:val="000000"/>
          <w:sz w:val="22"/>
        </w:rPr>
        <w:t>shall be deemed paid to and redirected by such Defaulting Lender, and each Lender irrevocably consents hereto.</w:t>
      </w:r>
    </w:p>
    <w:p>
      <w:pPr>
        <w:pStyle w:val="TextBody"/>
        <w:spacing w:lineRule="auto" w:line="288" w:before="0" w:after="180"/>
        <w:ind w:left="0" w:right="0" w:firstLine="2160"/>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w:t>
      </w:r>
    </w:p>
    <w:p>
      <w:pPr>
        <w:pStyle w:val="TextBody"/>
        <w:spacing w:lineRule="auto" w:line="288" w:before="0" w:after="180"/>
        <w:ind w:left="0" w:right="0" w:firstLine="288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 Defaulting Lender shall be entitled to receive any fee pursuant to </w:t>
      </w:r>
      <w:r>
        <w:rPr>
          <w:rFonts w:ascii="Times New Roman;sans-serif" w:hAnsi="Times New Roman;sans-serif"/>
          <w:b w:val="false"/>
          <w:color w:val="000000"/>
          <w:sz w:val="22"/>
          <w:u w:val="single"/>
        </w:rPr>
        <w:t>Section 2.9(b)</w:t>
      </w:r>
      <w:r>
        <w:rPr>
          <w:color w:val="000000"/>
        </w:rPr>
        <w:t xml:space="preserve"> </w:t>
      </w:r>
      <w:r>
        <w:rPr>
          <w:rFonts w:ascii="Times New Roman;sans-serif" w:hAnsi="Times New Roman;sans-serif"/>
          <w:b w:val="false"/>
          <w:color w:val="000000"/>
          <w:sz w:val="22"/>
        </w:rPr>
        <w:t>for any period during which such Lender is a Defaulting Lender (and the Borrower shall not be required to pay any such fee that otherwise would have been required to have been paid to such Defaulting Lender).</w:t>
      </w:r>
    </w:p>
    <w:p>
      <w:pPr>
        <w:pStyle w:val="TextBody"/>
        <w:spacing w:lineRule="auto" w:line="288" w:before="0" w:after="180"/>
        <w:ind w:left="0" w:right="0" w:firstLine="288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Defaulting Lender shall be limited in its right to receive Letter of Credit Fees as provided in </w:t>
      </w:r>
      <w:r>
        <w:rPr>
          <w:rFonts w:ascii="Times New Roman;sans-serif" w:hAnsi="Times New Roman;sans-serif"/>
          <w:b w:val="false"/>
          <w:color w:val="000000"/>
          <w:sz w:val="22"/>
          <w:u w:val="single"/>
        </w:rPr>
        <w:t>Section 3.3(d)</w:t>
      </w:r>
      <w:r>
        <w:rPr>
          <w:rFonts w:ascii="Times New Roman;sans-serif" w:hAnsi="Times New Roman;sans-serif"/>
          <w:b w:val="false"/>
          <w:color w:val="000000"/>
          <w:sz w:val="22"/>
        </w:rPr>
        <w:t>.</w:t>
      </w:r>
    </w:p>
    <w:p>
      <w:pPr>
        <w:pStyle w:val="TextBody"/>
        <w:spacing w:lineRule="auto" w:line="288" w:before="0" w:after="180"/>
        <w:ind w:left="0" w:right="0" w:firstLine="288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With respect to any Letter of Credit Fee not required to be paid to any Defaulting Lender pursuant to clause (A) or (B) above, the Borrower shall (x) pay to each Non- 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Reallocation of Pro Rata Share to Reduce Fronting Exposure</w:t>
      </w:r>
      <w:r>
        <w:rPr>
          <w:rFonts w:ascii="Times New Roman;sans-serif" w:hAnsi="Times New Roman;sans-serif"/>
          <w:b w:val="false"/>
          <w:color w:val="000000"/>
          <w:sz w:val="22"/>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or in Swingline Loans pursuant to </w:t>
      </w:r>
      <w:r>
        <w:rPr>
          <w:rFonts w:ascii="Times New Roman;sans-serif" w:hAnsi="Times New Roman;sans-serif"/>
          <w:b w:val="false"/>
          <w:color w:val="000000"/>
          <w:sz w:val="22"/>
          <w:u w:val="single"/>
        </w:rPr>
        <w:t>Section 2.7(c)</w:t>
      </w:r>
      <w:r>
        <w:rPr>
          <w:rFonts w:ascii="Times New Roman;sans-serif" w:hAnsi="Times New Roman;sans-serif"/>
          <w:b w:val="false"/>
          <w:color w:val="000000"/>
          <w:sz w:val="22"/>
        </w:rPr>
        <w:t xml:space="preserve">, the L/C Percentage of each Non-Defaulting </w:t>
      </w:r>
      <w:r>
        <w:br w:type="page"/>
      </w:r>
    </w:p>
    <w:p>
      <w:pPr>
        <w:pStyle w:val="TextBody"/>
        <w:spacing w:before="0" w:after="0"/>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60655"/>
                <wp:effectExtent l="0" t="0" r="0" b="0"/>
                <wp:wrapNone/>
                <wp:docPr id="313" name="Frame30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Lender of any such Letter of Credit and the Revolving Percentage of each Non-Defaulting Lender of any such Swingline Loan, as the case may be, shall be computed without giving effect to the Revolving Commitment of such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Revolving Loans of that Lender plus the aggregate amount of that Lender’s L/C Percentage of then outstanding Letters of Credit. Subject to </w:t>
      </w:r>
      <w:r>
        <w:rPr>
          <w:rFonts w:ascii="Times New Roman;sans-serif" w:hAnsi="Times New Roman;sans-serif"/>
          <w:b w:val="false"/>
          <w:color w:val="000000"/>
          <w:sz w:val="22"/>
          <w:u w:val="single"/>
        </w:rPr>
        <w:t>Section 10.21</w:t>
      </w:r>
      <w:r>
        <w:rPr>
          <w:rFonts w:ascii="Times New Roman;sans-serif" w:hAnsi="Times New Roman;sans-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Cash Collateral, Repayment of Swingline Loans</w:t>
      </w:r>
      <w:r>
        <w:rPr>
          <w:rFonts w:ascii="Times New Roman;sans-serif" w:hAnsi="Times New Roman;sans-serif"/>
          <w:b w:val="false"/>
          <w:color w:val="000000"/>
          <w:sz w:val="22"/>
        </w:rPr>
        <w:t xml:space="preserve">. If the reallocation described in clause (iv) above cannot, or can only partially, be effected, the Borrower shall, without prejudice to any right or remedy available to it hereunder or under law, (x)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prepay Swingline Loans in an amount equal to the Swingline Lender’s Fronting Exposure and (y)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Cash Collateralize the Issuing Lender’s Fronting Exposure in accordance with the procedures set forth in </w:t>
      </w:r>
      <w:r>
        <w:rPr>
          <w:rFonts w:ascii="Times New Roman;sans-serif" w:hAnsi="Times New Roman;sans-serif"/>
          <w:b w:val="false"/>
          <w:color w:val="000000"/>
          <w:sz w:val="22"/>
          <w:u w:val="single"/>
        </w:rPr>
        <w:t>Section 3.10</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basis by the Lenders in accordance with their respective Revolving Percentages, L/C Percentages, and Term Percentages, as applicable (without giving effect to </w:t>
      </w:r>
      <w:r>
        <w:rPr>
          <w:rFonts w:ascii="Times New Roman;sans-serif" w:hAnsi="Times New Roman;sans-serif"/>
          <w:b w:val="false"/>
          <w:color w:val="000000"/>
          <w:sz w:val="22"/>
          <w:u w:val="single"/>
        </w:rPr>
        <w:t>Section 2.24(a)(iv)</w:t>
      </w:r>
      <w:r>
        <w:rPr>
          <w:rFonts w:ascii="Times New Roman;sans-serif" w:hAnsi="Times New Roman;sans-serif"/>
          <w:b w:val="false"/>
          <w:color w:val="000000"/>
          <w:sz w:val="22"/>
        </w:rPr>
        <w:t xml:space="preserve">), whereupon such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the Borrower while such Lender was a Defaulting Lender;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except to the extent otherwise expressly agreed by the affected parties, no change hereunder from Defaulting Lender to Lender will constitute a waiver or release of any claim of any party hereunder arising from such Lender having been a Defaulting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New Swingline Loans/Letters of Credit</w:t>
      </w:r>
      <w:r>
        <w:rPr>
          <w:rFonts w:ascii="Times New Roman;sans-serif" w:hAnsi="Times New Roman;sans-serif"/>
          <w:b w:val="false"/>
          <w:color w:val="000000"/>
          <w:sz w:val="22"/>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Termination of Defaulting Lender</w:t>
      </w:r>
      <w:r>
        <w:rPr>
          <w:rFonts w:ascii="Times New Roman;sans-serif" w:hAnsi="Times New Roman;sans-serif"/>
          <w:b w:val="false"/>
          <w:color w:val="000000"/>
          <w:sz w:val="22"/>
        </w:rPr>
        <w:t xml:space="preserve">. The Borrower may terminate the unused amount of the Revolving Commitment of any Revolving Lender that is a Defaulting Lender upon not less than ten (10) Business Days’ prior notice to the Administrative Agent (which shall promptly notify the Lenders thereof), and in such event the provisions of </w:t>
      </w:r>
      <w:r>
        <w:rPr>
          <w:rFonts w:ascii="Times New Roman;sans-serif" w:hAnsi="Times New Roman;sans-serif"/>
          <w:b w:val="false"/>
          <w:color w:val="000000"/>
          <w:sz w:val="22"/>
          <w:u w:val="single"/>
        </w:rPr>
        <w:t>Section 2.24(a)(ii)</w:t>
      </w:r>
      <w:r>
        <w:rPr>
          <w:color w:val="000000"/>
        </w:rPr>
        <w:t xml:space="preserve"> </w:t>
      </w:r>
      <w:r>
        <w:rPr>
          <w:rFonts w:ascii="Times New Roman;sans-serif" w:hAnsi="Times New Roman;sans-serif"/>
          <w:b w:val="false"/>
          <w:color w:val="000000"/>
          <w:sz w:val="22"/>
        </w:rPr>
        <w:t xml:space="preserve">will apply to all amounts thereafter paid by the Borrower for the account of such Defaulting Lender under this Agreement (whether on account of principal, interest, fees, indemnity or other amounts);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r>
        <w:br w:type="page"/>
      </w:r>
    </w:p>
    <w:p>
      <w:pPr>
        <w:pStyle w:val="TextBody"/>
        <w:spacing w:before="0" w:after="0"/>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60655"/>
                <wp:effectExtent l="0" t="0" r="0" b="0"/>
                <wp:wrapNone/>
                <wp:docPr id="314" name="Frame30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2.25</w:t>
      </w:r>
      <w:r>
        <w:rPr>
          <w:rFonts w:ascii="Times New Roman;sans-serif" w:hAnsi="Times New Roman;sans-serif"/>
          <w:b/>
          <w:color w:val="000000"/>
          <w:sz w:val="22"/>
        </w:rPr>
        <w:t>Notes</w:t>
      </w:r>
      <w:r>
        <w:rPr>
          <w:rFonts w:ascii="Times New Roman;sans-serif" w:hAnsi="Times New Roman;sans-serif"/>
          <w:b w:val="false"/>
          <w:color w:val="000000"/>
          <w:sz w:val="22"/>
        </w:rPr>
        <w:t xml:space="preserve">. If so requested by any Lender by written notice to the Borrower (with a copy to the Administrative Agent), the Borrower shall execute and deliver to such Lender (and/or, if applicable and if so specified in such notice, to any Person who is an assignee of such Lender pursuant to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(promptly after the Borrower’s receipt of such notice) a Note or Notes to evidence such Lender’s Loans.</w:t>
      </w:r>
    </w:p>
    <w:p>
      <w:pPr>
        <w:pStyle w:val="TextBody"/>
        <w:spacing w:lineRule="auto" w:line="288" w:before="0" w:after="180"/>
        <w:ind w:left="0" w:right="0" w:firstLine="720"/>
        <w:rPr/>
      </w:pPr>
      <w:r>
        <w:rPr>
          <w:rFonts w:ascii="Times New Roman;sans-serif" w:hAnsi="Times New Roman;sans-serif"/>
          <w:b/>
          <w:color w:val="000000"/>
          <w:sz w:val="22"/>
        </w:rPr>
        <w:t>2.26</w:t>
      </w:r>
      <w:r>
        <w:rPr>
          <w:rFonts w:ascii="Times New Roman;sans-serif" w:hAnsi="Times New Roman;sans-serif"/>
          <w:b/>
          <w:color w:val="000000"/>
          <w:sz w:val="22"/>
        </w:rPr>
        <w:t>Incremental Facility.</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At any time during the Revolving Commitment Period, the Borrower may request from time to time from one or more existing Lenders or from other Eligible Assignees reasonably acceptable to the Administrative Agent, the Issuing Lender, the Swingline Lender and the Borrower (but subject to the conditions set forth in clause (b) below) that the Total Revolving Commitments be increased by an amount not to exceed the Available Revolving Increase Amount (each such increase, an “</w:t>
      </w:r>
      <w:r>
        <w:rPr>
          <w:rFonts w:ascii="Times New Roman;sans-serif" w:hAnsi="Times New Roman;sans-serif"/>
          <w:b/>
          <w:i/>
          <w:color w:val="000000"/>
          <w:sz w:val="22"/>
        </w:rPr>
        <w:t>Increase</w:t>
      </w:r>
      <w:r>
        <w:rPr>
          <w:color w:val="000000"/>
        </w:rPr>
        <w:t>”</w:t>
      </w:r>
      <w:r>
        <w:rPr>
          <w:rFonts w:ascii="Times New Roman;sans-serif" w:hAnsi="Times New Roman;sans-serif"/>
          <w:b w:val="false"/>
          <w:color w:val="000000"/>
          <w:sz w:val="22"/>
        </w:rPr>
        <w:t>); provided that the Borrower may not request an Increase on more than three occasions during the Revolving Commitment Period. No Lender shall be obligated to increase its Revolving Commitments in connection with a proposed Increase. The Administrative Agent shall invite each Lender to provide a portion of the Increase ratably in accordance with its Revolving Percentage of each requested Increase (it being agreed that no Lender shall be obligated to provide an Increase and that any Lender may elect to participate in such Increase in an amount that is less than its Revolving Percentage of such requested Increase or more than its Revolving Percentage of such requested Increase if other Lenders have elected not to participate in any applicable requested Increase in accordance with their Revolving Percentage) and to the extent, ten (10) Business Days after receipt of invitation, sufficient Lenders do not agree to provide the full amount of such Increase, then the Administrative Agent may invite any prospective lender approved by the Borrower that satisfies the criteria of being an “Eligible Assignee” to become a Lender in connection with the proposed Increase. Any Increase shall be in an amount of at least $10,000,000 (or, if the Available Revolving Increase Amount is less than $10,000,000, such remaining Available Revolving Increase Amount) and integral multiples of $2,500,000 in excess thereof. Additionally, for the avoidance of doubt, it is understood and agreed that in no event shall the aggregate amount of the Increases to the Revolving Commitments exceed the Available Revolving Increase Amount during the term of the Agreement.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of the following shall be conditions precedent to any Increase of the Revolving Commitments in connection therewith:</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any Increase shall be on the same terms (including the interest rate, and maturity date), as applicable, as, and pursuant to documentation applicable to, the Revolving Facility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Increase may provide for terms (including interest rate) more favorable to such Increase lenders, if any existing Revolving Loans and Revolving Commitments at the time of such Increase are also provided the benefit of such more favorable terms (and the consent of any existing Revolving Lender shall not be required to implement such terms);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any upfront fees shall be agreed between the Borrower and the lenders providing such Increase;</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the Borrower shall have delivered a written request for such Increase at least fifteen (15) Business Days prior to the requested establishment of such Increase (or such later date as may be reasonably approved by the Administrative Agent), which request shall set forth the amount and proposed terms of the Increase;</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 xml:space="preserve">each lender agreeing to such Increase, the Borrower and the Administrative Agent shall have signed an Increase Joinder (any Increase Joinder may, with the consent of the Administrative Agent, the Borrower and the lenders agreeing to such Increase, effect such amendments to this Agreement and the other Loan Documents as may be necessary or appropriate to </w:t>
      </w:r>
      <w:r>
        <w:br w:type="page"/>
      </w:r>
    </w:p>
    <w:p>
      <w:pPr>
        <w:pStyle w:val="TextBody"/>
        <w:spacing w:before="0" w:after="0"/>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60655"/>
                <wp:effectExtent l="0" t="0" r="0" b="0"/>
                <wp:wrapNone/>
                <wp:docPr id="315" name="Frame30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effectuate the provisions of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(including the preceding clause (i)) and the Borrower shall have executed any Notes requested by any Lender in connection with the making of the Increase. Notwithstanding anything to the contrary in this Agreement or in any other Loan Document, an Increase Joinder reasonably satisfactory to the Administrative Agent, and the amendments to this Agreement effected thereby, shall not require the consent of any Lender other than the Lender(s) agreeing to establish such Increase;</w: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rPr>
        <w:t xml:space="preserve">immediately after giving </w:t>
      </w:r>
      <w:r>
        <w:rPr>
          <w:rFonts w:ascii="Times New Roman;sans-serif" w:hAnsi="Times New Roman;sans-serif"/>
          <w:b w:val="false"/>
          <w:i/>
          <w:color w:val="000000"/>
          <w:sz w:val="22"/>
        </w:rPr>
        <w:t xml:space="preserve">pro forma </w:t>
      </w:r>
      <w:r>
        <w:rPr>
          <w:rFonts w:ascii="Times New Roman;sans-serif" w:hAnsi="Times New Roman;sans-serif"/>
          <w:b w:val="false"/>
          <w:color w:val="000000"/>
          <w:sz w:val="22"/>
        </w:rPr>
        <w:t xml:space="preserve">effect to such Increase and the use of proceeds thereof, each of the conditions precedent in </w:t>
      </w:r>
      <w:r>
        <w:rPr>
          <w:rFonts w:ascii="Times New Roman;sans-serif" w:hAnsi="Times New Roman;sans-serif"/>
          <w:b w:val="false"/>
          <w:color w:val="000000"/>
          <w:sz w:val="22"/>
          <w:u w:val="single"/>
        </w:rPr>
        <w:t>Section 5.2(a)</w:t>
      </w:r>
      <w:r>
        <w:rPr>
          <w:color w:val="000000"/>
        </w:rPr>
        <w:t xml:space="preserve"> </w:t>
      </w:r>
      <w:r>
        <w:rPr>
          <w:rFonts w:ascii="Times New Roman;sans-serif" w:hAnsi="Times New Roman;sans-serif"/>
          <w:b w:val="false"/>
          <w:color w:val="000000"/>
          <w:sz w:val="22"/>
        </w:rPr>
        <w:t>are satisfied;</w: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 xml:space="preserve">immediately after giving </w:t>
      </w:r>
      <w:r>
        <w:rPr>
          <w:rFonts w:ascii="Times New Roman;sans-serif" w:hAnsi="Times New Roman;sans-serif"/>
          <w:b w:val="false"/>
          <w:i/>
          <w:color w:val="000000"/>
          <w:sz w:val="22"/>
        </w:rPr>
        <w:t xml:space="preserve">pro forma </w:t>
      </w:r>
      <w:r>
        <w:rPr>
          <w:rFonts w:ascii="Times New Roman;sans-serif" w:hAnsi="Times New Roman;sans-serif"/>
          <w:b w:val="false"/>
          <w:color w:val="000000"/>
          <w:sz w:val="22"/>
        </w:rPr>
        <w:t xml:space="preserve">effect to such Increase and the use of proceeds thereof (and assuming that such Increase was fully drawn), (A) no Default or Event of Default shall have occurred and be continuing at the time of such Increase and (B) the Borrower shall be in compliance with the financial covenants set forth in </w:t>
      </w:r>
      <w:r>
        <w:rPr>
          <w:rFonts w:ascii="Times New Roman;sans-serif" w:hAnsi="Times New Roman;sans-serif"/>
          <w:b w:val="false"/>
          <w:color w:val="000000"/>
          <w:sz w:val="22"/>
          <w:u w:val="single"/>
        </w:rPr>
        <w:t>Section 7.1</w:t>
      </w:r>
      <w:r>
        <w:rPr>
          <w:color w:val="000000"/>
        </w:rPr>
        <w:t xml:space="preserve"> </w:t>
      </w:r>
      <w:r>
        <w:rPr>
          <w:rFonts w:ascii="Times New Roman;sans-serif" w:hAnsi="Times New Roman;sans-serif"/>
          <w:b w:val="false"/>
          <w:color w:val="000000"/>
          <w:sz w:val="22"/>
        </w:rPr>
        <w:t>hereof as of the end of the most recently ended month and quarter for which financial statements are internally available to the Loan Parties prior to such Increase, and the Borrower shall have delivered to the Administrative Agent (which shall promptly provide to the Lenders) a Compliance Certificate evidencing compliance with the requirements of this clause (v);</w:t>
      </w:r>
    </w:p>
    <w:p>
      <w:pPr>
        <w:pStyle w:val="TextBody"/>
        <w:spacing w:lineRule="auto" w:line="288" w:before="0" w:after="180"/>
        <w:ind w:left="0" w:right="0" w:firstLine="216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rPr>
        <w:t>in connection with such Increase, the Borrower shall pay to the Administrative Agent, for the benefit of the Administrative Agent or the Increase lenders, as applicable, all fees that the Borrower has agreed to pay in connection with such Increase (including pursuant to the Fee Letter);</w:t>
      </w:r>
    </w:p>
    <w:p>
      <w:pPr>
        <w:pStyle w:val="TextBody"/>
        <w:spacing w:lineRule="auto" w:line="288" w:before="0" w:after="180"/>
        <w:ind w:left="0" w:right="0" w:firstLine="216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rPr>
        <w:t xml:space="preserve">upon each Increase in accordance with this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all outstanding Loans, participations hereunder in Letters of Credit and participations hereunder in Swingline Loans held 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 and</w:t>
      </w:r>
    </w:p>
    <w:p>
      <w:pPr>
        <w:pStyle w:val="TextBody"/>
        <w:spacing w:lineRule="auto" w:line="288" w:before="0" w:after="180"/>
        <w:ind w:left="0" w:right="0" w:firstLine="216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rPr>
        <w:t>the Borrower shall have delivered any additional documentation reasonably requested by the Administrative Agent or the Lenders providing such Increase, including a harvest analysis reasonably acceptable to the Administrative Agent demonstrating sufficient value of Collateral relative to Increase amount.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Upon the effectiveness of any Increase, (i) all references in this Agreement and any other Loan Document to the Revolving Loans shall be deemed, unless the context otherwise requires, to include such Increase advanced pursuant to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and any amendments effected through the Increase Joinder and (ii) all references in this Agreement and any other Loan Document to the Revolving Commitment shall be deemed, unless the context otherwise requires, to include the commitment to advance an amount equal to such Increase pursuant to this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Revolving Loans and Revolving Commitments established pursuant to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shall constitute Revolving Loans and Revolving Commitments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new Revolving Commitments.</w:t>
      </w:r>
      <w:r>
        <w:br w:type="page"/>
      </w:r>
    </w:p>
    <w:p>
      <w:pPr>
        <w:pStyle w:val="TextBody"/>
        <w:spacing w:before="0" w:after="0"/>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60655"/>
                <wp:effectExtent l="0" t="0" r="0" b="0"/>
                <wp:wrapNone/>
                <wp:docPr id="316" name="Frame30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3</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LETTERS OF CREDIT</w:t>
      </w:r>
    </w:p>
    <w:p>
      <w:pPr>
        <w:pStyle w:val="TextBody"/>
        <w:spacing w:lineRule="auto" w:line="288" w:before="0" w:after="180"/>
        <w:ind w:left="0" w:right="0" w:firstLine="720"/>
        <w:rPr/>
      </w:pPr>
      <w:r>
        <w:rPr>
          <w:rFonts w:ascii="Times New Roman;sans-serif" w:hAnsi="Times New Roman;sans-serif"/>
          <w:b/>
          <w:color w:val="000000"/>
          <w:sz w:val="22"/>
        </w:rPr>
        <w:t>3.1</w:t>
      </w:r>
      <w:r>
        <w:rPr>
          <w:rFonts w:ascii="Times New Roman;sans-serif" w:hAnsi="Times New Roman;sans-serif"/>
          <w:b/>
          <w:color w:val="000000"/>
          <w:sz w:val="22"/>
        </w:rPr>
        <w:t>L/C Commitment.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terms and conditions hereof, the Issuing Lender agrees to issue letters of credit (“</w:t>
      </w:r>
      <w:r>
        <w:rPr>
          <w:rFonts w:ascii="Times New Roman;sans-serif" w:hAnsi="Times New Roman;sans-serif"/>
          <w:b/>
          <w:i/>
          <w:color w:val="000000"/>
          <w:sz w:val="22"/>
        </w:rPr>
        <w:t>Letters of Credit</w:t>
      </w:r>
      <w:r>
        <w:rPr>
          <w:color w:val="000000"/>
        </w:rPr>
        <w:t>”</w:t>
      </w:r>
      <w:r>
        <w:rPr>
          <w:rFonts w:ascii="Times New Roman;sans-serif" w:hAnsi="Times New Roman;sans-serif"/>
          <w:b w:val="false"/>
          <w:color w:val="000000"/>
          <w:sz w:val="22"/>
        </w:rPr>
        <w:t xml:space="preserve">) for the account of the Borrower on any Business Day during the Letter of Credit Availability Period in such form as may reasonably be approved from time to time by the Issuing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Issuing Lender shall have no obligation to issue any Letter of Credit if, after giving effect to such issuance, the L/C Exposure would exceed either the Total L/C Commitments or the Available Revolving Commitment at such time. Notwithstanding any other term of any Loan Document or any other agreement, arrangement or understanding between the parties, unless and until any Lender other than SVB shall become a Lender under the Facilities, any letter of credit issued by SVB to a Group Member (including, for the avoidance of any doubt, any Existing Letter of Credit and any letter of credit to be issued by SVB to a Group Member following the Closing Date), shall not, for any intent or purpose under the Loan Documents, be deemed to be a Letter of Credit or Existing Letter of Credit or reduce the Available Revolving Commitment or the Available Total Commitment, but shall instead be deemed to be Cash Management Services. Concurrently with the joinder of any Lender other than SVB under the Facilities, any then-outstanding and future letters of credit issued by SVB at the request of the Borrower shall automatically be deemed to be Letters of Credit hereunder and reduce the Available Revolving Commitment and the Available Total Commitment. Unless otherwise agreed to by the Administrative Agent in its sole discretion, each Letter of Credit shall (i) be denominated in Dollars and (ii) expire no later than the earlier of (x) the first anniversary of its date of issuance and (y) the Letter of Credit Maturity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Letter of Credit with a one-year term may provide for the renewal thereof for additional one-year periods (which shall in no event extend beyond the date referred to in clause (y) above).</w:t>
      </w:r>
    </w:p>
    <w:p>
      <w:pPr>
        <w:pStyle w:val="TextBody"/>
        <w:spacing w:lineRule="auto" w:line="288" w:before="0" w:after="18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rPr>
        <w:t>The Issuing Lender shall not at any time be obligated to issue any Letter of Credit if:</w:t>
      </w:r>
    </w:p>
    <w:p>
      <w:pPr>
        <w:pStyle w:val="TextBody"/>
        <w:spacing w:lineRule="auto" w:line="288" w:before="0" w:after="180"/>
        <w:ind w:left="0" w:right="0" w:firstLine="2160"/>
        <w:rPr/>
      </w:pPr>
      <w:r>
        <w:rPr>
          <w:rFonts w:ascii="Times New Roman;sans-serif" w:hAnsi="Times New Roman;sans-serif"/>
          <w:b w:val="false"/>
          <w:color w:val="000000"/>
          <w:sz w:val="22"/>
        </w:rPr>
        <w:t>(i)</w:t>
      </w:r>
      <w:r>
        <w:rPr>
          <w:rFonts w:ascii="Times New Roman;sans-serif" w:hAnsi="Times New Roman;sans-serif"/>
          <w:b w:val="false"/>
          <w:color w:val="000000"/>
          <w:sz w:val="22"/>
        </w:rPr>
        <w:t>such issuance would conflict with, or cause the Issuing Lender or any L/C Lender to exceed any limits imposed by, any applicable Requirement of Law;</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 xml:space="preserve">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shall not then be satisfied (which notice shall contain a description of any such condition asserted not to be satisfied);</w:t>
      </w:r>
      <w:r>
        <w:br w:type="page"/>
      </w:r>
    </w:p>
    <w:p>
      <w:pPr>
        <w:pStyle w:val="TextBody"/>
        <w:spacing w:before="0" w:after="0"/>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60655"/>
                <wp:effectExtent l="0" t="0" r="0" b="0"/>
                <wp:wrapNone/>
                <wp:docPr id="317" name="Frame3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v:rect>
            </w:pict>
          </mc:Fallback>
        </mc:AlternateConten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rPr>
        <w:t>any requested Letter of Credit is not in form and substance acceptable to the Issuing Lender, or the issuance, amendment or renewal of a Letter of Credit shall violate any applicable laws or regulations or any applicable general policies of the Issuing Lender;</w: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such Letter of Credit contains any provisions providing for automatic reinstatement of the stated amount after any drawing thereunder;</w:t>
      </w:r>
    </w:p>
    <w:p>
      <w:pPr>
        <w:pStyle w:val="TextBody"/>
        <w:spacing w:lineRule="auto" w:line="288" w:before="0" w:after="180"/>
        <w:ind w:left="0" w:right="0" w:firstLine="216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rPr>
        <w:t>except as otherwise agreed by the Administrative Agent and the Issuing Lender, such Letter of Credit is in an initial face amount less than $250,000; or</w:t>
      </w:r>
    </w:p>
    <w:p>
      <w:pPr>
        <w:pStyle w:val="TextBody"/>
        <w:spacing w:lineRule="auto" w:line="288" w:before="0" w:after="180"/>
        <w:ind w:left="0" w:right="0" w:firstLine="216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rPr>
        <w:t xml:space="preserve">any Lender is at that time a Defaulting Lender, unless the Issuing Lender has entered into arrangements, including the delivery of Cash Collateral pursuant to </w:t>
      </w:r>
      <w:r>
        <w:rPr>
          <w:rFonts w:ascii="Times New Roman;sans-serif" w:hAnsi="Times New Roman;sans-serif"/>
          <w:b w:val="false"/>
          <w:color w:val="000000"/>
          <w:sz w:val="22"/>
          <w:u w:val="single"/>
        </w:rPr>
        <w:t>Section 3.10</w:t>
      </w:r>
      <w:r>
        <w:rPr>
          <w:rFonts w:ascii="Times New Roman;sans-serif" w:hAnsi="Times New Roman;sans-serif"/>
          <w:b w:val="false"/>
          <w:color w:val="000000"/>
          <w:sz w:val="22"/>
        </w:rPr>
        <w:t xml:space="preserve">, satisfactory to the Issuing Lender (in its sole discretion) with the Borrower or such Defaulting Lender to eliminate the Issuing Lender’s actual or potential Fronting Exposure (after giving effect to </w:t>
      </w:r>
      <w:r>
        <w:rPr>
          <w:rFonts w:ascii="Times New Roman;sans-serif" w:hAnsi="Times New Roman;sans-serif"/>
          <w:b w:val="false"/>
          <w:color w:val="000000"/>
          <w:sz w:val="22"/>
          <w:u w:val="single"/>
        </w:rPr>
        <w:t>Section 2.24(a)(iv)</w:t>
      </w:r>
      <w:r>
        <w:rPr>
          <w:rFonts w:ascii="Times New Roman;sans-serif" w:hAnsi="Times New Roman;sans-serif"/>
          <w:b w:val="false"/>
          <w:color w:val="000000"/>
          <w:sz w:val="22"/>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pStyle w:val="TextBody"/>
        <w:spacing w:lineRule="auto" w:line="288" w:before="0" w:after="180"/>
        <w:ind w:left="0" w:right="0" w:firstLine="720"/>
        <w:jc w:val="both"/>
        <w:rPr/>
      </w:pPr>
      <w:r>
        <w:rPr>
          <w:rFonts w:ascii="Times New Roman;sans-serif" w:hAnsi="Times New Roman;sans-serif"/>
          <w:b/>
          <w:color w:val="000000"/>
          <w:sz w:val="22"/>
        </w:rPr>
        <w:t>3.2</w:t>
      </w:r>
      <w:r>
        <w:rPr>
          <w:rFonts w:ascii="Times New Roman;sans-serif" w:hAnsi="Times New Roman;sans-serif"/>
          <w:b/>
          <w:color w:val="000000"/>
          <w:sz w:val="22"/>
        </w:rPr>
        <w:t>Procedure for Issuance of Letters of Credit</w:t>
      </w:r>
      <w:r>
        <w:rPr>
          <w:rFonts w:ascii="Times New Roman;sans-serif" w:hAnsi="Times New Roman;sans-serif"/>
          <w:b w:val="false"/>
          <w:color w:val="000000"/>
          <w:sz w:val="22"/>
        </w:rPr>
        <w:t>. The Borrower may from time to time request that the Issuing Lender issue a 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pStyle w:val="TextBody"/>
        <w:spacing w:lineRule="auto" w:line="288" w:before="0" w:after="180"/>
        <w:ind w:left="0" w:right="0" w:firstLine="720"/>
        <w:rPr/>
      </w:pPr>
      <w:r>
        <w:rPr>
          <w:rFonts w:ascii="Times New Roman;sans-serif" w:hAnsi="Times New Roman;sans-serif"/>
          <w:b/>
          <w:color w:val="000000"/>
          <w:sz w:val="22"/>
        </w:rPr>
        <w:t>3.3</w:t>
      </w:r>
      <w:r>
        <w:rPr>
          <w:rFonts w:ascii="Times New Roman;sans-serif" w:hAnsi="Times New Roman;sans-serif"/>
          <w:b/>
          <w:color w:val="000000"/>
          <w:sz w:val="22"/>
        </w:rPr>
        <w:t>Fees and Other Charges.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agrees to pay, with respect to each Existing Letter of Credit and each outstanding Letter of Credit issued for the account of (or at the request of) the Borrower, (i) a fronting fee of 0.125% per annum on the daily amount available to be drawn under each such Letter of Credit to the Issuing Lender for its own account (a “</w:t>
      </w:r>
      <w:r>
        <w:rPr>
          <w:rFonts w:ascii="Times New Roman;sans-serif" w:hAnsi="Times New Roman;sans-serif"/>
          <w:b/>
          <w:i/>
          <w:color w:val="000000"/>
          <w:sz w:val="22"/>
        </w:rPr>
        <w:t>Letter of Credit Fronting Fee</w:t>
      </w:r>
      <w:r>
        <w:rPr>
          <w:color w:val="000000"/>
        </w:rPr>
        <w:t>”</w:t>
      </w:r>
      <w:r>
        <w:rPr>
          <w:rFonts w:ascii="Times New Roman;sans-serif" w:hAnsi="Times New Roman;sans-serif"/>
          <w:b w:val="false"/>
          <w:color w:val="000000"/>
          <w:sz w:val="22"/>
        </w:rPr>
        <w:t xml:space="preserve">), (ii) a letter of credit fee equal to 1.00% per annum </w:t>
      </w:r>
      <w:r>
        <w:rPr>
          <w:rFonts w:ascii="Times New Roman;sans-serif" w:hAnsi="Times New Roman;sans-serif"/>
          <w:b w:val="false"/>
          <w:color w:val="000000"/>
          <w:sz w:val="22"/>
          <w:u w:val="single"/>
        </w:rPr>
        <w:t>multiplied</w:t>
      </w:r>
      <w:r>
        <w:rPr>
          <w:color w:val="000000"/>
        </w:rPr>
        <w:t xml:space="preserve"> </w:t>
      </w:r>
      <w:r>
        <w:rPr>
          <w:rFonts w:ascii="Times New Roman;sans-serif" w:hAnsi="Times New Roman;sans-serif"/>
          <w:b w:val="false"/>
          <w:color w:val="000000"/>
          <w:sz w:val="22"/>
        </w:rPr>
        <w:t>by the daily amount available to be drawn under each such outstanding Letter of Credit on the drawable amount of such Letter of Credit to the Administrative Agent for the ratable account of the L/C Lenders (determined in accordance with their respective L/C Percentages) (a “</w:t>
      </w:r>
      <w:r>
        <w:rPr>
          <w:rFonts w:ascii="Times New Roman;sans-serif" w:hAnsi="Times New Roman;sans-serif"/>
          <w:b/>
          <w:i/>
          <w:color w:val="000000"/>
          <w:sz w:val="22"/>
        </w:rPr>
        <w:t>Letter of Credit Fee</w:t>
      </w:r>
      <w:r>
        <w:rPr>
          <w:color w:val="000000"/>
        </w:rPr>
        <w:t>”</w:t>
      </w:r>
      <w:r>
        <w:rPr>
          <w:rFonts w:ascii="Times New Roman;sans-serif" w:hAnsi="Times New Roman;sans-serif"/>
          <w:b w:val="false"/>
          <w:color w:val="000000"/>
          <w:sz w:val="22"/>
        </w:rPr>
        <w:t>), in each case payable quarterly in arrears on the last Business Day of March, June, September and December of each year and on the Letter of Credit Maturity Date (each, an “</w:t>
      </w:r>
      <w:r>
        <w:rPr>
          <w:rFonts w:ascii="Times New Roman;sans-serif" w:hAnsi="Times New Roman;sans-serif"/>
          <w:b/>
          <w:i/>
          <w:color w:val="000000"/>
          <w:sz w:val="22"/>
        </w:rPr>
        <w:t>L/C Fee Payment Date</w:t>
      </w:r>
      <w:r>
        <w:rPr>
          <w:color w:val="000000"/>
        </w:rPr>
        <w:t>”</w:t>
      </w:r>
      <w:r>
        <w:rPr>
          <w:rFonts w:ascii="Times New Roman;sans-serif" w:hAnsi="Times New Roman;sans-serif"/>
          <w:b w:val="false"/>
          <w:color w:val="000000"/>
          <w:sz w:val="22"/>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Times New Roman;sans-serif" w:hAnsi="Times New Roman;sans-serif"/>
          <w:b/>
          <w:i/>
          <w:color w:val="000000"/>
          <w:sz w:val="22"/>
        </w:rPr>
        <w:t>Issuing Lender Fees</w:t>
      </w:r>
      <w:r>
        <w:rPr>
          <w:color w:val="000000"/>
        </w:rPr>
        <w:t>”</w:t>
      </w:r>
      <w:r>
        <w:rPr>
          <w:rFonts w:ascii="Times New Roman;sans-serif" w:hAnsi="Times New Roman;sans-serif"/>
          <w:b w:val="false"/>
          <w:color w:val="000000"/>
          <w:sz w:val="22"/>
        </w:rPr>
        <w:t>). All Letter of Credit Fronting Fees and Letter of Credit Fees shall be computed on the basis of the actual number of days elapsed in a year of 360 days.</w:t>
      </w:r>
      <w:r>
        <w:br w:type="page"/>
      </w:r>
    </w:p>
    <w:p>
      <w:pPr>
        <w:pStyle w:val="TextBody"/>
        <w:spacing w:before="0" w:after="0"/>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60655"/>
                <wp:effectExtent l="0" t="0" r="0" b="0"/>
                <wp:wrapNone/>
                <wp:docPr id="318" name="Frame3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Times New Roman;sans-serif" w:hAnsi="Times New Roman;sans-serif"/>
          <w:b w:val="false"/>
          <w:color w:val="000000"/>
          <w:sz w:val="22"/>
          <w:u w:val="single"/>
        </w:rPr>
        <w:t>Section 3.10</w:t>
      </w:r>
      <w:r>
        <w:rPr>
          <w:color w:val="000000"/>
        </w:rPr>
        <w:t xml:space="preserve"> </w:t>
      </w:r>
      <w:r>
        <w:rPr>
          <w:rFonts w:ascii="Times New Roman;sans-serif" w:hAnsi="Times New Roman;sans-serif"/>
          <w:b w:val="false"/>
          <w:color w:val="000000"/>
          <w:sz w:val="22"/>
        </w:rPr>
        <w:t xml:space="preserve">shall be payable, to the maximum extent permitted by applicable law, to the other L/C Lenders in accordance with the upward adjustments in their respective L/C Percentages allocable to such Letter of Credit pursuant to </w:t>
      </w:r>
      <w:r>
        <w:rPr>
          <w:rFonts w:ascii="Times New Roman;sans-serif" w:hAnsi="Times New Roman;sans-serif"/>
          <w:b w:val="false"/>
          <w:color w:val="000000"/>
          <w:sz w:val="22"/>
          <w:u w:val="single"/>
        </w:rPr>
        <w:t>Section 2.24(a)(iv)</w:t>
      </w:r>
      <w:r>
        <w:rPr>
          <w:rFonts w:ascii="Times New Roman;sans-serif" w:hAnsi="Times New Roman;sans-serif"/>
          <w:b w:val="false"/>
          <w:color w:val="000000"/>
          <w:sz w:val="22"/>
        </w:rPr>
        <w:t>, with the balance of such fee, if any, payable to the Issuing Lender for its own account.</w:t>
      </w:r>
    </w:p>
    <w:p>
      <w:pPr>
        <w:pStyle w:val="TextBody"/>
        <w:spacing w:lineRule="auto" w:line="288" w:before="0" w:after="180"/>
        <w:ind w:left="0" w:right="0" w:firstLine="1440"/>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All fees payable under this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shall be fully earned on the date paid and nonrefundable.</w:t>
      </w:r>
    </w:p>
    <w:p>
      <w:pPr>
        <w:pStyle w:val="TextBody"/>
        <w:spacing w:lineRule="auto" w:line="288" w:before="0" w:after="180"/>
        <w:ind w:left="0" w:right="0" w:firstLine="720"/>
        <w:rPr/>
      </w:pPr>
      <w:r>
        <w:rPr>
          <w:rFonts w:ascii="Times New Roman;sans-serif" w:hAnsi="Times New Roman;sans-serif"/>
          <w:b/>
          <w:color w:val="000000"/>
          <w:sz w:val="22"/>
        </w:rPr>
        <w:t>3.4</w:t>
      </w:r>
      <w:r>
        <w:rPr>
          <w:rFonts w:ascii="Times New Roman;sans-serif" w:hAnsi="Times New Roman;sans-serif"/>
          <w:b/>
          <w:color w:val="000000"/>
          <w:sz w:val="22"/>
        </w:rPr>
        <w:t>L/C Participations; Existing Letters of Credit.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color w:val="000000"/>
          <w:sz w:val="22"/>
        </w:rPr>
        <w:t>L/C Participations</w:t>
      </w:r>
      <w:r>
        <w:rPr>
          <w:rFonts w:ascii="Times New Roman;sans-serif" w:hAnsi="Times New Roman;sans-serif"/>
          <w:b w:val="false"/>
          <w:color w:val="000000"/>
          <w:sz w:val="22"/>
        </w:rPr>
        <w:t xml:space="preserve">. The Issuing Lender irrevocably agrees to grant and hereby grants to each L/C Lender, and, to 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Times New Roman;sans-serif" w:hAnsi="Times New Roman;sans-serif"/>
          <w:b w:val="false"/>
          <w:color w:val="000000"/>
          <w:sz w:val="22"/>
          <w:u w:val="single"/>
        </w:rPr>
        <w:t>Section 3.5(a)</w:t>
      </w:r>
      <w:r>
        <w:rPr>
          <w:rFonts w:ascii="Times New Roman;sans-serif" w:hAnsi="Times New Roman;sans-serif"/>
          <w:b w:val="false"/>
          <w:color w:val="000000"/>
          <w:sz w:val="22"/>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Times New Roman;sans-serif" w:hAnsi="Times New Roman;sans-serif"/>
          <w:b w:val="false"/>
          <w:color w:val="000000"/>
          <w:sz w:val="22"/>
          <w:u w:val="single"/>
        </w:rPr>
        <w:t>Section 5.2</w:t>
      </w:r>
      <w:r>
        <w:rPr>
          <w:rFonts w:ascii="Times New Roman;sans-serif" w:hAnsi="Times New Roman;sans-serif"/>
          <w:b w:val="false"/>
          <w:color w:val="000000"/>
          <w:sz w:val="22"/>
        </w:rPr>
        <w:t>, (iii) 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color w:val="000000"/>
          <w:sz w:val="22"/>
        </w:rPr>
        <w:t xml:space="preserve">Existing Letters of Credit. </w:t>
      </w:r>
      <w:r>
        <w:rPr>
          <w:rFonts w:ascii="Times New Roman;sans-serif" w:hAnsi="Times New Roman;sans-serif"/>
          <w:b w:val="false"/>
          <w:color w:val="000000"/>
          <w:sz w:val="22"/>
        </w:rPr>
        <w:t xml:space="preserve">On and after the Closing Date, subject to the provisions set forth in </w:t>
      </w:r>
      <w:r>
        <w:rPr>
          <w:rFonts w:ascii="Times New Roman;sans-serif" w:hAnsi="Times New Roman;sans-serif"/>
          <w:b w:val="false"/>
          <w:color w:val="000000"/>
          <w:sz w:val="22"/>
          <w:u w:val="single"/>
        </w:rPr>
        <w:t>Section 3.1(a)</w:t>
      </w:r>
      <w:r>
        <w:rPr>
          <w:color w:val="000000"/>
        </w:rPr>
        <w:t xml:space="preserve"> </w:t>
      </w:r>
      <w:r>
        <w:rPr>
          <w:rFonts w:ascii="Times New Roman;sans-serif" w:hAnsi="Times New Roman;sans-serif"/>
          <w:b w:val="false"/>
          <w:color w:val="000000"/>
          <w:sz w:val="22"/>
        </w:rPr>
        <w:t xml:space="preserve">above, the Existing Letters of Credit shall be deemed for all purposes, including for purposes of the fees to be collected pursuant to </w:t>
      </w:r>
      <w:r>
        <w:rPr>
          <w:rFonts w:ascii="Times New Roman;sans-serif" w:hAnsi="Times New Roman;sans-serif"/>
          <w:b w:val="false"/>
          <w:color w:val="000000"/>
          <w:sz w:val="22"/>
          <w:u w:val="single"/>
        </w:rPr>
        <w:t>Sections 3.3(a)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r>
        <w:br w:type="page"/>
      </w:r>
    </w:p>
    <w:p>
      <w:pPr>
        <w:pStyle w:val="TextBody"/>
        <w:spacing w:before="0" w:after="0"/>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60655"/>
                <wp:effectExtent l="0" t="0" r="0" b="0"/>
                <wp:wrapNone/>
                <wp:docPr id="319" name="Frame3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color w:val="000000"/>
          <w:sz w:val="22"/>
        </w:rPr>
        <w:t>3.5</w:t>
      </w:r>
      <w:r>
        <w:rPr>
          <w:rFonts w:ascii="Times New Roman;sans-serif" w:hAnsi="Times New Roman;sans-serif"/>
          <w:b/>
          <w:color w:val="000000"/>
          <w:sz w:val="22"/>
        </w:rPr>
        <w:t>Reimbursement.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(i) the immediately following Business Day if the Issuing Lender issues such notice before 10:00 a.m. Pacific time on the date of such L/C Disbursement, or (ii) on the second following Business Day if the Issuing Lender issues such notice at or after 10:00 a.m. Pacific time on the date of such L/C Disbursement. Each such payment shall be made to the Issuing Lender at its address for notices referred to herein in Dollars and in immediately available funds;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may, subject to the satisfaction of the conditions to borrowing set forth herein, request in accordance with </w:t>
      </w:r>
      <w:r>
        <w:rPr>
          <w:rFonts w:ascii="Times New Roman;sans-serif" w:hAnsi="Times New Roman;sans-serif"/>
          <w:b w:val="false"/>
          <w:color w:val="000000"/>
          <w:sz w:val="22"/>
          <w:u w:val="single"/>
        </w:rPr>
        <w:t>Section 2.5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2.7(a)</w:t>
      </w:r>
      <w:r>
        <w:rPr>
          <w:color w:val="000000"/>
        </w:rPr>
        <w:t xml:space="preserve"> </w:t>
      </w:r>
      <w:r>
        <w:rPr>
          <w:rFonts w:ascii="Times New Roman;sans-serif" w:hAnsi="Times New Roman;sans-serif"/>
          <w:b w:val="false"/>
          <w:color w:val="000000"/>
          <w:sz w:val="22"/>
        </w:rPr>
        <w:t>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the Issuing Lender shall not have received from the Borrower the payment that it is required to make pursuant to </w:t>
      </w:r>
      <w:r>
        <w:rPr>
          <w:rFonts w:ascii="Times New Roman;sans-serif" w:hAnsi="Times New Roman;sans-serif"/>
          <w:b w:val="false"/>
          <w:color w:val="000000"/>
          <w:sz w:val="22"/>
          <w:u w:val="single"/>
        </w:rPr>
        <w:t>Section 3.5(a)</w:t>
      </w:r>
      <w:r>
        <w:rPr>
          <w:color w:val="000000"/>
        </w:rPr>
        <w:t xml:space="preserve"> </w:t>
      </w:r>
      <w:r>
        <w:rPr>
          <w:rFonts w:ascii="Times New Roman;sans-serif" w:hAnsi="Times New Roman;sans-serif"/>
          <w:b w:val="false"/>
          <w:color w:val="000000"/>
          <w:sz w:val="22"/>
        </w:rPr>
        <w:t xml:space="preserve">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at the time of and after giving effect to such payment by the L/C Lenders, the conditions to borrowings and Revolving Loan Conversions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Times New Roman;sans-serif" w:hAnsi="Times New Roman;sans-serif"/>
          <w:b/>
          <w:i/>
          <w:color w:val="000000"/>
          <w:sz w:val="22"/>
        </w:rPr>
        <w:t>Revolving Loan Conversion</w:t>
      </w:r>
      <w:r>
        <w:rPr>
          <w:color w:val="000000"/>
        </w:rPr>
        <w:t>”</w:t>
      </w:r>
      <w:r>
        <w:rPr>
          <w:rFonts w:ascii="Times New Roman;sans-serif" w:hAnsi="Times New Roman;sans-serif"/>
          <w:b w:val="false"/>
          <w:color w:val="000000"/>
          <w:sz w:val="22"/>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Issuing Lender, at its option, may effectuate a Revolving Loan Conversion regardless of whether the conditions to borrowings and Revolving Loan Conversions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are satisfied.</w:t>
      </w:r>
    </w:p>
    <w:p>
      <w:pPr>
        <w:pStyle w:val="TextBody"/>
        <w:spacing w:lineRule="auto" w:line="288" w:before="0" w:after="180"/>
        <w:ind w:left="0" w:right="0" w:firstLine="720"/>
        <w:jc w:val="both"/>
        <w:rPr/>
      </w:pPr>
      <w:r>
        <w:rPr>
          <w:rFonts w:ascii="Times New Roman;sans-serif" w:hAnsi="Times New Roman;sans-serif"/>
          <w:b/>
          <w:color w:val="000000"/>
          <w:sz w:val="22"/>
        </w:rPr>
        <w:t>3.6</w:t>
      </w:r>
      <w:r>
        <w:rPr>
          <w:rFonts w:ascii="Times New Roman;sans-serif" w:hAnsi="Times New Roman;sans-serif"/>
          <w:b/>
          <w:color w:val="000000"/>
          <w:sz w:val="22"/>
        </w:rPr>
        <w:t>Obligations Absolute</w:t>
      </w:r>
      <w:r>
        <w:rPr>
          <w:rFonts w:ascii="Times New Roman;sans-serif" w:hAnsi="Times New Roman;sans-serif"/>
          <w:b w:val="false"/>
          <w:color w:val="000000"/>
          <w:sz w:val="22"/>
        </w:rPr>
        <w:t xml:space="preserve">. The Borrower’s obligations under this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shall be absolute and unconditional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w:t>
      </w:r>
      <w:r>
        <w:rPr>
          <w:rFonts w:ascii="Times New Roman;sans-serif" w:hAnsi="Times New Roman;sans-serif"/>
          <w:b w:val="false"/>
          <w:i/>
          <w:color w:val="000000"/>
          <w:sz w:val="22"/>
        </w:rPr>
        <w:t xml:space="preserve">post factum </w:t>
      </w:r>
      <w:r>
        <w:rPr>
          <w:rFonts w:ascii="Times New Roman;sans-serif" w:hAnsi="Times New Roman;sans-serif"/>
          <w:b w:val="false"/>
          <w:color w:val="000000"/>
          <w:sz w:val="22"/>
        </w:rPr>
        <w:t xml:space="preserve">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w:t>
      </w:r>
      <w:r>
        <w:br w:type="page"/>
      </w:r>
    </w:p>
    <w:p>
      <w:pPr>
        <w:pStyle w:val="TextBody"/>
        <w:spacing w:before="0" w:after="0"/>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60655"/>
                <wp:effectExtent l="0" t="0" r="0" b="0"/>
                <wp:wrapNone/>
                <wp:docPr id="320" name="Frame3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pStyle w:val="TextBody"/>
        <w:spacing w:lineRule="auto" w:line="288"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pStyle w:val="TextBody"/>
        <w:spacing w:lineRule="auto" w:line="288" w:before="0" w:after="180"/>
        <w:ind w:left="0" w:right="0" w:firstLine="720"/>
        <w:jc w:val="both"/>
        <w:rPr/>
      </w:pPr>
      <w:r>
        <w:rPr>
          <w:rFonts w:ascii="Times New Roman;sans-serif" w:hAnsi="Times New Roman;sans-serif"/>
          <w:b/>
          <w:color w:val="000000"/>
          <w:sz w:val="22"/>
        </w:rPr>
        <w:t>3.7</w:t>
      </w:r>
      <w:r>
        <w:rPr>
          <w:rFonts w:ascii="Times New Roman;sans-serif" w:hAnsi="Times New Roman;sans-serif"/>
          <w:b/>
          <w:color w:val="000000"/>
          <w:sz w:val="22"/>
        </w:rPr>
        <w:t>Letter of Credit Payments</w:t>
      </w:r>
      <w:r>
        <w:rPr>
          <w:rFonts w:ascii="Times New Roman;sans-serif" w:hAnsi="Times New Roman;sans-serif"/>
          <w:b w:val="false"/>
          <w:color w:val="000000"/>
          <w:sz w:val="22"/>
        </w:rPr>
        <w:t>. If any draft shall be presented for payment under any Letter of Credit, the Issuing Lender shall 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pStyle w:val="TextBody"/>
        <w:spacing w:lineRule="auto" w:line="288" w:before="0" w:after="180"/>
        <w:ind w:left="0" w:right="0" w:firstLine="720"/>
        <w:rPr/>
      </w:pPr>
      <w:r>
        <w:rPr>
          <w:rFonts w:ascii="Times New Roman;sans-serif" w:hAnsi="Times New Roman;sans-serif"/>
          <w:b/>
          <w:color w:val="000000"/>
          <w:sz w:val="22"/>
        </w:rPr>
        <w:t>3.8</w:t>
      </w:r>
      <w:r>
        <w:rPr>
          <w:rFonts w:ascii="Times New Roman;sans-serif" w:hAnsi="Times New Roman;sans-serif"/>
          <w:b/>
          <w:color w:val="000000"/>
          <w:sz w:val="22"/>
        </w:rPr>
        <w:t>Applications</w:t>
      </w:r>
      <w:r>
        <w:rPr>
          <w:rFonts w:ascii="Times New Roman;sans-serif" w:hAnsi="Times New Roman;sans-serif"/>
          <w:b w:val="false"/>
          <w:color w:val="000000"/>
          <w:sz w:val="22"/>
        </w:rPr>
        <w:t xml:space="preserve">. To the extent that any provision of any Application related to any Letter of Credit is inconsistent with the provisions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the provisions of this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shall apply.</w:t>
      </w:r>
    </w:p>
    <w:p>
      <w:pPr>
        <w:pStyle w:val="TextBody"/>
        <w:spacing w:lineRule="auto" w:line="288" w:before="0" w:after="180"/>
        <w:ind w:left="0" w:right="0" w:firstLine="720"/>
        <w:jc w:val="both"/>
        <w:rPr/>
      </w:pPr>
      <w:r>
        <w:rPr>
          <w:rFonts w:ascii="Times New Roman;sans-serif" w:hAnsi="Times New Roman;sans-serif"/>
          <w:b/>
          <w:color w:val="000000"/>
          <w:sz w:val="22"/>
        </w:rPr>
        <w:t>3.9</w:t>
      </w:r>
      <w:r>
        <w:rPr>
          <w:rFonts w:ascii="Times New Roman;sans-serif" w:hAnsi="Times New Roman;sans-serif"/>
          <w:b/>
          <w:color w:val="000000"/>
          <w:sz w:val="22"/>
        </w:rPr>
        <w:t>Interim Interest</w:t>
      </w:r>
      <w:r>
        <w:rPr>
          <w:rFonts w:ascii="Times New Roman;sans-serif" w:hAnsi="Times New Roman;sans-serif"/>
          <w:b w:val="false"/>
          <w:color w:val="000000"/>
          <w:sz w:val="22"/>
        </w:rPr>
        <w:t xml:space="preserve">. If the Issuing Lender shall make any L/C Disbursement in respect of a Letter of Credit, then, unless either the Borrower shall have reimbursed such L/C Disbursement in full within the time period specified in </w:t>
      </w:r>
      <w:r>
        <w:rPr>
          <w:rFonts w:ascii="Times New Roman;sans-serif" w:hAnsi="Times New Roman;sans-serif"/>
          <w:b w:val="false"/>
          <w:color w:val="000000"/>
          <w:sz w:val="22"/>
          <w:u w:val="single"/>
        </w:rPr>
        <w:t>Section 3.5(a)</w:t>
      </w:r>
      <w:r>
        <w:rPr>
          <w:color w:val="000000"/>
        </w:rPr>
        <w:t xml:space="preserve"> </w:t>
      </w:r>
      <w:r>
        <w:rPr>
          <w:rFonts w:ascii="Times New Roman;sans-serif" w:hAnsi="Times New Roman;sans-serif"/>
          <w:b w:val="false"/>
          <w:color w:val="000000"/>
          <w:sz w:val="22"/>
        </w:rPr>
        <w:t xml:space="preserve">or the L/C Lenders shall have reimbursed such L/C Disbursement in full on such date as provided in </w:t>
      </w:r>
      <w:r>
        <w:rPr>
          <w:rFonts w:ascii="Times New Roman;sans-serif" w:hAnsi="Times New Roman;sans-serif"/>
          <w:b w:val="false"/>
          <w:color w:val="000000"/>
          <w:sz w:val="22"/>
          <w:u w:val="single"/>
        </w:rPr>
        <w:t>Section 3.5(b)</w:t>
      </w:r>
      <w:r>
        <w:rPr>
          <w:rFonts w:ascii="Times New Roman;sans-serif" w:hAnsi="Times New Roman;sans-serif"/>
          <w:b w:val="false"/>
          <w:color w:val="000000"/>
          <w:sz w:val="22"/>
        </w:rPr>
        <w:t xml:space="preserve">, in each case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provisions of </w:t>
      </w:r>
      <w:r>
        <w:rPr>
          <w:rFonts w:ascii="Times New Roman;sans-serif" w:hAnsi="Times New Roman;sans-serif"/>
          <w:b w:val="false"/>
          <w:color w:val="000000"/>
          <w:sz w:val="22"/>
          <w:u w:val="single"/>
        </w:rPr>
        <w:t>Section 2.15(c)</w:t>
      </w:r>
      <w:r>
        <w:rPr>
          <w:color w:val="000000"/>
        </w:rPr>
        <w:t xml:space="preserve"> </w:t>
      </w:r>
      <w:r>
        <w:rPr>
          <w:rFonts w:ascii="Times New Roman;sans-serif" w:hAnsi="Times New Roman;sans-serif"/>
          <w:b w:val="false"/>
          <w:color w:val="000000"/>
          <w:sz w:val="22"/>
        </w:rPr>
        <w:t>shall be applicable to any such amounts not paid when due.</w:t>
      </w:r>
    </w:p>
    <w:p>
      <w:pPr>
        <w:pStyle w:val="TextBody"/>
        <w:spacing w:lineRule="auto" w:line="288" w:before="0" w:after="180"/>
        <w:ind w:left="0" w:right="0" w:firstLine="720"/>
        <w:rPr/>
      </w:pPr>
      <w:r>
        <w:rPr>
          <w:rFonts w:ascii="Times New Roman;sans-serif" w:hAnsi="Times New Roman;sans-serif"/>
          <w:b/>
          <w:color w:val="000000"/>
          <w:sz w:val="22"/>
        </w:rPr>
        <w:t>3.10</w:t>
      </w:r>
      <w:r>
        <w:rPr>
          <w:rFonts w:ascii="Times New Roman;sans-serif" w:hAnsi="Times New Roman;sans-serif"/>
          <w:b/>
          <w:color w:val="000000"/>
          <w:sz w:val="22"/>
        </w:rPr>
        <w:t>Cash Collateral.</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Certain Credit Support Events</w:t>
      </w:r>
      <w:r>
        <w:rPr>
          <w:rFonts w:ascii="Times New Roman;sans-serif" w:hAnsi="Times New Roman;sans-serif"/>
          <w:b w:val="false"/>
          <w:color w:val="000000"/>
          <w:sz w:val="22"/>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Times New Roman;sans-serif" w:hAnsi="Times New Roman;sans-serif"/>
          <w:b w:val="false"/>
          <w:color w:val="000000"/>
          <w:sz w:val="22"/>
          <w:u w:val="single"/>
        </w:rPr>
        <w:t>Section 3.5(b)</w:t>
      </w:r>
      <w:r>
        <w:rPr>
          <w:rFonts w:ascii="Times New Roman;sans-serif" w:hAnsi="Times New Roman;sans-serif"/>
          <w:b w:val="false"/>
          <w:color w:val="000000"/>
          <w:sz w:val="22"/>
        </w:rPr>
        <w:t>, or (ii) if, as of the Letter of Credit Maturity Date, any L/C Exposure for any reason remains outstanding, the Borrower shall, in each case, immediately Cash Collateralize the then effective L/C Exposure in an amount equal to 105% of such L/C Exposure.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105% </w:t>
      </w:r>
      <w:r>
        <w:br w:type="page"/>
      </w:r>
    </w:p>
    <w:p>
      <w:pPr>
        <w:pStyle w:val="TextBody"/>
        <w:spacing w:before="0" w:after="0"/>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60655"/>
                <wp:effectExtent l="0" t="0" r="0" b="0"/>
                <wp:wrapNone/>
                <wp:docPr id="321" name="Frame3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of the Fronting Exposure relating to the Letters of Credit (after giving effect to </w:t>
      </w:r>
      <w:r>
        <w:rPr>
          <w:rFonts w:ascii="Times New Roman;sans-serif" w:hAnsi="Times New Roman;sans-serif"/>
          <w:b w:val="false"/>
          <w:color w:val="000000"/>
          <w:sz w:val="22"/>
          <w:u w:val="single"/>
        </w:rPr>
        <w:t>Section 2.24(a)(iv)</w:t>
      </w:r>
      <w:r>
        <w:rPr>
          <w:color w:val="000000"/>
        </w:rPr>
        <w:t xml:space="preserve"> </w:t>
      </w:r>
      <w:r>
        <w:rPr>
          <w:rFonts w:ascii="Times New Roman;sans-serif" w:hAnsi="Times New Roman;sans-serif"/>
          <w:b w:val="false"/>
          <w:color w:val="000000"/>
          <w:sz w:val="22"/>
        </w:rPr>
        <w:t>and any Cash Collateral provided by such Defaulting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sans-serif" w:hAnsi="Times New Roman;sans-serif"/>
          <w:b w:val="false"/>
          <w:color w:val="000000"/>
          <w:sz w:val="22"/>
          <w:u w:val="single"/>
        </w:rPr>
        <w:t>Section 3.10(c)</w:t>
      </w:r>
      <w:r>
        <w:rPr>
          <w:rFonts w:ascii="Times New Roman;sans-serif" w:hAnsi="Times New Roman;sans-serif"/>
          <w:b w:val="false"/>
          <w:color w:val="000000"/>
          <w:sz w:val="22"/>
        </w:rPr>
        <w:t>. If at any time the Administrative Agent determines that Cash Collateral is subject to any right or claim of any Person other than the Administrative Agent or any Issuing Lender as herein provided, or that the total amount of such Cash Collateral is less than 105%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Application</w:t>
      </w:r>
      <w:r>
        <w:rPr>
          <w:rFonts w:ascii="Times New Roman;sans-serif" w:hAnsi="Times New Roman;sans-serif"/>
          <w:b w:val="false"/>
          <w:color w:val="000000"/>
          <w:sz w:val="22"/>
        </w:rPr>
        <w:t xml:space="preserve">. Notwithstanding anything to the contrary contained in this Agreement, Cash Collateral provided under any of this </w:t>
      </w:r>
      <w:r>
        <w:rPr>
          <w:rFonts w:ascii="Times New Roman;sans-serif" w:hAnsi="Times New Roman;sans-serif"/>
          <w:b w:val="false"/>
          <w:color w:val="000000"/>
          <w:sz w:val="22"/>
          <w:u w:val="single"/>
        </w:rPr>
        <w:t>Section 3.10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Termination of Requirement</w:t>
      </w:r>
      <w:r>
        <w:rPr>
          <w:rFonts w:ascii="Times New Roman;sans-serif" w:hAnsi="Times New Roman;sans-serif"/>
          <w:b w:val="false"/>
          <w:color w:val="000000"/>
          <w:sz w:val="22"/>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sans-serif" w:hAnsi="Times New Roman;sans-serif"/>
          <w:b w:val="false"/>
          <w:color w:val="000000"/>
          <w:sz w:val="22"/>
          <w:u w:val="single"/>
        </w:rPr>
        <w:t>Section 3.10</w:t>
      </w:r>
      <w:r>
        <w:rPr>
          <w:color w:val="000000"/>
        </w:rPr>
        <w:t xml:space="preserve"> </w:t>
      </w:r>
      <w:r>
        <w:rPr>
          <w:rFonts w:ascii="Times New Roman;sans-serif" w:hAnsi="Times New Roman;sans-serif"/>
          <w:b w:val="false"/>
          <w:color w:val="000000"/>
          <w:sz w:val="22"/>
        </w:rPr>
        <w:t xml:space="preserve">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(A) that Cash Collateral furnished by or on behalf of a Loan Party shall not be released during the continuance of an Event of Default, and (B) that, subject to </w:t>
      </w:r>
      <w:r>
        <w:rPr>
          <w:rFonts w:ascii="Times New Roman;sans-serif" w:hAnsi="Times New Roman;sans-serif"/>
          <w:b w:val="false"/>
          <w:color w:val="000000"/>
          <w:sz w:val="22"/>
          <w:u w:val="single"/>
        </w:rPr>
        <w:t>Section 2.24</w:t>
      </w:r>
      <w:r>
        <w:rPr>
          <w:rFonts w:ascii="Times New Roman;sans-serif" w:hAnsi="Times New Roman;sans-serif"/>
          <w:b w:val="false"/>
          <w:color w:val="000000"/>
          <w:sz w:val="22"/>
        </w:rPr>
        <w:t xml:space="preserve">, the Person providing such Cash Collateral and the Issuing Lender may agree that such Cash Collateral shall not be released but instead shall be held to support future anticipated Fronting Exposure or other obligations,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pStyle w:val="TextBody"/>
        <w:spacing w:lineRule="auto" w:line="288" w:before="0" w:after="180"/>
        <w:ind w:left="0" w:right="0" w:firstLine="720"/>
        <w:jc w:val="both"/>
        <w:rPr/>
      </w:pPr>
      <w:r>
        <w:rPr>
          <w:rFonts w:ascii="Times New Roman;sans-serif" w:hAnsi="Times New Roman;sans-serif"/>
          <w:b/>
          <w:color w:val="000000"/>
          <w:sz w:val="22"/>
        </w:rPr>
        <w:t>3.11</w:t>
      </w:r>
      <w:r>
        <w:rPr>
          <w:rFonts w:ascii="Times New Roman;sans-serif" w:hAnsi="Times New Roman;sans-serif"/>
          <w:b/>
          <w:color w:val="000000"/>
          <w:sz w:val="22"/>
        </w:rPr>
        <w:t>Additional Issuing Lenders</w:t>
      </w:r>
      <w:r>
        <w:rPr>
          <w:rFonts w:ascii="Times New Roman;sans-serif" w:hAnsi="Times New Roman;sans-serif"/>
          <w:b w:val="false"/>
          <w:color w:val="000000"/>
          <w:sz w:val="22"/>
        </w:rPr>
        <w:t>. The Borrower may, at any time and from time to time with the consent of the Administrative 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Times New Roman;sans-serif" w:hAnsi="Times New Roman;sans-serif"/>
          <w:b/>
          <w:i/>
          <w:color w:val="000000"/>
          <w:sz w:val="22"/>
        </w:rPr>
        <w:t>Issuing Lender</w:t>
      </w:r>
      <w:r>
        <w:rPr>
          <w:color w:val="000000"/>
        </w:rPr>
        <w:t xml:space="preserve">” </w:t>
      </w:r>
      <w:r>
        <w:rPr>
          <w:rFonts w:ascii="Times New Roman;sans-serif" w:hAnsi="Times New Roman;sans-serif"/>
          <w:b w:val="false"/>
          <w:color w:val="000000"/>
          <w:sz w:val="22"/>
        </w:rPr>
        <w:t>(in addition to being a Lender) in respect of Letters of Credit issued or to be issued by such Lender, and, with respect to such Letters of Credit, such term shall thereafter apply to the other Issuing Lender and such Lender.</w:t>
      </w:r>
    </w:p>
    <w:p>
      <w:pPr>
        <w:pStyle w:val="TextBody"/>
        <w:spacing w:lineRule="auto" w:line="288" w:before="0" w:after="180"/>
        <w:ind w:left="0" w:right="0" w:firstLine="720"/>
        <w:jc w:val="both"/>
        <w:rPr/>
      </w:pPr>
      <w:r>
        <w:rPr>
          <w:rFonts w:ascii="Times New Roman;sans-serif" w:hAnsi="Times New Roman;sans-serif"/>
          <w:b/>
          <w:color w:val="000000"/>
          <w:sz w:val="22"/>
        </w:rPr>
        <w:t>3.12</w:t>
      </w:r>
      <w:r>
        <w:rPr>
          <w:rFonts w:ascii="Times New Roman;sans-serif" w:hAnsi="Times New Roman;sans-serif"/>
          <w:b/>
          <w:color w:val="000000"/>
          <w:sz w:val="22"/>
        </w:rPr>
        <w:t>Resignation of the Issuing Lender</w:t>
      </w:r>
      <w:r>
        <w:rPr>
          <w:rFonts w:ascii="Times New Roman;sans-serif" w:hAnsi="Times New Roman;sans-serif"/>
          <w:b w:val="false"/>
          <w:color w:val="000000"/>
          <w:sz w:val="22"/>
        </w:rPr>
        <w:t xml:space="preserve">. The Issuing Lender may resign at any time by giving at least 30 days’ prior written notice to the Administrative Agent, the Lenders and the Borrower. Subject to the next succeeding paragraph, upon the acceptance of any appointment as the Issuing Lender </w:t>
      </w:r>
      <w:r>
        <w:br w:type="page"/>
      </w:r>
    </w:p>
    <w:p>
      <w:pPr>
        <w:pStyle w:val="TextBody"/>
        <w:spacing w:before="0" w:after="0"/>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60655"/>
                <wp:effectExtent l="0" t="0" r="0" b="0"/>
                <wp:wrapNone/>
                <wp:docPr id="322" name="Frame3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which are then due and payable.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pStyle w:val="TextBody"/>
        <w:spacing w:lineRule="auto" w:line="288" w:before="0" w:after="180"/>
        <w:ind w:left="0" w:right="0" w:firstLine="720"/>
        <w:jc w:val="both"/>
        <w:rPr/>
      </w:pPr>
      <w:r>
        <w:rPr>
          <w:rFonts w:ascii="Times New Roman;sans-serif" w:hAnsi="Times New Roman;sans-serif"/>
          <w:b/>
          <w:color w:val="000000"/>
          <w:sz w:val="22"/>
        </w:rPr>
        <w:t>3.13</w:t>
      </w:r>
      <w:r>
        <w:rPr>
          <w:rFonts w:ascii="Times New Roman;sans-serif" w:hAnsi="Times New Roman;sans-serif"/>
          <w:b/>
          <w:color w:val="000000"/>
          <w:sz w:val="22"/>
        </w:rPr>
        <w:t>Applicability of UCP and ISP</w:t>
      </w:r>
      <w:r>
        <w:rPr>
          <w:rFonts w:ascii="Times New Roman;sans-serif" w:hAnsi="Times New Roman;sans-serif"/>
          <w:b w:val="false"/>
          <w:color w:val="000000"/>
          <w:sz w:val="22"/>
        </w:rPr>
        <w:t>. Unless otherwise expressly agreed by the Issuing Lender and the Borrower when a Letter of 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4</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REPRESENTATIONS AND WARRANTIES</w:t>
      </w:r>
    </w:p>
    <w:p>
      <w:pPr>
        <w:pStyle w:val="TextBody"/>
        <w:spacing w:lineRule="auto" w:line="288" w:before="0" w:after="180"/>
        <w:ind w:left="0" w:right="0" w:firstLine="720"/>
        <w:rPr/>
      </w:pPr>
      <w:r>
        <w:rPr>
          <w:rFonts w:ascii="Times New Roman;sans-serif" w:hAnsi="Times New Roman;sans-serif"/>
          <w:b w:val="false"/>
          <w:color w:val="000000"/>
          <w:sz w:val="22"/>
        </w:rPr>
        <w:t>To induce the Administrative Agent and the Lenders to enter into this Agreement and to make the Loans and issue the Letters of Credit, the Borrower hereby represents and warrants to the Administrative Agent and each Lender, as to itself and each other Group Member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representation and warranty in the last sentence of </w:t>
      </w:r>
      <w:r>
        <w:rPr>
          <w:rFonts w:ascii="Times New Roman;sans-serif" w:hAnsi="Times New Roman;sans-serif"/>
          <w:b w:val="false"/>
          <w:color w:val="000000"/>
          <w:sz w:val="22"/>
          <w:u w:val="single"/>
        </w:rPr>
        <w:t>Section 4.4</w:t>
      </w:r>
      <w:r>
        <w:rPr>
          <w:color w:val="000000"/>
        </w:rPr>
        <w:t xml:space="preserve"> </w:t>
      </w:r>
      <w:r>
        <w:rPr>
          <w:rFonts w:ascii="Times New Roman;sans-serif" w:hAnsi="Times New Roman;sans-serif"/>
          <w:b w:val="false"/>
          <w:color w:val="000000"/>
          <w:sz w:val="22"/>
        </w:rPr>
        <w:t xml:space="preserve">and each representation and warranty under </w:t>
      </w:r>
      <w:r>
        <w:rPr>
          <w:rFonts w:ascii="Times New Roman;sans-serif" w:hAnsi="Times New Roman;sans-serif"/>
          <w:b w:val="false"/>
          <w:color w:val="000000"/>
          <w:sz w:val="22"/>
          <w:u w:val="single"/>
        </w:rPr>
        <w:t>Sections 4.5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4.19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4.30</w:t>
      </w:r>
      <w:r>
        <w:rPr>
          <w:color w:val="000000"/>
        </w:rPr>
        <w:t xml:space="preserve"> </w:t>
      </w:r>
      <w:r>
        <w:rPr>
          <w:rFonts w:ascii="Times New Roman;sans-serif" w:hAnsi="Times New Roman;sans-serif"/>
          <w:b w:val="false"/>
          <w:color w:val="000000"/>
          <w:sz w:val="22"/>
        </w:rPr>
        <w:t>shall be subject to the Legal Reservations and the Perfection Requirements), that:</w:t>
      </w:r>
    </w:p>
    <w:p>
      <w:pPr>
        <w:pStyle w:val="TextBody"/>
        <w:spacing w:lineRule="auto" w:line="288" w:before="0" w:after="180"/>
        <w:ind w:left="0" w:right="0" w:firstLine="720"/>
        <w:rPr/>
      </w:pPr>
      <w:r>
        <w:rPr>
          <w:rFonts w:ascii="Times New Roman;sans-serif" w:hAnsi="Times New Roman;sans-serif"/>
          <w:b/>
          <w:color w:val="000000"/>
          <w:sz w:val="22"/>
        </w:rPr>
        <w:t>4.1</w:t>
      </w:r>
      <w:r>
        <w:rPr>
          <w:rFonts w:ascii="Times New Roman;sans-serif" w:hAnsi="Times New Roman;sans-serif"/>
          <w:b/>
          <w:color w:val="000000"/>
          <w:sz w:val="22"/>
        </w:rPr>
        <w:t>Financial Condition.</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Pro Forma Financial Statements have been prepared giving effect (as if such events had occurred on such date) to (i) the Loans to be made on the Closing Date and the use of proceeds thereof, and (ii) the payment of fees and expenses in connection with the foregoing. The Pro Forma Financial Statements have been prepared based on the best information available to the Borrower as of the date of delivery thereof, and present fairly in all material respects on a </w:t>
      </w:r>
      <w:r>
        <w:rPr>
          <w:rFonts w:ascii="Times New Roman;sans-serif" w:hAnsi="Times New Roman;sans-serif"/>
          <w:b w:val="false"/>
          <w:i/>
          <w:color w:val="000000"/>
          <w:sz w:val="22"/>
        </w:rPr>
        <w:t xml:space="preserve">pro forma </w:t>
      </w:r>
      <w:r>
        <w:rPr>
          <w:rFonts w:ascii="Times New Roman;sans-serif" w:hAnsi="Times New Roman;sans-serif"/>
          <w:b w:val="false"/>
          <w:color w:val="000000"/>
          <w:sz w:val="22"/>
        </w:rPr>
        <w:t>basis the estimated financial position of the Group Members as of the period covered thereby assuming that the events specified in the preceding sentence had actually occurred at such date,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audited consolidated balance sheets of the Group Members as of December 31, 2019 and December 31, 2018, and the related consolidated statements of income and of cash flows for the fiscal years ended on such dates, present fairly in all material respects the consolidated financial condition of the Group Members as at such date, and the consolidated results of its operations </w:t>
      </w:r>
      <w:r>
        <w:br w:type="page"/>
      </w:r>
    </w:p>
    <w:p>
      <w:pPr>
        <w:pStyle w:val="TextBody"/>
        <w:spacing w:before="0" w:after="0"/>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60655"/>
                <wp:effectExtent l="0" t="0" r="0" b="0"/>
                <wp:wrapNone/>
                <wp:docPr id="323" name="Frame3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and its consolidated cash flows for the respective fiscal years then ended. The unaudited consolidated balance sheets of the Group Members as at September 30, 2020 and the related unaudited consolidated statements of income and cash flows for the nine-month period ended on such date, present fairly in all material respects the consolidated financial condition of the Group Members as at such date, and the consolidated results of its operations and its consolidated cash flows for the nine-month period then ended (subject to the absence of footnotes and normal year-end audit adjustments). All such financial statements, including the related schedules and notes thereto, have been prepared in accordance with GAAP applied consistently throughout the periods involved (except as approved by the auditing accounting firm and disclosed therein and with the exception that the unaudited financial statements may not contain all footnotes required by GAAP). No Group Member has, as of the Closing Date, any material Guarantee Obligations, contingent liabilities and liabilities for past due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December 31, 2019 to and including the date hereof, there has been no Disposition by any Group Member of any material part of its business or property.</w:t>
      </w:r>
    </w:p>
    <w:p>
      <w:pPr>
        <w:pStyle w:val="TextBody"/>
        <w:spacing w:lineRule="auto" w:line="288" w:before="0" w:after="180"/>
        <w:ind w:left="0" w:right="0" w:firstLine="720"/>
        <w:jc w:val="both"/>
        <w:rPr/>
      </w:pPr>
      <w:r>
        <w:rPr>
          <w:rFonts w:ascii="Times New Roman;sans-serif" w:hAnsi="Times New Roman;sans-serif"/>
          <w:b/>
          <w:color w:val="000000"/>
          <w:sz w:val="22"/>
        </w:rPr>
        <w:t>4.2</w:t>
      </w:r>
      <w:r>
        <w:rPr>
          <w:rFonts w:ascii="Times New Roman;sans-serif" w:hAnsi="Times New Roman;sans-serif"/>
          <w:b/>
          <w:color w:val="000000"/>
          <w:sz w:val="22"/>
        </w:rPr>
        <w:t>No Change</w:t>
      </w:r>
      <w:r>
        <w:rPr>
          <w:rFonts w:ascii="Times New Roman;sans-serif" w:hAnsi="Times New Roman;sans-serif"/>
          <w:b w:val="false"/>
          <w:color w:val="000000"/>
          <w:sz w:val="22"/>
        </w:rPr>
        <w:t>. Since December 31, 2019, there has been no development or event that has had or could reasonably be expected to have a Material Adverse Effect.</w:t>
      </w:r>
    </w:p>
    <w:p>
      <w:pPr>
        <w:pStyle w:val="TextBody"/>
        <w:spacing w:lineRule="auto" w:line="288" w:before="0" w:after="180"/>
        <w:ind w:left="0" w:right="0" w:firstLine="720"/>
        <w:jc w:val="both"/>
        <w:rPr/>
      </w:pPr>
      <w:r>
        <w:rPr>
          <w:rFonts w:ascii="Times New Roman;sans-serif" w:hAnsi="Times New Roman;sans-serif"/>
          <w:b/>
          <w:color w:val="000000"/>
          <w:sz w:val="22"/>
        </w:rPr>
        <w:t>4.3</w:t>
      </w:r>
      <w:r>
        <w:rPr>
          <w:rFonts w:ascii="Times New Roman;sans-serif" w:hAnsi="Times New Roman;sans-serif"/>
          <w:b/>
          <w:color w:val="000000"/>
          <w:sz w:val="22"/>
        </w:rPr>
        <w:t>Existence; Compliance with Law</w:t>
      </w:r>
      <w:r>
        <w:rPr>
          <w:rFonts w:ascii="Times New Roman;sans-serif" w:hAnsi="Times New Roman;sans-serif"/>
          <w:b w:val="false"/>
          <w:color w:val="000000"/>
          <w:sz w:val="22"/>
        </w:rPr>
        <w:t>. Each Group Member (a) is duly incorporated or organized, validly existing and (if applicable) in good standing under the laws of the jurisdiction of its organization or incorporation, as applicable, (b) has the power and authority, and the legal right, to own and operate its property, to lease the property it operates as lessee and to conduct the business in which it is currently engaged, (c) is duly qualified as a foreign corporation or other organization and (if applicable) in good standing under the laws of each jurisdiction where the failure to be so qualified or in good standing could reasonably be expected to have a Material Adverse Effect and (d) is in material compliance with all Requirements of Law and the Operating Documents of such Group Member except in such instances in which (i) such Requirement of Law is being contested in good faith by appropriate proceedings diligently conducted and the prosecution of such contest could not reasonably be expected to result in a Material Adverse Effect, or (ii) the failure to comply therewith, either individually or in the aggregate, could not reasonably be expected to have a Material Adverse Effect.</w:t>
      </w:r>
    </w:p>
    <w:p>
      <w:pPr>
        <w:pStyle w:val="TextBody"/>
        <w:spacing w:lineRule="auto" w:line="288" w:before="0" w:after="180"/>
        <w:ind w:left="0" w:right="0" w:firstLine="720"/>
        <w:jc w:val="both"/>
        <w:rPr/>
      </w:pPr>
      <w:r>
        <w:rPr>
          <w:rFonts w:ascii="Times New Roman;sans-serif" w:hAnsi="Times New Roman;sans-serif"/>
          <w:b/>
          <w:color w:val="000000"/>
          <w:sz w:val="22"/>
        </w:rPr>
        <w:t>4.4</w:t>
      </w:r>
      <w:r>
        <w:rPr>
          <w:rFonts w:ascii="Times New Roman;sans-serif" w:hAnsi="Times New Roman;sans-serif"/>
          <w:b/>
          <w:color w:val="000000"/>
          <w:sz w:val="22"/>
        </w:rPr>
        <w:t>Power, Authorization; Enforceable Obligations</w:t>
      </w:r>
      <w:r>
        <w:rPr>
          <w:rFonts w:ascii="Times New Roman;sans-serif" w:hAnsi="Times New Roman;sans-serif"/>
          <w:b w:val="false"/>
          <w:color w:val="000000"/>
          <w:sz w:val="22"/>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or corporate, as applicable,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which have been obtained or made and are in full force and effect, and (ii) the filings referred to in </w:t>
      </w:r>
      <w:r>
        <w:rPr>
          <w:rFonts w:ascii="Times New Roman;sans-serif" w:hAnsi="Times New Roman;sans-serif"/>
          <w:b w:val="false"/>
          <w:color w:val="000000"/>
          <w:sz w:val="22"/>
          <w:u w:val="single"/>
        </w:rPr>
        <w:t>Section 4.19</w:t>
      </w:r>
      <w:r>
        <w:rPr>
          <w:rFonts w:ascii="Times New Roman;sans-serif" w:hAnsi="Times New Roman;sans-serif"/>
          <w:b w:val="false"/>
          <w:color w:val="000000"/>
          <w:sz w:val="22"/>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r>
        <w:br w:type="page"/>
      </w:r>
    </w:p>
    <w:p>
      <w:pPr>
        <w:pStyle w:val="TextBody"/>
        <w:spacing w:before="0" w:after="0"/>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60655"/>
                <wp:effectExtent l="0" t="0" r="0" b="0"/>
                <wp:wrapNone/>
                <wp:docPr id="324" name="Frame3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4.5</w:t>
      </w:r>
      <w:r>
        <w:rPr>
          <w:rFonts w:ascii="Times New Roman;sans-serif" w:hAnsi="Times New Roman;sans-serif"/>
          <w:b/>
          <w:color w:val="000000"/>
          <w:sz w:val="22"/>
        </w:rPr>
        <w:t>No Legal Bar</w:t>
      </w:r>
      <w:r>
        <w:rPr>
          <w:rFonts w:ascii="Times New Roman;sans-serif" w:hAnsi="Times New Roman;sans-serif"/>
          <w:b w:val="false"/>
          <w:color w:val="000000"/>
          <w:sz w:val="22"/>
        </w:rPr>
        <w:t xml:space="preserve">. The execution, delivery and performance of this Agreement and the other Loan Documents, the issuance of Letters of Credit, the extensions of credit hereunder and the use of the proceeds thereof will not violate any material Requirement of Law (except as set forth on </w:t>
      </w:r>
      <w:r>
        <w:rPr>
          <w:rFonts w:ascii="Times New Roman;sans-serif" w:hAnsi="Times New Roman;sans-serif"/>
          <w:b w:val="false"/>
          <w:color w:val="000000"/>
          <w:sz w:val="22"/>
          <w:u w:val="single"/>
        </w:rPr>
        <w:t>Schedule 4.5</w:t>
      </w:r>
      <w:r>
        <w:rPr>
          <w:rFonts w:ascii="Times New Roman;sans-serif" w:hAnsi="Times New Roman;sans-serif"/>
          <w:b w:val="false"/>
          <w:color w:val="000000"/>
          <w:sz w:val="22"/>
        </w:rPr>
        <w:t xml:space="preserve">), any Operating Document of any Group Member or any material Contractual Obligation of any Group Member and will not result in, or require, the creation or imposition of any Lien on any of their respective properties or revenues pursuant to any Requirement of Law (other than the Liens created by the Security Documents). No Group Member has violated any Requirement of Law, any Operating Document of such Group Member or violated or failed to comply with any Contractual Obligation applicable to such Group Member that could reasonably be expected to have a Material Adverse Effect. The absence of obtaining the Governmental Approvals described on </w:t>
      </w:r>
      <w:r>
        <w:rPr>
          <w:rFonts w:ascii="Times New Roman;sans-serif" w:hAnsi="Times New Roman;sans-serif"/>
          <w:b w:val="false"/>
          <w:color w:val="000000"/>
          <w:sz w:val="22"/>
          <w:u w:val="single"/>
        </w:rPr>
        <w:t>Schedule 4.5</w:t>
      </w:r>
      <w:r>
        <w:rPr>
          <w:color w:val="000000"/>
        </w:rPr>
        <w:t xml:space="preserve"> </w:t>
      </w:r>
      <w:r>
        <w:rPr>
          <w:rFonts w:ascii="Times New Roman;sans-serif" w:hAnsi="Times New Roman;sans-serif"/>
          <w:b w:val="false"/>
          <w:color w:val="000000"/>
          <w:sz w:val="22"/>
        </w:rPr>
        <w:t xml:space="preserve">and the violations of Requirements of Law referenced on </w:t>
      </w:r>
      <w:r>
        <w:rPr>
          <w:rFonts w:ascii="Times New Roman;sans-serif" w:hAnsi="Times New Roman;sans-serif"/>
          <w:b w:val="false"/>
          <w:color w:val="000000"/>
          <w:sz w:val="22"/>
          <w:u w:val="single"/>
        </w:rPr>
        <w:t>Schedule 4.5</w:t>
      </w:r>
      <w:r>
        <w:rPr>
          <w:color w:val="000000"/>
        </w:rPr>
        <w:t xml:space="preserve"> </w:t>
      </w:r>
      <w:r>
        <w:rPr>
          <w:rFonts w:ascii="Times New Roman;sans-serif" w:hAnsi="Times New Roman;sans-serif"/>
          <w:b w:val="false"/>
          <w:color w:val="000000"/>
          <w:sz w:val="22"/>
        </w:rPr>
        <w:t>shall not have a material adverse effect on any rights of the Lenders or the Administrative Agent pursuant to the Loan Documents.</w:t>
      </w:r>
    </w:p>
    <w:p>
      <w:pPr>
        <w:pStyle w:val="TextBody"/>
        <w:spacing w:lineRule="auto" w:line="288" w:before="0" w:after="180"/>
        <w:ind w:left="0" w:right="0" w:firstLine="720"/>
        <w:jc w:val="both"/>
        <w:rPr/>
      </w:pPr>
      <w:r>
        <w:rPr>
          <w:rFonts w:ascii="Times New Roman;sans-serif" w:hAnsi="Times New Roman;sans-serif"/>
          <w:b/>
          <w:color w:val="000000"/>
          <w:sz w:val="22"/>
        </w:rPr>
        <w:t>4.6</w:t>
      </w:r>
      <w:r>
        <w:rPr>
          <w:rFonts w:ascii="Times New Roman;sans-serif" w:hAnsi="Times New Roman;sans-serif"/>
          <w:b/>
          <w:color w:val="000000"/>
          <w:sz w:val="22"/>
        </w:rPr>
        <w:t>Litigation</w:t>
      </w:r>
      <w:r>
        <w:rPr>
          <w:rFonts w:ascii="Times New Roman;sans-serif" w:hAnsi="Times New Roman;sans-serif"/>
          <w:b w:val="false"/>
          <w:color w:val="000000"/>
          <w:sz w:val="22"/>
        </w:rPr>
        <w:t>. No litigation, investigation or proceeding of or before any arbitrator or Governmental Authority is pending or, to the knowledge of any Group Member, threatened,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pStyle w:val="TextBody"/>
        <w:spacing w:lineRule="auto" w:line="288" w:before="0" w:after="180"/>
        <w:ind w:left="0" w:right="0" w:firstLine="720"/>
        <w:jc w:val="both"/>
        <w:rPr/>
      </w:pPr>
      <w:r>
        <w:rPr>
          <w:rFonts w:ascii="Times New Roman;sans-serif" w:hAnsi="Times New Roman;sans-serif"/>
          <w:b/>
          <w:color w:val="000000"/>
          <w:sz w:val="22"/>
        </w:rPr>
        <w:t>4.7</w:t>
      </w:r>
      <w:r>
        <w:rPr>
          <w:rFonts w:ascii="Times New Roman;sans-serif" w:hAnsi="Times New Roman;sans-serif"/>
          <w:b/>
          <w:color w:val="000000"/>
          <w:sz w:val="22"/>
        </w:rPr>
        <w:t>No Default</w:t>
      </w:r>
      <w:r>
        <w:rPr>
          <w:rFonts w:ascii="Times New Roman;sans-serif" w:hAnsi="Times New Roman;sans-serif"/>
          <w:b w:val="false"/>
          <w:color w:val="000000"/>
          <w:sz w:val="22"/>
        </w:rPr>
        <w:t>. No Group Member is in default under or with respect to any of its Contractual Obligations in any respect that could reasonably be expected to have a Material Adverse Effect. No Default or Event of Default has occurred and is continuing, nor shall either result from the making of a requested credit extension under this Agreement.</w:t>
      </w:r>
    </w:p>
    <w:p>
      <w:pPr>
        <w:pStyle w:val="TextBody"/>
        <w:spacing w:lineRule="auto" w:line="288" w:before="0" w:after="180"/>
        <w:ind w:left="0" w:right="0" w:firstLine="720"/>
        <w:jc w:val="both"/>
        <w:rPr/>
      </w:pPr>
      <w:r>
        <w:rPr>
          <w:rFonts w:ascii="Times New Roman;sans-serif" w:hAnsi="Times New Roman;sans-serif"/>
          <w:b/>
          <w:color w:val="000000"/>
          <w:sz w:val="22"/>
        </w:rPr>
        <w:t>4.8</w:t>
      </w:r>
      <w:r>
        <w:rPr>
          <w:rFonts w:ascii="Times New Roman;sans-serif" w:hAnsi="Times New Roman;sans-serif"/>
          <w:b/>
          <w:color w:val="000000"/>
          <w:sz w:val="22"/>
        </w:rPr>
        <w:t>Ownership of Property; Liens; Investments</w:t>
      </w:r>
      <w:r>
        <w:rPr>
          <w:rFonts w:ascii="Times New Roman;sans-serif" w:hAnsi="Times New Roman;sans-serif"/>
          <w:b w:val="false"/>
          <w:color w:val="000000"/>
          <w:sz w:val="22"/>
        </w:rPr>
        <w:t xml:space="preserve">. Each Group Member has title in fee simple to, or a valid leasehold interest in, all of its real property, and good title to, or a valid leasehold interest in, all of its other property, and none of such property is subject to any Lien except as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xml:space="preserve">. No Loan Party owns any Investment except as permitted by </w:t>
      </w:r>
      <w:r>
        <w:rPr>
          <w:rFonts w:ascii="Times New Roman;sans-serif" w:hAnsi="Times New Roman;sans-serif"/>
          <w:b w:val="false"/>
          <w:color w:val="000000"/>
          <w:sz w:val="22"/>
          <w:u w:val="single"/>
        </w:rPr>
        <w:t>Section 7.8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w:t>
      </w:r>
    </w:p>
    <w:p>
      <w:pPr>
        <w:pStyle w:val="TextBody"/>
        <w:spacing w:lineRule="auto" w:line="288" w:before="0" w:after="180"/>
        <w:ind w:left="0" w:right="0" w:firstLine="720"/>
        <w:jc w:val="both"/>
        <w:rPr/>
      </w:pPr>
      <w:r>
        <w:rPr>
          <w:rFonts w:ascii="Times New Roman;sans-serif" w:hAnsi="Times New Roman;sans-serif"/>
          <w:b/>
          <w:color w:val="000000"/>
          <w:sz w:val="22"/>
        </w:rPr>
        <w:t>4.9</w:t>
      </w:r>
      <w:r>
        <w:rPr>
          <w:rFonts w:ascii="Times New Roman;sans-serif" w:hAnsi="Times New Roman;sans-serif"/>
          <w:b/>
          <w:color w:val="000000"/>
          <w:sz w:val="22"/>
        </w:rPr>
        <w:t>Intellectual Property</w:t>
      </w:r>
      <w:r>
        <w:rPr>
          <w:rFonts w:ascii="Times New Roman;sans-serif" w:hAnsi="Times New Roman;sans-serif"/>
          <w:b w:val="false"/>
          <w:color w:val="000000"/>
          <w:sz w:val="22"/>
        </w:rPr>
        <w:t>. Each Group Member owns, or is licensed to use, all Intellectual Property necessary for the conduct of its business as currently conducted. No claim has been asserted and is pending by any Person challenging or questioning any Group Member’s use of any Intellectual Property or the validity or effectiveness of any Group Member’s Intellectual Property, nor does any Group Member know of any valid basis for any such claim, unless such claim could not reasonably be expected to have a Material Adverse Effect. To the knowledge of the Loan Parties,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there are no claims pending or, to the knowledge of any Loan Party, threatened to such effect.</w:t>
      </w:r>
    </w:p>
    <w:p>
      <w:pPr>
        <w:pStyle w:val="TextBody"/>
        <w:spacing w:lineRule="auto" w:line="288" w:before="0" w:after="180"/>
        <w:ind w:left="0" w:right="0" w:firstLine="720"/>
        <w:jc w:val="both"/>
        <w:rPr/>
      </w:pPr>
      <w:r>
        <w:rPr>
          <w:rFonts w:ascii="Times New Roman;sans-serif" w:hAnsi="Times New Roman;sans-serif"/>
          <w:b/>
          <w:color w:val="000000"/>
          <w:sz w:val="22"/>
        </w:rPr>
        <w:t>4.10</w:t>
      </w:r>
      <w:r>
        <w:rPr>
          <w:rFonts w:ascii="Times New Roman;sans-serif" w:hAnsi="Times New Roman;sans-serif"/>
          <w:b/>
          <w:color w:val="000000"/>
          <w:sz w:val="22"/>
        </w:rPr>
        <w:t>Taxes</w:t>
      </w:r>
      <w:r>
        <w:rPr>
          <w:rFonts w:ascii="Times New Roman;sans-serif" w:hAnsi="Times New Roman;sans-serif"/>
          <w:b w:val="false"/>
          <w:color w:val="000000"/>
          <w:sz w:val="22"/>
        </w:rPr>
        <w:t xml:space="preserve">. Each Group Member has filed or caused to be filed all U.S. federal and non-U.S. income and all other material Tax returns that are required to be filed and has paid all Taxes shown to be due and payable on said returns or on any assessments made against it in writing or any of its property and all other Taxes imposed in writing on it or any of its property by any Taxing Authority (other than any Taxes (i) the amount of which do not exceed $500,000 in the aggregate or (ii) the amount or validity of which are currently being contested in good faith by appropriate proceedings and with respect to which </w:t>
      </w:r>
      <w:r>
        <w:br w:type="page"/>
      </w:r>
    </w:p>
    <w:p>
      <w:pPr>
        <w:pStyle w:val="TextBody"/>
        <w:spacing w:before="0" w:after="0"/>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60655"/>
                <wp:effectExtent l="0" t="0" r="0" b="0"/>
                <wp:wrapNone/>
                <wp:docPr id="325" name="Frame3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reserves in conformity with GAAP have been provided on the books of the relevant Group Member), no tax Lien has been filed that secures Tax liabilities in excess of $500,000 and, to the knowledge of the Group Members, no claim exceeding $500,000 in value has been asserted in writing with respect to any such Tax securing such Tax lien.</w:t>
      </w:r>
    </w:p>
    <w:p>
      <w:pPr>
        <w:pStyle w:val="TextBody"/>
        <w:spacing w:lineRule="auto" w:line="288" w:before="0" w:after="180"/>
        <w:ind w:left="0" w:right="0" w:firstLine="720"/>
        <w:jc w:val="both"/>
        <w:rPr/>
      </w:pPr>
      <w:r>
        <w:rPr>
          <w:rFonts w:ascii="Times New Roman;sans-serif" w:hAnsi="Times New Roman;sans-serif"/>
          <w:b/>
          <w:color w:val="000000"/>
          <w:sz w:val="22"/>
        </w:rPr>
        <w:t>4.11</w:t>
      </w:r>
      <w:r>
        <w:rPr>
          <w:rFonts w:ascii="Times New Roman;sans-serif" w:hAnsi="Times New Roman;sans-serif"/>
          <w:b/>
          <w:color w:val="000000"/>
          <w:sz w:val="22"/>
        </w:rPr>
        <w:t>Federal Regulations</w:t>
      </w:r>
      <w:r>
        <w:rPr>
          <w:rFonts w:ascii="Times New Roman;sans-serif" w:hAnsi="Times New Roman;sans-serif"/>
          <w:b w:val="false"/>
          <w:color w:val="000000"/>
          <w:sz w:val="22"/>
        </w:rPr>
        <w:t>. The Borrower is not engaged and will not engage, principally or as one of its important activities, in the 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w:t>
      </w:r>
    </w:p>
    <w:p>
      <w:pPr>
        <w:pStyle w:val="TextBody"/>
        <w:spacing w:lineRule="auto" w:line="288" w:before="0" w:after="180"/>
        <w:ind w:left="0" w:right="0" w:firstLine="720"/>
        <w:jc w:val="both"/>
        <w:rPr/>
      </w:pPr>
      <w:r>
        <w:rPr>
          <w:rFonts w:ascii="Times New Roman;sans-serif" w:hAnsi="Times New Roman;sans-serif"/>
          <w:b/>
          <w:color w:val="000000"/>
          <w:sz w:val="22"/>
        </w:rPr>
        <w:t>4.12</w:t>
      </w:r>
      <w:r>
        <w:rPr>
          <w:rFonts w:ascii="Times New Roman;sans-serif" w:hAnsi="Times New Roman;sans-serif"/>
          <w:b/>
          <w:color w:val="000000"/>
          <w:sz w:val="22"/>
        </w:rPr>
        <w:t>Labor Matters</w:t>
      </w:r>
      <w:r>
        <w:rPr>
          <w:rFonts w:ascii="Times New Roman;sans-serif" w:hAnsi="Times New Roman;sans-serif"/>
          <w:b w:val="false"/>
          <w:color w:val="000000"/>
          <w:sz w:val="22"/>
        </w:rPr>
        <w:t>. Except as, in the aggregate, could not reasonably be expected to have a Material Adverse Effect: (a) there are no strikes or other labor disputes against any Group Member pending or, to the knowledge of the Loan Parties, threatened; (b) hours worked by and payment made to employees of each Group Member have not been in violation of the Fair Labor Standards Act or any other applicable Requirement of Law dealing with such matters, as applicable; and (c) all payments due from any Group Member on account of employee health and welfare insurance have been paid or accrued as a liability on the books of the relevant Group Member.</w:t>
      </w:r>
    </w:p>
    <w:p>
      <w:pPr>
        <w:pStyle w:val="TextBody"/>
        <w:spacing w:lineRule="auto" w:line="288" w:before="0" w:after="180"/>
        <w:ind w:left="0" w:right="0" w:firstLine="720"/>
        <w:rPr/>
      </w:pPr>
      <w:r>
        <w:rPr>
          <w:rFonts w:ascii="Times New Roman;sans-serif" w:hAnsi="Times New Roman;sans-serif"/>
          <w:b/>
          <w:color w:val="000000"/>
          <w:sz w:val="22"/>
        </w:rPr>
        <w:t>4.13</w:t>
      </w:r>
      <w:r>
        <w:rPr>
          <w:rFonts w:ascii="Times New Roman;sans-serif" w:hAnsi="Times New Roman;sans-serif"/>
          <w:b/>
          <w:color w:val="000000"/>
          <w:sz w:val="22"/>
        </w:rPr>
        <w:t>ERISA and Other Pension Matters</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Schedule 4.13</w:t>
      </w:r>
      <w:r>
        <w:rPr>
          <w:color w:val="000000"/>
        </w:rPr>
        <w:t xml:space="preserve"> </w:t>
      </w:r>
      <w:r>
        <w:rPr>
          <w:rFonts w:ascii="Times New Roman;sans-serif" w:hAnsi="Times New Roman;sans-serif"/>
          <w:b w:val="false"/>
          <w:color w:val="000000"/>
          <w:sz w:val="22"/>
        </w:rPr>
        <w:t>is a complete and accurate list of all Pension Plans maintained or sponsored by the Borrower or any ERISA Affiliate or to which the Borrower or any ERISA Affiliate contributes as of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except as in the aggregate could not reasonably be expected to have a Material Adverse Effect, the Borrower and its ERISA Affiliates are in compliance in all material respects with all applicable provisions and requirements of ERISA with respect to each Plan, and have performed all their obligations under each Plan;</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except as in the aggregate could not reasonably be expected to result in a material adverse effect to the Borrower or any ERISA Affiliate, no ERISA Event has occurred or is reasonably expected to occur;</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except as in the aggregate could not reasonably be expected result in material adverse effect to the Borrower or any ERISA Affiliate, the Borrower and each of its ERISA Affiliates have met all applicable requirements under the ERISA Funding Rules with respect to each Pension Plan, and no waiver of the minimum funding standards under the ERISA Funding Rules has been applied for or obtained;</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except to the extent required under Section 4980B of the Code, or as described on </w:t>
      </w:r>
      <w:r>
        <w:rPr>
          <w:rFonts w:ascii="Times New Roman;sans-serif" w:hAnsi="Times New Roman;sans-serif"/>
          <w:b w:val="false"/>
          <w:color w:val="000000"/>
          <w:sz w:val="22"/>
          <w:u w:val="single"/>
        </w:rPr>
        <w:t>Schedule 4.13</w:t>
      </w:r>
      <w:r>
        <w:rPr>
          <w:rFonts w:ascii="Times New Roman;sans-serif" w:hAnsi="Times New Roman;sans-serif"/>
          <w:b w:val="false"/>
          <w:color w:val="000000"/>
          <w:sz w:val="22"/>
        </w:rPr>
        <w:t>, no Plan provides health or welfare benefits (through the purchase of insurance or otherwise) for any retired or former employee of the Borrower or any of its ERISA Affiliates;</w:t>
      </w:r>
      <w:r>
        <w:br w:type="page"/>
      </w:r>
    </w:p>
    <w:p>
      <w:pPr>
        <w:pStyle w:val="TextBody"/>
        <w:spacing w:before="0" w:after="0"/>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60655"/>
                <wp:effectExtent l="0" t="0" r="0" b="0"/>
                <wp:wrapNone/>
                <wp:docPr id="326" name="Frame3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$500,000;</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all liabilities under each Plan are (i) funded to at least the minimum level required by law or, if higher, to the level required by the terms governing the Plans, (ii) insured with a 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except as in the aggregate could not reasonably be expected to have a Material Adverse Effect, there are no circumstances which may give rise to a liability in relation to any Plan which is not funded, insured, provided for, recognized or estimated in the manner described in clause (g);</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(i) the Borrower is not and will not be a “plan” within the meaning of Section 4975(e) of the Code; (ii) the assets of the Borrower do not and will not constitute “plan assets” within the meaning of the United States Department of Labor Regulations set forth in 29 C.F.R. §2510.3-101;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neither the Borrower nor any of its Subsidiaries is or has at any time been an employer (for the purposes of sections 38 to 51 of the UK Pensions Act 2004) of an occupational pension scheme which is not a money purchase scheme (both terms as defined in the UK Pensions Schemes Act 1993); and</w: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neither the Borrower nor any of its Subsidiaries is or has at any time been “connected” with or an “associate” of (as those terms are used in sections 38 and 43 of the UK Pensions Act 2004) such an employer.</w:t>
      </w:r>
    </w:p>
    <w:p>
      <w:pPr>
        <w:pStyle w:val="TextBody"/>
        <w:spacing w:lineRule="auto" w:line="288" w:before="0" w:after="180"/>
        <w:ind w:left="0" w:right="0" w:firstLine="720"/>
        <w:jc w:val="both"/>
        <w:rPr/>
      </w:pPr>
      <w:r>
        <w:rPr>
          <w:rFonts w:ascii="Times New Roman;sans-serif" w:hAnsi="Times New Roman;sans-serif"/>
          <w:b/>
          <w:color w:val="000000"/>
          <w:sz w:val="22"/>
        </w:rPr>
        <w:t>4.14</w:t>
      </w:r>
      <w:r>
        <w:rPr>
          <w:rFonts w:ascii="Times New Roman;sans-serif" w:hAnsi="Times New Roman;sans-serif"/>
          <w:b/>
          <w:color w:val="000000"/>
          <w:sz w:val="22"/>
        </w:rPr>
        <w:t>Investment Company Act; Other Regulations</w:t>
      </w:r>
      <w:r>
        <w:rPr>
          <w:rFonts w:ascii="Times New Roman;sans-serif" w:hAnsi="Times New Roman;sans-serif"/>
          <w:b w:val="false"/>
          <w:color w:val="000000"/>
          <w:sz w:val="22"/>
        </w:rPr>
        <w:t xml:space="preserve">. No Loan Party is an “investment company,” or a company “controlled” by an “investment company,” within the meaning of the Investment Company Act of 1940, as amended. Except as set forth on </w:t>
      </w:r>
      <w:r>
        <w:rPr>
          <w:rFonts w:ascii="Times New Roman;sans-serif" w:hAnsi="Times New Roman;sans-serif"/>
          <w:b w:val="false"/>
          <w:color w:val="000000"/>
          <w:sz w:val="22"/>
          <w:u w:val="single"/>
        </w:rPr>
        <w:t>Schedule 4.5</w:t>
      </w:r>
      <w:r>
        <w:rPr>
          <w:rFonts w:ascii="Times New Roman;sans-serif" w:hAnsi="Times New Roman;sans-serif"/>
          <w:b w:val="false"/>
          <w:color w:val="000000"/>
          <w:sz w:val="22"/>
        </w:rPr>
        <w:t>, no Loan Party is subject to regulation under any Requirement of Law (other than Regulation X of the Board) that limits its ability to incur Indebtedness or which may otherwise render all or any portion of the Obligations unenforceable.</w:t>
      </w:r>
    </w:p>
    <w:p>
      <w:pPr>
        <w:pStyle w:val="TextBody"/>
        <w:spacing w:lineRule="auto" w:line="288" w:before="0" w:after="180"/>
        <w:ind w:left="0" w:right="0" w:firstLine="720"/>
        <w:rPr/>
      </w:pPr>
      <w:r>
        <w:rPr>
          <w:rFonts w:ascii="Times New Roman;sans-serif" w:hAnsi="Times New Roman;sans-serif"/>
          <w:b/>
          <w:color w:val="000000"/>
          <w:sz w:val="22"/>
        </w:rPr>
        <w:t>4.15</w:t>
      </w:r>
      <w:r>
        <w:rPr>
          <w:rFonts w:ascii="Times New Roman;sans-serif" w:hAnsi="Times New Roman;sans-serif"/>
          <w:b/>
          <w:color w:val="000000"/>
          <w:sz w:val="22"/>
        </w:rPr>
        <w:t>Subsidiaries</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Except as disclosed to the Administrative Agent by the Borrower in writing from time to time after the Closing Date, (a) </w:t>
      </w:r>
      <w:r>
        <w:rPr>
          <w:rFonts w:ascii="Times New Roman;sans-serif" w:hAnsi="Times New Roman;sans-serif"/>
          <w:b w:val="false"/>
          <w:color w:val="000000"/>
          <w:sz w:val="22"/>
          <w:u w:val="single"/>
        </w:rPr>
        <w:t>Schedule 4.15</w:t>
      </w:r>
      <w:r>
        <w:rPr>
          <w:color w:val="000000"/>
        </w:rPr>
        <w:t xml:space="preserve"> </w:t>
      </w:r>
      <w:r>
        <w:rPr>
          <w:rFonts w:ascii="Times New Roman;sans-serif" w:hAnsi="Times New Roman;sans-serif"/>
          <w:b w:val="false"/>
          <w:color w:val="000000"/>
          <w:sz w:val="22"/>
        </w:rPr>
        <w:t xml:space="preserve">sets forth the name and jurisdiction of organization of each Subsidiary of the Borrower and, as to each such Subsidiary, the percentage of each class of Capital Stock owned by any Loan Party, and (b) there are no outstanding subscriptions, options, warrants, calls, rights or other agreements or commitments (other than stock options granted to employees or </w:t>
      </w:r>
      <w:r>
        <w:br w:type="page"/>
      </w:r>
    </w:p>
    <w:p>
      <w:pPr>
        <w:pStyle w:val="TextBody"/>
        <w:spacing w:before="0" w:after="0"/>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60655"/>
                <wp:effectExtent l="0" t="0" r="0" b="0"/>
                <wp:wrapNone/>
                <wp:docPr id="327" name="Frame3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directors and directors’ qualifying shares) of any nature relating to any Capital Stock of any Subsidiary of the Borrower, except as may be created by the Loan Documents.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Subsidiary which has been designated as an Immaterial Subsidiary fails to satisfy the limitations set forth in the definition thereof.</w:t>
      </w:r>
    </w:p>
    <w:p>
      <w:pPr>
        <w:pStyle w:val="TextBody"/>
        <w:spacing w:lineRule="auto" w:line="288" w:before="0" w:after="180"/>
        <w:ind w:left="0" w:right="0" w:firstLine="720"/>
        <w:jc w:val="both"/>
        <w:rPr/>
      </w:pPr>
      <w:r>
        <w:rPr>
          <w:rFonts w:ascii="Times New Roman;sans-serif" w:hAnsi="Times New Roman;sans-serif"/>
          <w:b/>
          <w:color w:val="000000"/>
          <w:sz w:val="22"/>
        </w:rPr>
        <w:t>4.16</w:t>
      </w:r>
      <w:r>
        <w:rPr>
          <w:rFonts w:ascii="Times New Roman;sans-serif" w:hAnsi="Times New Roman;sans-serif"/>
          <w:b/>
          <w:color w:val="000000"/>
          <w:sz w:val="22"/>
        </w:rPr>
        <w:t>Use of Proceeds</w:t>
      </w:r>
      <w:r>
        <w:rPr>
          <w:rFonts w:ascii="Times New Roman;sans-serif" w:hAnsi="Times New Roman;sans-serif"/>
          <w:b w:val="false"/>
          <w:color w:val="000000"/>
          <w:sz w:val="22"/>
        </w:rPr>
        <w:t>. The proceeds of the Term Loans and the Revolving Loans (including Swingline Loans) shall be used to finance Permitted Acquisitions, to refinance the obligations of the Borrower outstanding under the Existing Credit Facility and to pay related fees and expenses and for working capital and general corporate purposes. .</w:t>
      </w:r>
    </w:p>
    <w:p>
      <w:pPr>
        <w:pStyle w:val="TextBody"/>
        <w:spacing w:lineRule="auto" w:line="288" w:before="0" w:after="180"/>
        <w:ind w:left="0" w:right="0" w:firstLine="720"/>
        <w:jc w:val="both"/>
        <w:rPr/>
      </w:pPr>
      <w:r>
        <w:rPr>
          <w:rFonts w:ascii="Times New Roman;sans-serif" w:hAnsi="Times New Roman;sans-serif"/>
          <w:b/>
          <w:color w:val="000000"/>
          <w:sz w:val="22"/>
        </w:rPr>
        <w:t>4.17</w:t>
      </w:r>
      <w:r>
        <w:rPr>
          <w:rFonts w:ascii="Times New Roman;sans-serif" w:hAnsi="Times New Roman;sans-serif"/>
          <w:b/>
          <w:color w:val="000000"/>
          <w:sz w:val="22"/>
        </w:rPr>
        <w:t>Environmental Matters</w:t>
      </w:r>
      <w:r>
        <w:rPr>
          <w:rFonts w:ascii="Times New Roman;sans-serif" w:hAnsi="Times New Roman;sans-serif"/>
          <w:b w:val="false"/>
          <w:color w:val="000000"/>
          <w:sz w:val="22"/>
        </w:rPr>
        <w:t>. Except as, in the aggregate, could not reasonably be expected to have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except as disclosed on </w:t>
      </w:r>
      <w:r>
        <w:rPr>
          <w:rFonts w:ascii="Times New Roman;sans-serif" w:hAnsi="Times New Roman;sans-serif"/>
          <w:b w:val="false"/>
          <w:color w:val="000000"/>
          <w:sz w:val="22"/>
          <w:u w:val="single"/>
        </w:rPr>
        <w:t>Schedule 4.17</w:t>
      </w:r>
      <w:r>
        <w:rPr>
          <w:rFonts w:ascii="Times New Roman;sans-serif" w:hAnsi="Times New Roman;sans-serif"/>
          <w:b w:val="false"/>
          <w:color w:val="000000"/>
          <w:sz w:val="22"/>
        </w:rPr>
        <w:t>, the facilities and properties owned, leased or operated by any Group Member (the “</w:t>
      </w:r>
      <w:r>
        <w:rPr>
          <w:rFonts w:ascii="Times New Roman;sans-serif" w:hAnsi="Times New Roman;sans-serif"/>
          <w:b/>
          <w:i/>
          <w:color w:val="000000"/>
          <w:sz w:val="22"/>
        </w:rPr>
        <w:t>Properties</w:t>
      </w:r>
      <w:r>
        <w:rPr>
          <w:color w:val="000000"/>
        </w:rPr>
        <w:t>”</w:t>
      </w:r>
      <w:r>
        <w:rPr>
          <w:rFonts w:ascii="Times New Roman;sans-serif" w:hAnsi="Times New Roman;sans-serif"/>
          <w:b w:val="false"/>
          <w:color w:val="000000"/>
          <w:sz w:val="22"/>
        </w:rPr>
        <w:t>) do not contain, and, to the knowledge of the Loan Parties, have not previously contained, any Materials of Environmental Concern in amounts or concentrations or under circumstances that constitute or have constituted a violation of, or could give rise to liability under, any Environmental Law;</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sans-serif" w:hAnsi="Times New Roman;sans-serif"/>
          <w:b/>
          <w:i/>
          <w:color w:val="000000"/>
          <w:sz w:val="22"/>
        </w:rPr>
        <w:t>Business</w:t>
      </w:r>
      <w:r>
        <w:rPr>
          <w:color w:val="000000"/>
        </w:rPr>
        <w:t>”</w:t>
      </w:r>
      <w:r>
        <w:rPr>
          <w:rFonts w:ascii="Times New Roman;sans-serif" w:hAnsi="Times New Roman;sans-serif"/>
          <w:b w:val="false"/>
          <w:color w:val="000000"/>
          <w:sz w:val="22"/>
        </w:rPr>
        <w:t>), nor does any Group Member have knowledge or reason to believe that any such notice will be received or is being threatened;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no judicial proceeding or governmental or administrative action is pending or, to the knowledge of any Loan Party,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give rise to liability under Environmental Laws;</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Properties and all operations of the Group Members at the Properties are in compliance, and have in the last five years been in compliance, with all applicable Environmental Laws, and except as set forth on </w:t>
      </w:r>
      <w:r>
        <w:rPr>
          <w:rFonts w:ascii="Times New Roman;sans-serif" w:hAnsi="Times New Roman;sans-serif"/>
          <w:b w:val="false"/>
          <w:color w:val="000000"/>
          <w:sz w:val="22"/>
          <w:u w:val="single"/>
        </w:rPr>
        <w:t>Schedule 4.17</w:t>
      </w:r>
      <w:r>
        <w:rPr>
          <w:rFonts w:ascii="Times New Roman;sans-serif" w:hAnsi="Times New Roman;sans-serif"/>
          <w:b w:val="false"/>
          <w:color w:val="000000"/>
          <w:sz w:val="22"/>
        </w:rPr>
        <w:t>, to the knowledge of the Borrower, there is no contamination at, under or about the Properties or violation of any Environmental Law with respect to the Properties or the Business; and</w:t>
      </w:r>
    </w:p>
    <w:p>
      <w:pPr>
        <w:pStyle w:val="TextBody"/>
        <w:spacing w:lineRule="auto" w:line="288" w:before="0" w:after="180"/>
        <w:ind w:left="0" w:right="0" w:firstLine="1440"/>
        <w:rPr/>
      </w:pPr>
      <w:r>
        <w:rPr>
          <w:rFonts w:ascii="Times New Roman;sans-serif" w:hAnsi="Times New Roman;sans-serif"/>
          <w:b w:val="false"/>
          <w:color w:val="000000"/>
          <w:sz w:val="22"/>
        </w:rPr>
        <w:t>(g)</w:t>
      </w:r>
      <w:r>
        <w:rPr>
          <w:rFonts w:ascii="Times New Roman;sans-serif" w:hAnsi="Times New Roman;sans-serif"/>
          <w:b w:val="false"/>
          <w:color w:val="000000"/>
          <w:sz w:val="22"/>
        </w:rPr>
        <w:t>no Group Member has assumed any liability of any other Person under Environmental Laws.</w:t>
      </w:r>
      <w:r>
        <w:br w:type="page"/>
      </w:r>
    </w:p>
    <w:p>
      <w:pPr>
        <w:pStyle w:val="TextBody"/>
        <w:spacing w:before="0" w:after="0"/>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60655"/>
                <wp:effectExtent l="0" t="0" r="0" b="0"/>
                <wp:wrapNone/>
                <wp:docPr id="328" name="Frame3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4.18</w:t>
      </w:r>
      <w:r>
        <w:rPr>
          <w:rFonts w:ascii="Times New Roman;sans-serif" w:hAnsi="Times New Roman;sans-serif"/>
          <w:b/>
          <w:color w:val="000000"/>
          <w:sz w:val="22"/>
        </w:rPr>
        <w:t xml:space="preserve">Accuracy of Information, etc. </w:t>
      </w:r>
      <w:r>
        <w:rPr>
          <w:rFonts w:ascii="Times New Roman;sans-serif" w:hAnsi="Times New Roman;sans-serif"/>
          <w:b w:val="false"/>
          <w:color w:val="000000"/>
          <w:sz w:val="22"/>
        </w:rPr>
        <w:t xml:space="preserve">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(when taken as a whole) not misleading in any material respect in light of the circumstances in which they were made (it being recognized by the Lenders that financial information as it relates to future events is not to be viewed as fact and that actual results during the period or periods covered by such financial information may differ from the projected results set forth therein by a material amount). The projections and </w:t>
      </w:r>
      <w:r>
        <w:rPr>
          <w:rFonts w:ascii="Times New Roman;sans-serif" w:hAnsi="Times New Roman;sans-serif"/>
          <w:b w:val="false"/>
          <w:i/>
          <w:color w:val="000000"/>
          <w:sz w:val="22"/>
        </w:rPr>
        <w:t xml:space="preserve">pro forma </w:t>
      </w:r>
      <w:r>
        <w:rPr>
          <w:rFonts w:ascii="Times New Roman;sans-serif" w:hAnsi="Times New Roman;sans-serif"/>
          <w:b w:val="false"/>
          <w:color w:val="000000"/>
          <w:sz w:val="22"/>
        </w:rPr>
        <w:t>financial information contained in the materials referenced above are based upon good faith estimates and assumptions believed by management of the Borrower to be reasonable at the time made, it being recognized by the Lenders that such projections and financial information as they relate to future events are not to be viewed as fact and that actual results during the period or periods covered by such projections and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 other than general conditions affecting the Borrower’s industry.</w:t>
      </w:r>
    </w:p>
    <w:p>
      <w:pPr>
        <w:pStyle w:val="TextBody"/>
        <w:spacing w:lineRule="auto" w:line="288" w:before="0" w:after="180"/>
        <w:ind w:left="0" w:right="0" w:firstLine="720"/>
        <w:rPr/>
      </w:pPr>
      <w:r>
        <w:rPr>
          <w:rFonts w:ascii="Times New Roman;sans-serif" w:hAnsi="Times New Roman;sans-serif"/>
          <w:b/>
          <w:color w:val="000000"/>
          <w:sz w:val="22"/>
        </w:rPr>
        <w:t>4.19</w:t>
      </w:r>
      <w:r>
        <w:rPr>
          <w:rFonts w:ascii="Times New Roman;sans-serif" w:hAnsi="Times New Roman;sans-serif"/>
          <w:b/>
          <w:color w:val="000000"/>
          <w:sz w:val="22"/>
        </w:rPr>
        <w:t>Security Documents.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sans-serif" w:hAnsi="Times New Roman;sans-serif"/>
          <w:b/>
          <w:i/>
          <w:color w:val="000000"/>
          <w:sz w:val="22"/>
        </w:rPr>
        <w:t>Certificated Securities</w:t>
      </w:r>
      <w:r>
        <w:rPr>
          <w:color w:val="000000"/>
        </w:rPr>
        <w:t>”</w:t>
      </w:r>
      <w:r>
        <w:rPr>
          <w:rFonts w:ascii="Times New Roman;sans-serif" w:hAnsi="Times New Roman;sans-serif"/>
          <w:b w:val="false"/>
          <w:color w:val="000000"/>
          <w:sz w:val="22"/>
        </w:rPr>
        <w:t xml:space="preserve">), when certificates representing such Pledged Stock are delivered to the Administrative Agent, and in the case of the other Collateral constituting personal property described in the Guarantee and Collateral Agreement, when financing statements and other filings specified on </w:t>
      </w:r>
      <w:r>
        <w:rPr>
          <w:rFonts w:ascii="Times New Roman;sans-serif" w:hAnsi="Times New Roman;sans-serif"/>
          <w:b w:val="false"/>
          <w:color w:val="000000"/>
          <w:sz w:val="22"/>
          <w:u w:val="single"/>
        </w:rPr>
        <w:t>Schedule 4.19(a)</w:t>
      </w:r>
      <w:r>
        <w:rPr>
          <w:color w:val="000000"/>
        </w:rPr>
        <w:t xml:space="preserve"> </w:t>
      </w:r>
      <w:r>
        <w:rPr>
          <w:rFonts w:ascii="Times New Roman;sans-serif" w:hAnsi="Times New Roman;sans-serif"/>
          <w:b w:val="false"/>
          <w:color w:val="000000"/>
          <w:sz w:val="22"/>
        </w:rPr>
        <w:t xml:space="preserve">in appropriate form are filed in the offices specified on </w:t>
      </w:r>
      <w:r>
        <w:rPr>
          <w:rFonts w:ascii="Times New Roman;sans-serif" w:hAnsi="Times New Roman;sans-serif"/>
          <w:b w:val="false"/>
          <w:color w:val="000000"/>
          <w:sz w:val="22"/>
          <w:u w:val="single"/>
        </w:rPr>
        <w:t>Schedule 4.19(a)</w:t>
      </w:r>
      <w:r>
        <w:rPr>
          <w:rFonts w:ascii="Times New Roman;sans-serif" w:hAnsi="Times New Roman;sans-serif"/>
          <w:b w:val="false"/>
          <w:color w:val="000000"/>
          <w:sz w:val="22"/>
        </w:rPr>
        <w:t xml:space="preserve">, the Administrative Agent, for the benefit of the Secured Parties, shall have a perfected Lien on, and security interest in, all right, title and interest of the Loan Parties in such Collateral and the proceeds thereof, as security for the Obligations, in each case (i) to the extent required herein or in the Security Documents and (ii) prior in right to any other Person (except, in the case of Collateral other than Pledged Stock, Liens permitted by </w:t>
      </w:r>
      <w:r>
        <w:rPr>
          <w:rFonts w:ascii="Times New Roman;sans-serif" w:hAnsi="Times New Roman;sans-serif"/>
          <w:b w:val="false"/>
          <w:color w:val="000000"/>
          <w:sz w:val="22"/>
          <w:u w:val="single"/>
        </w:rPr>
        <w:t>Section 7.3</w:t>
      </w:r>
      <w:r>
        <w:rPr>
          <w:color w:val="000000"/>
        </w:rPr>
        <w:t xml:space="preserve"> </w:t>
      </w:r>
      <w:r>
        <w:rPr>
          <w:rFonts w:ascii="Times New Roman;sans-serif" w:hAnsi="Times New Roman;sans-serif"/>
          <w:b w:val="false"/>
          <w:color w:val="000000"/>
          <w:sz w:val="22"/>
        </w:rPr>
        <w:t>and except as otherwise not required under the Loan Documents). As of the Closing Date, none of the Capital Stock of any Group Members (other than any Immaterial Subsidiary) that is a limited liability company or partnership has any Capital Stock that is a Certificated Security.</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in right to any other Person (other than Liens permitted pursuant to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60655"/>
                <wp:effectExtent l="0" t="0" r="0" b="0"/>
                <wp:wrapNone/>
                <wp:docPr id="329" name="Frame3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Each of the UK Security Documents will be, upon execution, effective to create in favor of the Administrative Agent, for the benefit of the Secured Parties legal, valid and enforceable Liens which those UK Security Documents purport to create and, when such UK Security Documents are filed or registered, as applicable, in the offices for the applicable jurisdictions in which the assets secured by those UK Security Documents are located, those Liens will be valid, effective and enforceable. The Liens created by the UK Security Documents have or will, upon execution, have first ranking priority and are not subject to any prior ranking or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 xml:space="preserve">ranking Liens (other than Liens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No restriction or condition of law or any agreement exists or applies to the ability of the applicable Loan Parties to transfer or grant a security interest in or charge the Collateral.</w:t>
      </w:r>
    </w:p>
    <w:p>
      <w:pPr>
        <w:pStyle w:val="TextBody"/>
        <w:spacing w:lineRule="auto" w:line="288" w:before="0" w:after="180"/>
        <w:ind w:left="0" w:right="0" w:firstLine="720"/>
        <w:jc w:val="both"/>
        <w:rPr/>
      </w:pPr>
      <w:r>
        <w:rPr>
          <w:rFonts w:ascii="Times New Roman;sans-serif" w:hAnsi="Times New Roman;sans-serif"/>
          <w:b/>
          <w:color w:val="000000"/>
          <w:sz w:val="22"/>
        </w:rPr>
        <w:t>4.20</w:t>
      </w:r>
      <w:r>
        <w:rPr>
          <w:rFonts w:ascii="Times New Roman;sans-serif" w:hAnsi="Times New Roman;sans-serif"/>
          <w:b/>
          <w:color w:val="000000"/>
          <w:sz w:val="22"/>
        </w:rPr>
        <w:t>Solvency; Voidable Transaction</w:t>
      </w:r>
      <w:r>
        <w:rPr>
          <w:rFonts w:ascii="Times New Roman;sans-serif" w:hAnsi="Times New Roman;sans-serif"/>
          <w:b w:val="false"/>
          <w:color w:val="000000"/>
          <w:sz w:val="22"/>
        </w:rPr>
        <w:t>. Each Loan Party is, and after giving effect to the incurrence of all Indebtedness, Obligations and obligations being incurred in connection herewith, will be Solvent. Each UK Group Member (other than any Immaterial Subsidiary) is not unable to pay its debts (including trade debts) within the meaning of the UK Insolvency Act 1986 and has not stopped paying its debts as they fall due and the value of its assets is not less than the value of its liabilities (taking into account its contingent and prospective liabilities).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 No Group Member has taken any corporate or other action nor has any application been made or any other steps been taken or legal proceedings been started or (to the best of such Loan Party’s knowledge and belief having made due and proper enquiry with the Group Members) threatened in writing against such Group Member for its winding-up or for the appointment of a liquidator, trustee, receiver, administrative receiver, administrator, examiner or similar officer of it or of any or all of its assets.</w:t>
      </w:r>
    </w:p>
    <w:p>
      <w:pPr>
        <w:pStyle w:val="TextBody"/>
        <w:spacing w:lineRule="auto" w:line="288" w:before="0" w:after="180"/>
        <w:ind w:left="0" w:right="0" w:firstLine="720"/>
        <w:jc w:val="both"/>
        <w:rPr/>
      </w:pPr>
      <w:r>
        <w:rPr>
          <w:rFonts w:ascii="Times New Roman;sans-serif" w:hAnsi="Times New Roman;sans-serif"/>
          <w:b/>
          <w:color w:val="000000"/>
          <w:sz w:val="22"/>
        </w:rPr>
        <w:t>4.21</w:t>
      </w:r>
      <w:r>
        <w:rPr>
          <w:rFonts w:ascii="Times New Roman;sans-serif" w:hAnsi="Times New Roman;sans-serif"/>
          <w:b/>
          <w:color w:val="000000"/>
          <w:sz w:val="22"/>
        </w:rPr>
        <w:t>Regulation H</w:t>
      </w:r>
      <w:r>
        <w:rPr>
          <w:rFonts w:ascii="Times New Roman;sans-serif" w:hAnsi="Times New Roman;sans-serif"/>
          <w:b w:val="false"/>
          <w:color w:val="000000"/>
          <w:sz w:val="22"/>
        </w:rPr>
        <w:t>. No Mortgage encumbers improved real property that is located in an area that has been identified by the Secretary of Housing and Urban Development as an area having special flood hazards and in which flood insurance has not been made available under the National Flood Insurance Act of 1968.</w:t>
      </w:r>
    </w:p>
    <w:p>
      <w:pPr>
        <w:pStyle w:val="TextBody"/>
        <w:spacing w:lineRule="auto" w:line="288" w:before="0" w:after="180"/>
        <w:ind w:left="0" w:right="0" w:firstLine="720"/>
        <w:jc w:val="both"/>
        <w:rPr/>
      </w:pPr>
      <w:r>
        <w:rPr>
          <w:rFonts w:ascii="Times New Roman;sans-serif" w:hAnsi="Times New Roman;sans-serif"/>
          <w:b/>
          <w:color w:val="000000"/>
          <w:sz w:val="22"/>
        </w:rPr>
        <w:t>4.22</w:t>
      </w:r>
      <w:r>
        <w:rPr>
          <w:rFonts w:ascii="Times New Roman;sans-serif" w:hAnsi="Times New Roman;sans-serif"/>
          <w:b/>
          <w:color w:val="000000"/>
          <w:sz w:val="22"/>
        </w:rPr>
        <w:t>Designated Senior Indebtedness</w:t>
      </w:r>
      <w:r>
        <w:rPr>
          <w:rFonts w:ascii="Times New Roman;sans-serif" w:hAnsi="Times New Roman;sans-serif"/>
          <w:b w:val="false"/>
          <w:color w:val="000000"/>
          <w:sz w:val="22"/>
        </w:rPr>
        <w:t>. The Loan Documents and all of the Obligations have been deemed “Designated Senior Indebtedness” or a similar concept thereto, if applicable, for purposes of any other Indebtedness of the Loan Parties.</w:t>
      </w:r>
    </w:p>
    <w:p>
      <w:pPr>
        <w:pStyle w:val="TextBody"/>
        <w:spacing w:lineRule="auto" w:line="288" w:before="0" w:after="180"/>
        <w:ind w:left="0" w:right="0" w:firstLine="720"/>
        <w:rPr/>
      </w:pPr>
      <w:r>
        <w:rPr>
          <w:rFonts w:ascii="Times New Roman;sans-serif" w:hAnsi="Times New Roman;sans-serif"/>
          <w:b/>
          <w:color w:val="000000"/>
          <w:sz w:val="22"/>
        </w:rPr>
        <w:t>4.23</w:t>
      </w:r>
      <w:r>
        <w:rPr>
          <w:rFonts w:ascii="Times New Roman;sans-serif" w:hAnsi="Times New Roman;sans-serif"/>
          <w:b/>
          <w:color w:val="000000"/>
          <w:sz w:val="22"/>
        </w:rPr>
        <w:t>[Reserved]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4.24</w:t>
      </w:r>
      <w:r>
        <w:rPr>
          <w:rFonts w:ascii="Times New Roman;sans-serif" w:hAnsi="Times New Roman;sans-serif"/>
          <w:b/>
          <w:color w:val="000000"/>
          <w:sz w:val="22"/>
        </w:rPr>
        <w:t>Insurance</w:t>
      </w:r>
      <w:r>
        <w:rPr>
          <w:rFonts w:ascii="Times New Roman;sans-serif" w:hAnsi="Times New Roman;sans-serif"/>
          <w:b w:val="false"/>
          <w:color w:val="000000"/>
          <w:sz w:val="22"/>
        </w:rPr>
        <w:t>. All insurance maintained by the Loan Parties is in full force and effect, all premiums have been duly paid, no Loan Party has received notice of violation or cancellation thereof, and there exists no default under any requirement of such insurance. Each Loan Party maintains insurance with financially sound and reputable insurance companies on all its property in at least such amounts and against at least such risks as are usually insured against in the same general area by companies engaged in the same or a similar business.</w:t>
      </w:r>
    </w:p>
    <w:p>
      <w:pPr>
        <w:pStyle w:val="TextBody"/>
        <w:spacing w:lineRule="auto" w:line="288" w:before="0" w:after="180"/>
        <w:ind w:left="0" w:right="0" w:firstLine="720"/>
        <w:jc w:val="both"/>
        <w:rPr/>
      </w:pPr>
      <w:r>
        <w:rPr>
          <w:rFonts w:ascii="Times New Roman;sans-serif" w:hAnsi="Times New Roman;sans-serif"/>
          <w:b/>
          <w:color w:val="000000"/>
          <w:sz w:val="22"/>
        </w:rPr>
        <w:t>4.25</w:t>
      </w:r>
      <w:r>
        <w:rPr>
          <w:rFonts w:ascii="Times New Roman;sans-serif" w:hAnsi="Times New Roman;sans-serif"/>
          <w:b/>
          <w:color w:val="000000"/>
          <w:sz w:val="22"/>
        </w:rPr>
        <w:t>No Casualty</w:t>
      </w:r>
      <w:r>
        <w:rPr>
          <w:rFonts w:ascii="Times New Roman;sans-serif" w:hAnsi="Times New Roman;sans-serif"/>
          <w:b w:val="false"/>
          <w:color w:val="000000"/>
          <w:sz w:val="22"/>
        </w:rPr>
        <w:t>. No Loan Party has received any notice of, nor does any Loan Party have any knowledge of, the occurrence or pendency or contemplation of any Casualty Event affecting all or any material portion of its property.</w:t>
      </w:r>
    </w:p>
    <w:p>
      <w:pPr>
        <w:pStyle w:val="TextBody"/>
        <w:spacing w:lineRule="auto" w:line="288" w:before="0" w:after="180"/>
        <w:ind w:left="0" w:right="0" w:firstLine="720"/>
        <w:jc w:val="both"/>
        <w:rPr/>
      </w:pPr>
      <w:r>
        <w:rPr>
          <w:rFonts w:ascii="Times New Roman;sans-serif" w:hAnsi="Times New Roman;sans-serif"/>
          <w:b/>
          <w:color w:val="000000"/>
          <w:sz w:val="22"/>
        </w:rPr>
        <w:t>4.26</w:t>
      </w:r>
      <w:r>
        <w:rPr>
          <w:rFonts w:ascii="Times New Roman;sans-serif" w:hAnsi="Times New Roman;sans-serif"/>
          <w:b/>
          <w:color w:val="000000"/>
          <w:sz w:val="22"/>
        </w:rPr>
        <w:t xml:space="preserve">Contracts. </w:t>
      </w:r>
      <w:r>
        <w:rPr>
          <w:rFonts w:ascii="Times New Roman;sans-serif" w:hAnsi="Times New Roman;sans-serif"/>
          <w:b w:val="false"/>
          <w:color w:val="000000"/>
          <w:sz w:val="22"/>
        </w:rPr>
        <w:t xml:space="preserve">All statements made by the Group Members and all unpaid balances appearing in all invoices, instruments and other documents evidencing Recurring Revenue are and shall be true and correct in all material respects and all such invoices, instruments and other documents, and all of the books and records are genuine and in all material respects what they purport to be. All sales and </w:t>
      </w:r>
      <w:r>
        <w:br w:type="page"/>
      </w:r>
    </w:p>
    <w:p>
      <w:pPr>
        <w:pStyle w:val="TextBody"/>
        <w:spacing w:before="0" w:after="0"/>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60655"/>
                <wp:effectExtent l="0" t="0" r="0" b="0"/>
                <wp:wrapNone/>
                <wp:docPr id="330" name="Frame3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other transactions underlying or giving rise to each Account shall comply in all material respects with all applicable Requirements of Law. To the Borrower’s knowledge, all signatures and endorsements on all documents, instruments, and agreements relating to all Accounts are genuine, and all such documents, instruments and agreements are legally enforceable in accordance with their terms. The applicable Loan Party is the owner of and has legal right to sell, transfer, assign and encumber each contact generating Recurring Revenue, and there are no offsets, counterclaims or agreements for which the Account Debtor may claim any deduction or discount that are not deducted in the Borrowing Base.</w:t>
      </w:r>
    </w:p>
    <w:p>
      <w:pPr>
        <w:pStyle w:val="TextBody"/>
        <w:spacing w:lineRule="auto" w:line="288" w:before="0" w:after="180"/>
        <w:ind w:left="0" w:right="0" w:firstLine="720"/>
        <w:rPr/>
      </w:pPr>
      <w:r>
        <w:rPr>
          <w:rFonts w:ascii="Times New Roman;sans-serif" w:hAnsi="Times New Roman;sans-serif"/>
          <w:b/>
          <w:color w:val="000000"/>
          <w:sz w:val="22"/>
        </w:rPr>
        <w:t>4.27</w:t>
      </w:r>
      <w:r>
        <w:rPr>
          <w:rFonts w:ascii="Times New Roman;sans-serif" w:hAnsi="Times New Roman;sans-serif"/>
          <w:b/>
          <w:color w:val="000000"/>
          <w:sz w:val="22"/>
        </w:rPr>
        <w:t>Capitalization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4.27</w:t>
      </w:r>
      <w:r>
        <w:rPr>
          <w:color w:val="000000"/>
        </w:rPr>
        <w:t xml:space="preserve"> </w:t>
      </w:r>
      <w:r>
        <w:rPr>
          <w:rFonts w:ascii="Times New Roman;sans-serif" w:hAnsi="Times New Roman;sans-serif"/>
          <w:b w:val="false"/>
          <w:color w:val="000000"/>
          <w:sz w:val="22"/>
        </w:rPr>
        <w:t>sets forth the registered owners of all Capital Stock of the Borrower, and the amount of Capital Stock held by each such owner, as of the Closing Date.</w:t>
      </w:r>
    </w:p>
    <w:p>
      <w:pPr>
        <w:pStyle w:val="TextBody"/>
        <w:spacing w:lineRule="auto" w:line="288" w:before="0" w:after="180"/>
        <w:ind w:left="0" w:right="0" w:firstLine="720"/>
        <w:jc w:val="both"/>
        <w:rPr/>
      </w:pPr>
      <w:r>
        <w:rPr>
          <w:rFonts w:ascii="Times New Roman;sans-serif" w:hAnsi="Times New Roman;sans-serif"/>
          <w:b/>
          <w:color w:val="000000"/>
          <w:sz w:val="22"/>
        </w:rPr>
        <w:t>4.28</w:t>
      </w:r>
      <w:r>
        <w:rPr>
          <w:rFonts w:ascii="Times New Roman;sans-serif" w:hAnsi="Times New Roman;sans-serif"/>
          <w:b/>
          <w:color w:val="000000"/>
          <w:sz w:val="22"/>
        </w:rPr>
        <w:t>OFAC</w:t>
      </w:r>
      <w:r>
        <w:rPr>
          <w:rFonts w:ascii="Times New Roman;sans-serif" w:hAnsi="Times New Roman;sans-serif"/>
          <w:b w:val="false"/>
          <w:color w:val="000000"/>
          <w:sz w:val="22"/>
        </w:rPr>
        <w:t>. No Group Member, nor, to the knowledge of any such Loan Party, any director, officer, employee, agent, affiliate or representative thereof, is an individual or an entity that is, or is owned or controlled by an individual or entity that is (a) currently the subject of any Sanctions, or (b) located, organized or resident in a Designated Jurisdiction.</w:t>
      </w:r>
    </w:p>
    <w:p>
      <w:pPr>
        <w:pStyle w:val="TextBody"/>
        <w:spacing w:lineRule="auto" w:line="288" w:before="0" w:after="180"/>
        <w:ind w:left="0" w:right="0" w:firstLine="720"/>
        <w:jc w:val="both"/>
        <w:rPr/>
      </w:pPr>
      <w:r>
        <w:rPr>
          <w:rFonts w:ascii="Times New Roman;sans-serif" w:hAnsi="Times New Roman;sans-serif"/>
          <w:b/>
          <w:color w:val="000000"/>
          <w:sz w:val="22"/>
        </w:rPr>
        <w:t>4.29</w:t>
      </w:r>
      <w:r>
        <w:rPr>
          <w:rFonts w:ascii="Times New Roman;sans-serif" w:hAnsi="Times New Roman;sans-serif"/>
          <w:b/>
          <w:color w:val="000000"/>
          <w:sz w:val="22"/>
        </w:rPr>
        <w:t>Anti-Corruption Laws</w:t>
      </w:r>
      <w:r>
        <w:rPr>
          <w:rFonts w:ascii="Times New Roman;sans-serif" w:hAnsi="Times New Roman;sans-serif"/>
          <w:b w:val="false"/>
          <w:color w:val="000000"/>
          <w:sz w:val="22"/>
        </w:rPr>
        <w:t>. Each Group Member has conducted its businesses in compliance with applicable anti-corruption laws and has instituted and maintained policies and procedures designed to promote and achieve compliance with such laws.</w:t>
      </w:r>
    </w:p>
    <w:p>
      <w:pPr>
        <w:pStyle w:val="TextBody"/>
        <w:spacing w:lineRule="auto" w:line="288" w:before="0" w:after="180"/>
        <w:ind w:left="0" w:right="0" w:firstLine="720"/>
        <w:rPr/>
      </w:pPr>
      <w:r>
        <w:rPr>
          <w:rFonts w:ascii="Times New Roman;sans-serif" w:hAnsi="Times New Roman;sans-serif"/>
          <w:b/>
          <w:color w:val="000000"/>
          <w:sz w:val="22"/>
        </w:rPr>
        <w:t>4.30</w:t>
      </w:r>
      <w:r>
        <w:rPr>
          <w:rFonts w:ascii="Times New Roman;sans-serif" w:hAnsi="Times New Roman;sans-serif"/>
          <w:b/>
          <w:color w:val="000000"/>
          <w:sz w:val="22"/>
        </w:rPr>
        <w:t>Representations as to Foreign Obligors.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Foreign Obligor is subject to civil and commercial Requirements of Law with respect to its Obligations under, as applicable, this Agreement and the other Loan Documents to which it is a party (collectively, as to each such Foreign Obligor, the “</w:t>
      </w:r>
      <w:r>
        <w:rPr>
          <w:rFonts w:ascii="Times New Roman;sans-serif" w:hAnsi="Times New Roman;sans-serif"/>
          <w:b/>
          <w:i/>
          <w:color w:val="000000"/>
          <w:sz w:val="22"/>
        </w:rPr>
        <w:t>Applicable Foreign Obligor Documents</w:t>
      </w:r>
      <w:r>
        <w:rPr>
          <w:color w:val="000000"/>
        </w:rPr>
        <w:t>”</w:t>
      </w:r>
      <w:r>
        <w:rPr>
          <w:rFonts w:ascii="Times New Roman;sans-serif" w:hAnsi="Times New Roman;sans-serif"/>
          <w:b w:val="false"/>
          <w:color w:val="000000"/>
          <w:sz w:val="22"/>
        </w:rPr>
        <w:t>), and the execution, delivery and performance by each such Foreign Obligor of the Applicable Foreign Obligor Documents to which it is party constitute and will constitute private and commercial acts and not public or governmental acts. No such Foreign Obligor nor any of its respective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 to which it is party.</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of the Applicable Foreign Obligor Documents are in proper legal form under the respective Requirements of Law of the jurisdiction in which the applicable Foreign Obligor party to such Applicable Foreign Obligor Documents is organized and existing (i) for the enforcement thereof against such Foreign Obligor under such Requirements of Law, and (ii) to ensure the legality, validity, enforceability, priority or admissibility in evidence thereof. It is not necessary to ensure the legality,validity, enforceability, priority or admissibility in evidence of any such Applicable Foreign Obligor Documents that such Applicable Foreign Obligor Documents be filed, registered or recorded with, or executed or notarized before, any court or other authority in the jurisdiction in which the applicable Foreign Obligor is organized and existing or that any registration charge or stamp or similar tax be paid on or in respect of any such Applicable Foreign Obligor Documents or any other document, except for (x) any such filing, registration, recording, execution or notarization that has been made or that is not required to be made until such Applicable Foreign Obligor Document or any such other document is sought to be enforced, (y) any charge or tax as has been timely paid and (z) in the case of the UK Debenture granted by a UK company, filing with UK Companies House.</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There is no tax, levy, impost, duty, fee, assessment or other governmental charge, or any deduction or withholding, imposed by any Governmental Authority in or of the jurisdiction in which any Foreign Obligor is organized and existing either (i) on or by virtue of the execution or delivery </w:t>
      </w:r>
      <w:r>
        <w:br w:type="page"/>
      </w:r>
    </w:p>
    <w:p>
      <w:pPr>
        <w:pStyle w:val="TextBody"/>
        <w:spacing w:before="0" w:after="0"/>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60655"/>
                <wp:effectExtent l="0" t="0" r="0" b="0"/>
                <wp:wrapNone/>
                <wp:docPr id="331" name="Frame3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of the Applicable Foreign Obligor Documents to which any such Foreign Obligor is party, or (ii) on any payment to be made by any such Foreign Obligor (other than a UK Group Member) pursuant to the Applicable Foreign Obligor Documents to which it is party, except as has been disclosed to the Administrative Agent.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5</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CONDITIONS PRECEDENT</w:t>
      </w:r>
    </w:p>
    <w:p>
      <w:pPr>
        <w:pStyle w:val="TextBody"/>
        <w:spacing w:lineRule="auto" w:line="288" w:before="0" w:after="180"/>
        <w:ind w:left="0" w:right="0" w:firstLine="720"/>
        <w:jc w:val="both"/>
        <w:rPr/>
      </w:pPr>
      <w:r>
        <w:rPr>
          <w:rFonts w:ascii="Times New Roman;sans-serif" w:hAnsi="Times New Roman;sans-serif"/>
          <w:b/>
          <w:color w:val="000000"/>
          <w:sz w:val="22"/>
        </w:rPr>
        <w:t>5.1</w:t>
      </w:r>
      <w:r>
        <w:rPr>
          <w:rFonts w:ascii="Times New Roman;sans-serif" w:hAnsi="Times New Roman;sans-serif"/>
          <w:b/>
          <w:color w:val="000000"/>
          <w:sz w:val="22"/>
        </w:rPr>
        <w:t>Conditions to Initial Extension of Credit</w:t>
      </w:r>
      <w:r>
        <w:rPr>
          <w:rFonts w:ascii="Times New Roman;sans-serif" w:hAnsi="Times New Roman;sans-serif"/>
          <w:b w:val="false"/>
          <w:color w:val="000000"/>
          <w:sz w:val="22"/>
        </w:rPr>
        <w:t>. The effectiveness of this Agreement and the obligation of each Lender to make its initial extension of credit hereunder shall be subject to the satisfaction or waiver, prior to or concurrently with the making of such extension of credit on the Closing Date, of the following conditions precedent:</w:t>
      </w:r>
    </w:p>
    <w:p>
      <w:pPr>
        <w:pStyle w:val="TextBody"/>
        <w:spacing w:lineRule="auto" w:line="288" w:before="0" w:after="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Loan Documents</w:t>
      </w:r>
      <w:r>
        <w:rPr>
          <w:rFonts w:ascii="Times New Roman;sans-serif" w:hAnsi="Times New Roman;sans-serif"/>
          <w:b w:val="false"/>
          <w:color w:val="000000"/>
          <w:sz w:val="22"/>
        </w:rPr>
        <w:t>. The Administrative Agent shall have received each of the following, each of which shall be in form and substance reasonably satisfactory to the Administrative Agent:</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this Agreement, executed and delivered by the Administrative Agent, the Borrower and each Lender listed on </w:t>
      </w:r>
      <w:r>
        <w:rPr>
          <w:rFonts w:ascii="Times New Roman;sans-serif" w:hAnsi="Times New Roman;sans-serif"/>
          <w:b w:val="false"/>
          <w:color w:val="000000"/>
          <w:sz w:val="22"/>
          <w:u w:val="single"/>
        </w:rPr>
        <w:t>Schedule 1.1A</w:t>
      </w:r>
      <w:r>
        <w:rPr>
          <w:rFonts w:ascii="Times New Roman;sans-serif" w:hAnsi="Times New Roman;sans-serif"/>
          <w:b w:val="false"/>
          <w:color w:val="000000"/>
          <w:sz w:val="22"/>
        </w:rPr>
        <w:t>;</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the Collateral Information Certificate, executed by a Responsible Officer of the Borrower;</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if required by any Term Lender, a Term Loan Note executed by the Borrower in favor of such Term Lender;</w: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rPr>
        <w:t>if required by any Revolving Lender, a Revolving Loan Note executed by the Borrower in favor of such Revolving Lender;</w: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if required by the Swingline Lender, the Swingline Loan Note executed by the Borrower in favor of such Swingline Lender;</w:t>
      </w:r>
    </w:p>
    <w:p>
      <w:pPr>
        <w:pStyle w:val="TextBody"/>
        <w:spacing w:lineRule="auto" w:line="288" w:before="0" w:after="180"/>
        <w:ind w:left="0" w:right="0" w:firstLine="216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rPr>
        <w:t xml:space="preserve">the Guarantee and Collateral Agreement, executed and delivered by each Grantor and Guarantor named therein; </w:t>
      </w:r>
    </w:p>
    <w:p>
      <w:pPr>
        <w:pStyle w:val="TextBody"/>
        <w:spacing w:lineRule="auto" w:line="288" w:before="0" w:after="180"/>
        <w:ind w:left="0" w:right="0" w:firstLine="216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rPr>
        <w:t xml:space="preserve">each Intellectual Property Security Agreement, executed by the applicable Grantor related thereto; </w:t>
      </w:r>
    </w:p>
    <w:p>
      <w:pPr>
        <w:pStyle w:val="TextBody"/>
        <w:spacing w:lineRule="auto" w:line="288" w:before="0" w:after="180"/>
        <w:ind w:left="0" w:right="0" w:firstLine="216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rPr>
        <w:t>each other Security Document, executed and delivered by the applicable Loan Party party thereto; and</w:t>
      </w:r>
    </w:p>
    <w:p>
      <w:pPr>
        <w:pStyle w:val="TextBody"/>
        <w:spacing w:lineRule="auto" w:line="288" w:before="0" w:after="180"/>
        <w:ind w:left="0" w:right="0" w:firstLine="216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rPr>
        <w:t>the Flow of Funds Agreement, executed by the Borrower</w:t>
      </w:r>
    </w:p>
    <w:p>
      <w:pPr>
        <w:pStyle w:val="TextBody"/>
        <w:spacing w:lineRule="auto" w:line="288" w:before="0" w:after="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Certificate of Incorporation</w:t>
      </w:r>
      <w:r>
        <w:rPr>
          <w:rFonts w:ascii="Times New Roman;sans-serif" w:hAnsi="Times New Roman;sans-serif"/>
          <w:b w:val="false"/>
          <w:color w:val="000000"/>
          <w:sz w:val="22"/>
        </w:rPr>
        <w:t>. The Administrative Agent shall have received evidence, which shall be in form and substance reasonably satisfactory to the Administrative Agent, that the certificate of incorporation of the Borrower has been amended to state that no redemption, whether optional or mandatory, of any Preferred Stock shall be consummated unless such redemption is permitted by the terms of the Loan Documents or other documents governing senior Indebtedness of the Group Members.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Pro Forma Financial Statements; Financial Statements.</w:t>
      </w:r>
      <w:r>
        <w:rPr>
          <w:color w:val="000000"/>
        </w:rPr>
        <w:t xml:space="preserve"> </w:t>
      </w:r>
      <w:r>
        <w:rPr>
          <w:rFonts w:ascii="Times New Roman;sans-serif" w:hAnsi="Times New Roman;sans-serif"/>
          <w:b w:val="false"/>
          <w:color w:val="000000"/>
          <w:sz w:val="22"/>
        </w:rPr>
        <w:t xml:space="preserve">The Administrative Agent shall have received (i) the Pro Forma Financial Statements and (ii) the financial statements of the Group Members referenced in </w:t>
      </w:r>
      <w:r>
        <w:rPr>
          <w:rFonts w:ascii="Times New Roman;sans-serif" w:hAnsi="Times New Roman;sans-serif"/>
          <w:b w:val="false"/>
          <w:color w:val="000000"/>
          <w:sz w:val="22"/>
          <w:u w:val="single"/>
        </w:rPr>
        <w:t>Section 4.1(b)</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60655"/>
                <wp:effectExtent l="0" t="0" r="0" b="0"/>
                <wp:wrapNone/>
                <wp:docPr id="332" name="Frame3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Approvals.</w:t>
      </w:r>
      <w:r>
        <w:rPr>
          <w:color w:val="000000"/>
        </w:rPr>
        <w:t xml:space="preserve"> </w:t>
      </w:r>
      <w:r>
        <w:rPr>
          <w:rFonts w:ascii="Times New Roman;sans-serif" w:hAnsi="Times New Roman;sans-serif"/>
          <w:b w:val="false"/>
          <w:color w:val="000000"/>
          <w:sz w:val="22"/>
        </w:rPr>
        <w:t>All Governmental Approvals and consents and approvals of, or notices to, any other Person (including the holders of any Capital Stock issued by any Loan Party) required in connection with the execution and performance of the Loan Documents, shall have been obtained and be in full force and effect.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Secretary’s or Managing Member’s Certificates; Certified Operating Documents;</w:t>
      </w:r>
      <w:r>
        <w:rPr>
          <w:color w:val="000000"/>
        </w:rPr>
        <w:t xml:space="preserve"> </w:t>
      </w:r>
      <w:r>
        <w:rPr>
          <w:rFonts w:ascii="Times New Roman;sans-serif" w:hAnsi="Times New Roman;sans-serif"/>
          <w:b w:val="false"/>
          <w:color w:val="000000"/>
          <w:sz w:val="22"/>
          <w:u w:val="single"/>
        </w:rPr>
        <w:t>Good Standing Certificates.</w:t>
      </w:r>
      <w:r>
        <w:rPr>
          <w:color w:val="000000"/>
        </w:rPr>
        <w:t xml:space="preserve"> </w:t>
      </w:r>
      <w:r>
        <w:rPr>
          <w:rFonts w:ascii="Times New Roman;sans-serif" w:hAnsi="Times New Roman;sans-serif"/>
          <w:b w:val="false"/>
          <w:color w:val="000000"/>
          <w:sz w:val="22"/>
        </w:rPr>
        <w:t xml:space="preserve">The Administrative Agent shall have received (i) a certificate of each Loan Party, dated the Closing Date and executed by the Secretary, Managing Member, director or equivalent officer of such Loan Party, substantially in the form of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or by a director in the case of a Loan Party that is a UK Group Member, (B) the relevant shareholder resolutions (if required) board resolutions or written consents of such Loan Party adopted by such Loan Party for the purposes of authorizing such Loan Party to enter into and perform the Loan Documents to which such Loan Party is party, (C) in relation to Kaltura Europe, a copy of a resolution signed by all the holders of the issued shares in a Loan Party approving the terms of, and the transactions contemplated by, the Loan Documents to which such Loan Party is a party and (D) the names, titles, incumbency and signature specimens of those representatives of such Loan Party who have been authorized by such resolutions and/or written consents to execute Loan Documents on behalf of such Loan Party, (ii) where applicable, a long form good standing certificate (or other equivalent document) for each Loan Party from its respective jurisdiction of organization or incorporation, and (iii) (other than in relation to a UK Loan Party) a certificate of foreign qualification from each jurisdiction (other than its jurisdiction of organization or incorporation) where the failure of any Loan Party to be qualified could reasonably be expected to have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Responsible Officer’s Certificates.</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The Administrative Agent shall have received a certificate signed by a Responsible Officer of the Borrower,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pStyle w:val="TextBody"/>
        <w:spacing w:lineRule="auto" w:line="288" w:before="0" w:after="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The Administrative Agent shall have received a certificate signed by a Responsible Officer of the Borrower, dated as of the Closing Date and in form and substance reasonably satisfactory to it, certifying (A) that the conditions specified in </w:t>
      </w:r>
      <w:r>
        <w:rPr>
          <w:rFonts w:ascii="Times New Roman;sans-serif" w:hAnsi="Times New Roman;sans-serif"/>
          <w:b w:val="false"/>
          <w:color w:val="000000"/>
          <w:sz w:val="22"/>
          <w:u w:val="single"/>
        </w:rPr>
        <w:t>Sections 5.2(a)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have been satisfied, and (B) that there has been no event or circumstance since December 31, 2019, that has had or that could reasonably be expected to have, either individually or in the aggregate, a Material Adverse Effect.</w:t>
      </w:r>
    </w:p>
    <w:p>
      <w:pPr>
        <w:pStyle w:val="TextBody"/>
        <w:spacing w:before="0" w:after="0"/>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Patriot Act, etc.</w:t>
      </w:r>
      <w:r>
        <w:rPr>
          <w:color w:val="000000"/>
        </w:rPr>
        <w:t xml:space="preserve"> </w:t>
      </w:r>
      <w:r>
        <w:rPr>
          <w:rFonts w:ascii="Times New Roman;sans-serif" w:hAnsi="Times New Roman;sans-serif"/>
          <w:b w:val="false"/>
          <w:color w:val="000000"/>
          <w:sz w:val="22"/>
        </w:rPr>
        <w:t>The Administrative Agent and each Lender shall have received, prior to the Closing Date, all documentation and other information reasonably requested to comply with applicable “know your customer” and anti-money-laundering rules and regulations, including the Patriot Act, and a properly completed and signed IRS Form W-8 or W-9, as applicable, for each Loan Party.</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Due Diligence Investigation</w:t>
      </w:r>
      <w:r>
        <w:rPr>
          <w:rFonts w:ascii="Times New Roman;sans-serif" w:hAnsi="Times New Roman;sans-serif"/>
          <w:b w:val="false"/>
          <w:color w:val="000000"/>
          <w:sz w:val="22"/>
        </w:rPr>
        <w:t xml:space="preserve">. The Administrative Agent shall have completed a due diligence investigation of the Group Members in scope, and with results, reasonably satisfactory to the Administrative Agent and shall have been given such access to the management, records, books of account, contracts and properties of the Group Members and shall have received such financial, business </w:t>
      </w:r>
      <w:r>
        <w:br w:type="page"/>
      </w:r>
    </w:p>
    <w:p>
      <w:pPr>
        <w:pStyle w:val="TextBody"/>
        <w:spacing w:before="0" w:after="0"/>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60655"/>
                <wp:effectExtent l="0" t="0" r="0" b="0"/>
                <wp:wrapNone/>
                <wp:docPr id="333" name="Frame3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and other information regarding each of the foregoing Persons and businesses as it shall have reasonably requested.</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Reports.</w:t>
      </w:r>
      <w:r>
        <w:rPr>
          <w:color w:val="000000"/>
        </w:rPr>
        <w:t xml:space="preserve"> </w:t>
      </w:r>
      <w:r>
        <w:rPr>
          <w:rFonts w:ascii="Times New Roman;sans-serif" w:hAnsi="Times New Roman;sans-serif"/>
          <w:b w:val="false"/>
          <w:color w:val="000000"/>
          <w:sz w:val="22"/>
        </w:rPr>
        <w:t>The Administrative Agent shall have received, in form and substance satisfactory to it, all asset appraisals, field audits, and such other reports and certifications, as it has reasonably requested.</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Existing Credit Facility, Etc.</w:t>
      </w:r>
      <w:r>
        <w:rPr>
          <w:color w:val="000000"/>
        </w:rPr>
        <w:t xml:space="preserve"> </w:t>
      </w:r>
      <w:r>
        <w:rPr>
          <w:rFonts w:ascii="Times New Roman;sans-serif" w:hAnsi="Times New Roman;sans-serif"/>
          <w:b w:val="false"/>
          <w:color w:val="000000"/>
          <w:sz w:val="22"/>
        </w:rPr>
        <w:t>The Borrower shall have provided notice to each Existing Lender (in accordance with the applicable terms of the applicable Existing Credit Facility) of its intent to pay all obligations of the Group Members outstanding under the applicable Existing Credit Facility on the Closing Date, (B) the Administrative Agent shall have received Payoff Letters in respect of each Existing Credit Facility executed by the applicable Existing Lender and the Borrower, and (C) all obligations of the Group Members in respect of the Existing Credit Facilities shall, substantially contemporaneously with the funding of certain Loan proceeds on the Closing Date have been paid in full.</w:t>
      </w:r>
    </w:p>
    <w:p>
      <w:pPr>
        <w:pStyle w:val="TextBody"/>
        <w:spacing w:lineRule="auto" w:line="288" w:before="0" w:after="180"/>
        <w:ind w:left="0" w:right="0" w:firstLine="1440"/>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Collateral Matters.</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Lien Searches</w:t>
      </w:r>
      <w:r>
        <w:rPr>
          <w:rFonts w:ascii="Times New Roman;sans-serif" w:hAnsi="Times New Roman;sans-serif"/>
          <w:b w:val="false"/>
          <w:color w:val="000000"/>
          <w:sz w:val="22"/>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or Liens securing obligations of the Group Members under the Existing Credit Facility, which Liens shall be discharged substantially contemporaneously with the Closing Date pursuant to the Payoff Letter.</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Pledged Stock; Stock Powers; Pledged Notes</w:t>
      </w:r>
      <w:r>
        <w:rPr>
          <w:rFonts w:ascii="Times New Roman;sans-serif" w:hAnsi="Times New Roman;sans-serif"/>
          <w:b w:val="false"/>
          <w:color w:val="000000"/>
          <w:sz w:val="22"/>
        </w:rPr>
        <w:t>. The Administrative Agent shall have received (A) the certificates representing the shares of Capital Stock pledged to the Administrative Agent (for the benefit of the Secured Parties) pursuant to the Security Documents, together with an undated stock power for each such certificate executed in blank by a duly authorized officer of the pledgor thereof, and (B) each promissory note (if any) pledged to the Administrative Agent (for the benefit of the Secured Parties) pursuant to the Guarantee and Collateral Agreement, endorsed (without recourse) in blank (or accompanied by an executed transfer form in blank) by the pledgor thereof.</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Filings, Registrations, Recordings, Agreements, Etc.</w:t>
      </w:r>
      <w:r>
        <w:rPr>
          <w:color w:val="000000"/>
        </w:rPr>
        <w:t xml:space="preserve"> </w:t>
      </w:r>
      <w:r>
        <w:rPr>
          <w:rFonts w:ascii="Times New Roman;sans-serif" w:hAnsi="Times New Roman;sans-serif"/>
          <w:b w:val="false"/>
          <w:color w:val="000000"/>
          <w:sz w:val="22"/>
        </w:rPr>
        <w:t xml:space="preserve">Each document (including any UCC financing statements, Intellectual Property Security Agreements, Deposit Account Control Agreements, Securities Account Control Agreements, and landlord access agreements and/or bailee waivers) required by the Security Documents or reasonably requested by the Administrative Agent to be filed, registered or recorded to create in favor of the Administrative Agent (for the benefit of the Secured Parties), a perfected Lien on the Collateral described therein, prior in right and priority to any Lien in the Collateral held by any other Person (other than with respect to Liens expressly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shall have been executed and delivered to the Administrative Agent or, as applicable, be in proper form for filing, registration or recordation.</w: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Collateral Audit</w:t>
      </w:r>
      <w:r>
        <w:rPr>
          <w:rFonts w:ascii="Times New Roman;sans-serif" w:hAnsi="Times New Roman;sans-serif"/>
          <w:b w:val="false"/>
          <w:color w:val="000000"/>
          <w:sz w:val="22"/>
        </w:rPr>
        <w:t>. The Administrative Agent shall have completed a harvest analysis and such other examinations regarding the business and affairs of the Group Members and the Collateral as it reasonably requires.</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The Administrative Agent shall have received insurance certificates and endorsements satisfying the requirements of </w:t>
      </w:r>
      <w:r>
        <w:rPr>
          <w:rFonts w:ascii="Times New Roman;sans-serif" w:hAnsi="Times New Roman;sans-serif"/>
          <w:b w:val="false"/>
          <w:color w:val="000000"/>
          <w:sz w:val="22"/>
          <w:u w:val="single"/>
        </w:rPr>
        <w:t>Section 6.6</w:t>
      </w:r>
      <w:r>
        <w:rPr>
          <w:color w:val="000000"/>
        </w:rPr>
        <w:t xml:space="preserve"> </w:t>
      </w:r>
      <w:r>
        <w:rPr>
          <w:rFonts w:ascii="Times New Roman;sans-serif" w:hAnsi="Times New Roman;sans-serif"/>
          <w:b w:val="false"/>
          <w:color w:val="000000"/>
          <w:sz w:val="22"/>
        </w:rPr>
        <w:t xml:space="preserve">hereof and </w:t>
      </w:r>
      <w:r>
        <w:rPr>
          <w:rFonts w:ascii="Times New Roman;sans-serif" w:hAnsi="Times New Roman;sans-serif"/>
          <w:b w:val="false"/>
          <w:color w:val="000000"/>
          <w:sz w:val="22"/>
          <w:u w:val="single"/>
        </w:rPr>
        <w:t>Section 5.2(b)</w:t>
      </w:r>
      <w:r>
        <w:rPr>
          <w:color w:val="000000"/>
        </w:rPr>
        <w:t xml:space="preserve"> </w:t>
      </w:r>
      <w:r>
        <w:rPr>
          <w:rFonts w:ascii="Times New Roman;sans-serif" w:hAnsi="Times New Roman;sans-serif"/>
          <w:b w:val="false"/>
          <w:color w:val="000000"/>
          <w:sz w:val="22"/>
        </w:rPr>
        <w:t>of the Guarantee and Collateral Agreement, in form and substance reasonably satisfactory to the Administrative Agent.</w:t>
      </w:r>
      <w:r>
        <w:br w:type="page"/>
      </w:r>
    </w:p>
    <w:p>
      <w:pPr>
        <w:pStyle w:val="TextBody"/>
        <w:spacing w:before="0" w:after="0"/>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60655"/>
                <wp:effectExtent l="0" t="0" r="0" b="0"/>
                <wp:wrapNone/>
                <wp:docPr id="334" name="Frame3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 (subject to the limitations set forth in the proposal letter agreement dated as of October 16, 2020 between the Borrower and SVB). All such amounts will be paid with proceeds of Loans made on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Legal Opinions</w:t>
      </w:r>
      <w:r>
        <w:rPr>
          <w:rFonts w:ascii="Times New Roman;sans-serif" w:hAnsi="Times New Roman;sans-serif"/>
          <w:b w:val="false"/>
          <w:color w:val="000000"/>
          <w:sz w:val="22"/>
        </w:rPr>
        <w:t>. The Administrative Agent shall have received the executed legal opinion of Latham &amp; Watkins, LLP, special New York counsel to the Borrower, and Osborne Clarke LLP, English counsel to the Administrative Agent, in form and substance reasonably satisfactory to the Administrative Agent. Such legal opinions shall cover such customary matters incident to the transactions contemplated by this Agreement and the other Loan Documents as the Administrative Agent may reasonably require.</w:t>
      </w:r>
    </w:p>
    <w:p>
      <w:pPr>
        <w:pStyle w:val="TextBody"/>
        <w:spacing w:lineRule="auto" w:line="288" w:before="0" w:after="18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Borrowing Notices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The Administrative Agent shall have received, (i) in respect of any Term Loans to be made on the Closing Date, a completed Notice of Borrowing executed by the Borrower and otherwise complying with the requirements of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 xml:space="preserve">and (ii) in respect of any Revolving Loans to be made on the Closing Date, a completed Notice of Borrowing executed by the Borrower and otherwise complying with the requirements of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The Administrative Agent shall have received a Solvency Certificate from the chief financial officer or treasurer of the Borrower.</w:t>
      </w:r>
    </w:p>
    <w:p>
      <w:pPr>
        <w:pStyle w:val="TextBody"/>
        <w:spacing w:lineRule="auto" w:line="288" w:before="0" w:after="18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u w:val="single"/>
        </w:rPr>
        <w:t>No Material Adverse Effect</w:t>
      </w:r>
      <w:r>
        <w:rPr>
          <w:rFonts w:ascii="Times New Roman;sans-serif" w:hAnsi="Times New Roman;sans-serif"/>
          <w:b w:val="false"/>
          <w:color w:val="000000"/>
          <w:sz w:val="22"/>
        </w:rPr>
        <w:t>. There shall not have occurred since December 31, 2019 any event or condition that has had or could be reasonably expected to have, individually or in the aggregate,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u w:val="single"/>
        </w:rPr>
        <w:t>No Litigation</w:t>
      </w:r>
      <w:r>
        <w:rPr>
          <w:rFonts w:ascii="Times New Roman;sans-serif" w:hAnsi="Times New Roman;sans-serif"/>
          <w:b w:val="false"/>
          <w:color w:val="000000"/>
          <w:sz w:val="22"/>
        </w:rPr>
        <w:t>. No litigation, investigation or proceeding of or before any arbitrator or Governmental Authority is pending or, to the knowledge of any Group Member, threatened, that could reasonably be expected to have a Material Adverse Effect and no litigation, investigation of proceeding of or before any arbitrator or Governmental Authority is pending or, to the knowledge of any Loan Party, threatened in writing, relating to or arising out of the Loan Documents or the transactions contemplated hereby and thereby.</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For purposes of determining compliance with the conditions specified in this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or Term Percentage, as the case may be, of such requested extension of credit.</w:t>
      </w:r>
    </w:p>
    <w:p>
      <w:pPr>
        <w:pStyle w:val="TextBody"/>
        <w:spacing w:lineRule="auto" w:line="288" w:before="0" w:after="180"/>
        <w:ind w:left="0" w:right="0" w:firstLine="720"/>
        <w:jc w:val="both"/>
        <w:rPr/>
      </w:pPr>
      <w:r>
        <w:rPr>
          <w:rFonts w:ascii="Times New Roman;sans-serif" w:hAnsi="Times New Roman;sans-serif"/>
          <w:b/>
          <w:color w:val="000000"/>
          <w:sz w:val="22"/>
        </w:rPr>
        <w:t>5.2</w:t>
      </w:r>
      <w:r>
        <w:rPr>
          <w:rFonts w:ascii="Times New Roman;sans-serif" w:hAnsi="Times New Roman;sans-serif"/>
          <w:b/>
          <w:color w:val="000000"/>
          <w:sz w:val="22"/>
        </w:rPr>
        <w:t>Conditions to Each Extension of Credit</w:t>
      </w:r>
      <w:r>
        <w:rPr>
          <w:rFonts w:ascii="Times New Roman;sans-serif" w:hAnsi="Times New Roman;sans-serif"/>
          <w:b w:val="false"/>
          <w:color w:val="000000"/>
          <w:sz w:val="22"/>
        </w:rPr>
        <w:t xml:space="preserve">. The agreement of each Lender to make any extension of credit requested to be made by it on any date (including its initial extension of credit, any conversion of Loans pursuant to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 xml:space="preserve">and any continuation of Loans pursuant to </w:t>
      </w:r>
      <w:r>
        <w:rPr>
          <w:rFonts w:ascii="Times New Roman;sans-serif" w:hAnsi="Times New Roman;sans-serif"/>
          <w:b w:val="false"/>
          <w:color w:val="000000"/>
          <w:sz w:val="22"/>
          <w:u w:val="single"/>
        </w:rPr>
        <w:t xml:space="preserve">Section </w:t>
      </w:r>
      <w:r>
        <w:br w:type="page"/>
      </w:r>
    </w:p>
    <w:p>
      <w:pPr>
        <w:pStyle w:val="TextBody"/>
        <w:spacing w:before="0" w:after="0"/>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60655"/>
                <wp:effectExtent l="0" t="0" r="0" b="0"/>
                <wp:wrapNone/>
                <wp:docPr id="335" name="Frame3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u w:val="single"/>
        </w:rPr>
        <w:t>2.13(b)</w:t>
      </w:r>
      <w:r>
        <w:rPr>
          <w:rFonts w:ascii="Times New Roman;sans-serif" w:hAnsi="Times New Roman;sans-serif"/>
          <w:b w:val="false"/>
          <w:color w:val="000000"/>
          <w:sz w:val="22"/>
        </w:rPr>
        <w:t xml:space="preserve">) is subject to the satisfaction of the following conditions precedent (except in the case of any conversion of Loans pursuant to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 xml:space="preserve">or continuation of Loans pursuant to </w:t>
      </w:r>
      <w:r>
        <w:rPr>
          <w:rFonts w:ascii="Times New Roman;sans-serif" w:hAnsi="Times New Roman;sans-serif"/>
          <w:b w:val="false"/>
          <w:color w:val="000000"/>
          <w:sz w:val="22"/>
          <w:u w:val="single"/>
        </w:rPr>
        <w:t>Section 2.13(b)</w:t>
      </w:r>
      <w:r>
        <w:rPr>
          <w:rFonts w:ascii="Times New Roman;sans-serif" w:hAnsi="Times New Roman;sans-serif"/>
          <w:b w:val="false"/>
          <w:color w:val="000000"/>
          <w:sz w:val="22"/>
        </w:rPr>
        <w:t>, only the conditions precedent set forth in clause (d) below):</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Availability.</w:t>
      </w:r>
      <w:r>
        <w:rPr>
          <w:color w:val="000000"/>
        </w:rPr>
        <w:t xml:space="preserve"> </w:t>
      </w:r>
      <w:r>
        <w:rPr>
          <w:rFonts w:ascii="Times New Roman;sans-serif" w:hAnsi="Times New Roman;sans-serif"/>
          <w:b w:val="false"/>
          <w:color w:val="000000"/>
          <w:sz w:val="22"/>
        </w:rPr>
        <w:t xml:space="preserve">With respect to any requests for any Revolving Extensions of Credit, after giving effect to such Revolving Extension of Credit, the availability and borrowing limitations specified in </w:t>
      </w:r>
      <w:r>
        <w:rPr>
          <w:rFonts w:ascii="Times New Roman;sans-serif" w:hAnsi="Times New Roman;sans-serif"/>
          <w:b w:val="false"/>
          <w:color w:val="000000"/>
          <w:sz w:val="22"/>
          <w:u w:val="single"/>
        </w:rPr>
        <w:t>Section 2.4</w:t>
      </w:r>
      <w:r>
        <w:rPr>
          <w:color w:val="000000"/>
        </w:rPr>
        <w:t xml:space="preserve"> </w:t>
      </w:r>
      <w:r>
        <w:rPr>
          <w:rFonts w:ascii="Times New Roman;sans-serif" w:hAnsi="Times New Roman;sans-serif"/>
          <w:b w:val="false"/>
          <w:color w:val="000000"/>
          <w:sz w:val="22"/>
        </w:rPr>
        <w:t>shall be complied with.</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Notices of Borrowing.</w:t>
      </w:r>
      <w:r>
        <w:rPr>
          <w:color w:val="000000"/>
        </w:rPr>
        <w:t xml:space="preserve"> </w:t>
      </w:r>
      <w:r>
        <w:rPr>
          <w:rFonts w:ascii="Times New Roman;sans-serif" w:hAnsi="Times New Roman;sans-serif"/>
          <w:b w:val="false"/>
          <w:color w:val="000000"/>
          <w:sz w:val="22"/>
        </w:rPr>
        <w:t>The Administrative Agent shall have received a Notice of Borrowing in connection with any such request for extension of credit which complies with the requirements hereof.</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No Default.</w:t>
      </w:r>
      <w:r>
        <w:rPr>
          <w:color w:val="000000"/>
        </w:rPr>
        <w:t xml:space="preserve"> </w:t>
      </w:r>
      <w:r>
        <w:rPr>
          <w:rFonts w:ascii="Times New Roman;sans-serif" w:hAnsi="Times New Roman;sans-serif"/>
          <w:b w:val="false"/>
          <w:color w:val="000000"/>
          <w:sz w:val="22"/>
        </w:rPr>
        <w:t>No Default or Event of Default shall have occurred and be continuing as of or on such date or after giving effect to the extensions of credit requested to be made on such date.</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Each borrowing by and issuance of a Letter of Credit on behalf of the Borrower hereunder, each Revolving Loan Conversion and each conversion of a Term Loan shall constitute a representation and warranty by the Borrower as of the date of such extension of credit, Revolving Loan Conversion or conversion of a Term Loan, as applicable, that the conditions contained in this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(or, in the case of Revolving Loan Conversion or continuation of Loans, </w:t>
      </w:r>
      <w:r>
        <w:rPr>
          <w:rFonts w:ascii="Times New Roman;sans-serif" w:hAnsi="Times New Roman;sans-serif"/>
          <w:b w:val="false"/>
          <w:color w:val="000000"/>
          <w:sz w:val="22"/>
          <w:u w:val="single"/>
        </w:rPr>
        <w:t>Section 5.2(d)</w:t>
      </w:r>
      <w:r>
        <w:rPr>
          <w:color w:val="000000"/>
        </w:rPr>
        <w:t xml:space="preserve"> </w:t>
      </w:r>
      <w:r>
        <w:rPr>
          <w:rFonts w:ascii="Times New Roman;sans-serif" w:hAnsi="Times New Roman;sans-serif"/>
          <w:b w:val="false"/>
          <w:color w:val="000000"/>
          <w:sz w:val="22"/>
        </w:rPr>
        <w:t>only) have been satisfied.</w:t>
      </w:r>
    </w:p>
    <w:p>
      <w:pPr>
        <w:pStyle w:val="TextBody"/>
        <w:spacing w:lineRule="auto" w:line="288" w:before="0" w:after="180"/>
        <w:ind w:left="0" w:right="0" w:firstLine="720"/>
        <w:jc w:val="both"/>
        <w:rPr/>
      </w:pPr>
      <w:r>
        <w:rPr>
          <w:rFonts w:ascii="Times New Roman;sans-serif" w:hAnsi="Times New Roman;sans-serif"/>
          <w:b/>
          <w:color w:val="000000"/>
          <w:sz w:val="22"/>
        </w:rPr>
        <w:t>5.3</w:t>
      </w:r>
      <w:r>
        <w:rPr>
          <w:rFonts w:ascii="Times New Roman;sans-serif" w:hAnsi="Times New Roman;sans-serif"/>
          <w:b/>
          <w:color w:val="000000"/>
          <w:sz w:val="22"/>
        </w:rPr>
        <w:t>Post-Closing Conditions Subsequent</w:t>
      </w:r>
      <w:r>
        <w:rPr>
          <w:rFonts w:ascii="Times New Roman;sans-serif" w:hAnsi="Times New Roman;sans-serif"/>
          <w:b w:val="false"/>
          <w:color w:val="000000"/>
          <w:sz w:val="22"/>
        </w:rPr>
        <w:t xml:space="preserve">. The Borrower shall satisfy each of the conditions subsequent to the Closing Date specified in this </w:t>
      </w:r>
      <w:r>
        <w:rPr>
          <w:rFonts w:ascii="Times New Roman;sans-serif" w:hAnsi="Times New Roman;sans-serif"/>
          <w:b w:val="false"/>
          <w:color w:val="000000"/>
          <w:sz w:val="22"/>
          <w:u w:val="single"/>
        </w:rPr>
        <w:t>Section 5.3</w:t>
      </w:r>
      <w:r>
        <w:rPr>
          <w:color w:val="000000"/>
        </w:rPr>
        <w:t xml:space="preserve"> </w:t>
      </w:r>
      <w:r>
        <w:rPr>
          <w:rFonts w:ascii="Times New Roman;sans-serif" w:hAnsi="Times New Roman;sans-serif"/>
          <w:b w:val="false"/>
          <w:color w:val="000000"/>
          <w:sz w:val="22"/>
        </w:rPr>
        <w:t>to the satisfaction of the Administrative Agent, in each case, by no later than the date specified for such condition below (or such later date as the Administrative Agent shall agree in its sole discretion):</w:t>
      </w:r>
    </w:p>
    <w:p>
      <w:pPr>
        <w:pStyle w:val="TextBody"/>
        <w:spacing w:lineRule="auto" w:line="288" w:before="80" w:after="283"/>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Within thirty (30) days after the Closing Date, to the extent not delivered to the Administrative Agent on or prior to the Closing Date, deliver to the Administrative Agent insurance certificates and endorsements satisfying the requirements of </w:t>
      </w:r>
      <w:r>
        <w:rPr>
          <w:rFonts w:ascii="Times New Roman;sans-serif" w:hAnsi="Times New Roman;sans-serif"/>
          <w:b w:val="false"/>
          <w:color w:val="000000"/>
          <w:sz w:val="22"/>
          <w:u w:val="single"/>
        </w:rPr>
        <w:t>Section 6.6</w:t>
      </w:r>
      <w:r>
        <w:rPr>
          <w:color w:val="000000"/>
        </w:rPr>
        <w:t xml:space="preserve"> </w:t>
      </w:r>
      <w:r>
        <w:rPr>
          <w:rFonts w:ascii="Times New Roman;sans-serif" w:hAnsi="Times New Roman;sans-serif"/>
          <w:b w:val="false"/>
          <w:color w:val="000000"/>
          <w:sz w:val="22"/>
        </w:rPr>
        <w:t xml:space="preserve">hereof and </w:t>
      </w:r>
      <w:r>
        <w:rPr>
          <w:rFonts w:ascii="Times New Roman;sans-serif" w:hAnsi="Times New Roman;sans-serif"/>
          <w:b w:val="false"/>
          <w:color w:val="000000"/>
          <w:sz w:val="22"/>
          <w:u w:val="single"/>
        </w:rPr>
        <w:t xml:space="preserve">Section 5.2(b) </w:t>
      </w:r>
      <w:r>
        <w:rPr>
          <w:rFonts w:ascii="Times New Roman;sans-serif" w:hAnsi="Times New Roman;sans-serif"/>
          <w:b w:val="false"/>
          <w:color w:val="000000"/>
          <w:sz w:val="22"/>
        </w:rPr>
        <w:t>of the Guarantee and Collateral Agreement, in form and substance satisfactory to the Administrative Agent.</w:t>
      </w:r>
      <w:r>
        <w:br w:type="page"/>
      </w:r>
    </w:p>
    <w:p>
      <w:pPr>
        <w:pStyle w:val="TextBody"/>
        <w:spacing w:before="0" w:after="0"/>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60655"/>
                <wp:effectExtent l="0" t="0" r="0" b="0"/>
                <wp:wrapNone/>
                <wp:docPr id="336" name="Frame3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6</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AFFIRMATIVE COVENANTS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hereby agrees that, at all times prior to the Discharge of Obligations, the Borrower shall, and, where applicable, shall cause each of its Subsidiaries to:</w:t>
      </w:r>
    </w:p>
    <w:p>
      <w:pPr>
        <w:pStyle w:val="TextBody"/>
        <w:spacing w:lineRule="auto" w:line="288" w:before="0" w:after="180"/>
        <w:ind w:left="0" w:right="0" w:firstLine="720"/>
        <w:rPr/>
      </w:pPr>
      <w:r>
        <w:rPr>
          <w:rFonts w:ascii="Times New Roman;sans-serif" w:hAnsi="Times New Roman;sans-serif"/>
          <w:b/>
          <w:color w:val="000000"/>
          <w:sz w:val="22"/>
        </w:rPr>
        <w:t>6.1</w:t>
      </w:r>
      <w:r>
        <w:rPr>
          <w:rFonts w:ascii="Times New Roman;sans-serif" w:hAnsi="Times New Roman;sans-serif"/>
          <w:b/>
          <w:color w:val="000000"/>
          <w:sz w:val="22"/>
        </w:rPr>
        <w:t>Financial Statements</w:t>
      </w:r>
      <w:r>
        <w:rPr>
          <w:rFonts w:ascii="Times New Roman;sans-serif" w:hAnsi="Times New Roman;sans-serif"/>
          <w:b w:val="false"/>
          <w:color w:val="000000"/>
          <w:sz w:val="22"/>
        </w:rPr>
        <w:t>. Furnish to the Administrative Agent, with sufficient copies for distribution to each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as soon as available, but in any event within 180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(in each case, other than a “going concern” or like matter of emphasis solely as a result of the maturity date of any Loan or other Indebtedness incurred in compliance with this Agreement), by any “Big Four” accounting firm, or any other independent certified public accountants of nationally recognized standing and reasonably acceptable to the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as soon as available, but in any event within 45 days after the end of each fiscal quarter period of each fiscal year of the Borrower, the unaudited consolidated balance sheet of the Borrower and its consolidated Subsidiaries as at the end of such fiscal quarter and the related unaudited consolidated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 (subject to normal year-end audit adjustments and the absence of footnotes); and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as soon as available, but in any event not later than 30 days after the end of each month occurring during each fiscal year of the Borrower (other than the third, sixth, ninth and twelfth such months), the unaudited consolidated balance sheet of the Borrower and its consolidated Subsidiaries as at the end of such month and the related unaudited consolidated statements of income and of cash flows for such month and the portion of the fiscal year through the end of such month, setting forth in each case in comparative form the figures for the previous year, certified by a Responsible Officer as being fairly stated in all material respects (subject to normal year-end audit adjustments and the absence of footnotes).</w:t>
      </w:r>
    </w:p>
    <w:p>
      <w:pPr>
        <w:pStyle w:val="TextBody"/>
        <w:spacing w:lineRule="auto" w:line="288" w:before="0" w:after="180"/>
        <w:jc w:val="both"/>
        <w:rPr/>
      </w:pPr>
      <w:r>
        <w:rPr>
          <w:rFonts w:ascii="Times New Roman;sans-serif" w:hAnsi="Times New Roman;sans-serif"/>
          <w:b w:val="false"/>
          <w:color w:val="000000"/>
          <w:sz w:val="22"/>
        </w:rPr>
        <w:t xml:space="preserve">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 Information required to be delivered pursuant to </w:t>
      </w:r>
      <w:r>
        <w:rPr>
          <w:rFonts w:ascii="Times New Roman;sans-serif" w:hAnsi="Times New Roman;sans-serif"/>
          <w:b w:val="false"/>
          <w:color w:val="000000"/>
          <w:sz w:val="22"/>
          <w:u w:val="single"/>
        </w:rPr>
        <w:t>Section 6.1(a)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shall be deemed to have been delivered if such information, or one or more annual or quarterly reports containing such information, shall be available on the website of the SEC at http:://www.sec.gov or on the website of the Borrower (provided, in each case, that Borrower has notified the Administrative Agent (including by e- mail) that such information is available on such website and, if requested by the Administrative Agent, shall have provided hard copies to the Administrative Agent). Information required to be delivered pursuant to this Section 6.1 may also be delivered by electronic communications pursuant to procedures approved by the Administrative Agent. Each Lender shall be solely responsible for timely accessing posted documents and maintaining its copies of such documents.</w:t>
      </w:r>
      <w:r>
        <w:br w:type="page"/>
      </w:r>
    </w:p>
    <w:p>
      <w:pPr>
        <w:pStyle w:val="TextBody"/>
        <w:spacing w:before="0" w:after="0"/>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60655"/>
                <wp:effectExtent l="0" t="0" r="0" b="0"/>
                <wp:wrapNone/>
                <wp:docPr id="337" name="Frame3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6.2</w:t>
      </w:r>
      <w:r>
        <w:rPr>
          <w:rFonts w:ascii="Times New Roman;sans-serif" w:hAnsi="Times New Roman;sans-serif"/>
          <w:b/>
          <w:color w:val="000000"/>
          <w:sz w:val="22"/>
        </w:rPr>
        <w:t>Certificates; Reports; Other Information</w:t>
      </w:r>
      <w:r>
        <w:rPr>
          <w:rFonts w:ascii="Times New Roman;sans-serif" w:hAnsi="Times New Roman;sans-serif"/>
          <w:b w:val="false"/>
          <w:color w:val="000000"/>
          <w:sz w:val="22"/>
        </w:rPr>
        <w:t>. Furnish (or, in the case of clause (a), use best efforts to furnish) to the Administrative Agent, for distribution to each Lender (or, in the case of clause (h), to the relevant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[reserved];</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concurrently with the delivery of any financial statements pursuant to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 (i) a certificate of a Responsible Officer on behalf of the Borrower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during such period, and that such Responsible Officer has obtained no knowledge of any Default or Event of Default except as specified in such certificate and (ii) in the case of monthly, quarterly or annual financial statements, (x) a Compliance Certificate containing all information and calculations necessary for determining compliance by each Loan Party with the provisions of this Agreement referred to therein as of the last day of the month, fiscal quarter or fiscal year of the Borrower, as the case may be, (y) to the extent not previously disclosed to the Administrative Agent, a description of any change in the jurisdiction of organization of any Loan Party and a list of any registered Intellectual Property or other material Intellectual Property issued to, applied for or acquired by any Loan Party since the date of the most recent report delivered pursuant to this clause (y) (or, in the case of the first such report so delivered, since the Closing Date), and (z) to the extent requested by the Administrative Agent, bank statements evidencing compliance with the Liquidity financial covenant;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as soon as available, and in any event no later than 60 days after the end of each fiscal year of the Borrower, a detailed consolidated budget for the following fiscal year (including a projected consolidated balance sheet of the Borrower and its Subsidiaries as of the end of each fiscal quarter of such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approved by the Borrower’s board of directors (collectively, the “</w:t>
      </w:r>
      <w:r>
        <w:rPr>
          <w:rFonts w:ascii="Times New Roman;sans-serif" w:hAnsi="Times New Roman;sans-serif"/>
          <w:b/>
          <w:i/>
          <w:color w:val="000000"/>
          <w:sz w:val="22"/>
        </w:rPr>
        <w:t>Projections</w:t>
      </w:r>
      <w:r>
        <w:rPr>
          <w:color w:val="000000"/>
        </w:rPr>
        <w:t>”</w:t>
      </w:r>
      <w:r>
        <w:rPr>
          <w:rFonts w:ascii="Times New Roman;sans-serif" w:hAnsi="Times New Roman;sans-serif"/>
          <w:b w:val="false"/>
          <w:color w:val="000000"/>
          <w:sz w:val="22"/>
        </w:rPr>
        <w:t>), which board-approved Projections shall in each case be accompanied by a certificate of a Responsible Officer of the Borrower stating that such board-approved Projections are based on estimates, information and assumptions believed by the Borrower to be reasonable at the time made, it being recognized that such board-approved Projections are not to be viewed as fact and that actual results during the period or periods covered by such Projections may differ from the projected results set forth therein by a material amount;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promptly, and in any event within five (5) Business Days after receipt thereof by any Group Member, copies of each notice or other correspondence received from the SEC (or comparable agency in any applicable non-U.S. jurisdiction) concerning any investigation or possible investigation or other inquiry by such agency regarding financial or other operational results of any Group Member (other than routine comment letters from the staff of the SEC relating to the Borrower’s filings with the SEC);</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within five (5) Business Days after the same are sent, copies of, or links to the filings made at the SEC’s Edgar site of, each annual report, proxy or financial statement or other material report that any Group Member sends to the holders of any class of its Indebtedness or public equity securities and, within five (5) Business Days after the same are filed, copies of, or links to the filings made at the SEC’s Edgar site of, all annual, regular, periodic and special reports and registration statements which the Group Member may file with the SEC under Section 13 or 15(d) of the Exchange </w:t>
      </w:r>
      <w:r>
        <w:br w:type="page"/>
      </w:r>
    </w:p>
    <w:p>
      <w:pPr>
        <w:pStyle w:val="TextBody"/>
        <w:spacing w:before="0" w:after="0"/>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60655"/>
                <wp:effectExtent l="0" t="0" r="0" b="0"/>
                <wp:wrapNone/>
                <wp:docPr id="338" name="Frame3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Act, or with any national securities exchange, and not otherwise required to be delivered to the Administrative Agent pursuant 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upon request by the Administrative Agent, within five days after the same are sent or received by any Group Member,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concurrently with the delivery of the financial statements referred to in </w:t>
      </w:r>
      <w:r>
        <w:rPr>
          <w:rFonts w:ascii="Times New Roman;sans-serif" w:hAnsi="Times New Roman;sans-serif"/>
          <w:b w:val="false"/>
          <w:color w:val="000000"/>
          <w:sz w:val="22"/>
          <w:u w:val="single"/>
        </w:rPr>
        <w:t>Sections 6.1(b)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a Borrowing Base Certificate accompanied by such supporting detail and documentation as shall be requested by the Administrative Agent in its reasonable discretion, including without limitation, details of Recurring Revenue including, without limitation, Monthly Recurring Revenue total Recurring Revenue, total customers, the Advance Rate, Churn Rate and the Retention Rate; and</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if requested by the Administrative Agent, concurrently with the delivery of the financial statements referred to in </w:t>
      </w:r>
      <w:r>
        <w:rPr>
          <w:rFonts w:ascii="Times New Roman;sans-serif" w:hAnsi="Times New Roman;sans-serif"/>
          <w:b w:val="false"/>
          <w:color w:val="000000"/>
          <w:sz w:val="22"/>
          <w:u w:val="single"/>
        </w:rPr>
        <w:t>Section 6.1(a)</w:t>
      </w:r>
      <w:r>
        <w:rPr>
          <w:rFonts w:ascii="Times New Roman;sans-serif" w:hAnsi="Times New Roman;sans-serif"/>
          <w:b w:val="false"/>
          <w:color w:val="000000"/>
          <w:sz w:val="22"/>
        </w:rPr>
        <w:t xml:space="preserve">, a report of a reputable insurance broker with respect to the insurance coverage required to be maintained pursuant to </w:t>
      </w:r>
      <w:r>
        <w:rPr>
          <w:rFonts w:ascii="Times New Roman;sans-serif" w:hAnsi="Times New Roman;sans-serif"/>
          <w:b w:val="false"/>
          <w:color w:val="000000"/>
          <w:sz w:val="22"/>
          <w:u w:val="single"/>
        </w:rPr>
        <w:t>Section 6.6</w:t>
      </w:r>
      <w:r>
        <w:rPr>
          <w:rFonts w:ascii="Times New Roman;sans-serif" w:hAnsi="Times New Roman;sans-serif"/>
          <w:b w:val="false"/>
          <w:color w:val="000000"/>
          <w:sz w:val="22"/>
        </w:rPr>
        <w:t>, together with any supplemental reports with respect thereto which the Administrative Agent may reasonably request; and</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promptly, such additional financial and other information regarding the operations, business affairs and financial condition of any Group Member, including, without limitation, any certification or other evidence confirming Borrower’s compliance with the terms of this Agreement, as the Administrative Agent or any Lender may from time to time reasonably request.</w:t>
      </w:r>
    </w:p>
    <w:p>
      <w:pPr>
        <w:pStyle w:val="TextBody"/>
        <w:spacing w:lineRule="auto" w:line="288" w:before="0" w:after="180"/>
        <w:ind w:left="0" w:right="0" w:firstLine="720"/>
        <w:rPr/>
      </w:pPr>
      <w:r>
        <w:rPr>
          <w:rFonts w:ascii="Times New Roman;sans-serif" w:hAnsi="Times New Roman;sans-serif"/>
          <w:b/>
          <w:color w:val="000000"/>
          <w:sz w:val="22"/>
        </w:rPr>
        <w:t>6.3</w:t>
      </w:r>
      <w:r>
        <w:rPr>
          <w:rFonts w:ascii="Times New Roman;sans-serif" w:hAnsi="Times New Roman;sans-serif"/>
          <w:b/>
          <w:color w:val="000000"/>
          <w:sz w:val="22"/>
        </w:rPr>
        <w:t>Contracts.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Schedules and Documents Relating to Contracts</w:t>
      </w:r>
      <w:r>
        <w:rPr>
          <w:rFonts w:ascii="Times New Roman;sans-serif" w:hAnsi="Times New Roman;sans-serif"/>
          <w:b w:val="false"/>
          <w:color w:val="000000"/>
          <w:sz w:val="22"/>
        </w:rPr>
        <w:t>. The Borrower’s failure to execute and deliver any required transaction reports, Borrowing Base Certificates and schedules of collections shall not affect or limit the Administrative Agent’s Lien and other rights in all of the Accounts (including for the avoidance of doubt any contracts generating Recurring Revenue), nor shall Lenders’ failure to advance or lend against a specific contract (to the extent permitted by this Agreement) limit the Administrative Agent’s Lien and other rights therein. If requested by the Administrative Agent, the Borrower shall furnish the Administrative Agent with copies of all contracts, orders, invoices, and other similar documents, and all shipping instructions, delivery receipts, bills of lading, and other evidence of delivery, for any goods the sale or disposition of which gave rise to such Accounts. In addition, the Borrower shall deliver to the Administrative Agent, on its request, the originals of all instruments, chattel paper, security agreements, guarantees and other documents and property evidencing or securing any Accounts, in the same form as received, with all necessary endorsements, and copies of all credit memos.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Disputes</w:t>
      </w:r>
      <w:r>
        <w:rPr>
          <w:rFonts w:ascii="Times New Roman;sans-serif" w:hAnsi="Times New Roman;sans-serif"/>
          <w:b w:val="false"/>
          <w:color w:val="000000"/>
          <w:sz w:val="22"/>
        </w:rPr>
        <w:t>. The Borrower shall promptly notify the Administrative Agent of all disputes or claims relating to accounts which allege or involve an amount in excess of $500,000. The Borrower may forgive (completely or partially), compromise, or settle any Account for less than payment in full, or agree to do any of the foregoing at any time so long as (i) the Borrower does so in good faith, in a commercially reasonable manner, in the ordinary course of business, in arm’s-length transactions, and reports the same to the Administrative Agent in the regular reports provided to the Administrative Agent; (ii) no Default or Event of Default has occurred and is continuing at such time; and (iii) after taking into account all such discounts, settlements and forgiveness, the aggregate amount of aggregate Revolving Extensions of Credit then outstanding will not exceed the Available Revolving Commitment in effect at such time.</w:t>
      </w:r>
      <w:r>
        <w:br w:type="page"/>
      </w:r>
    </w:p>
    <w:p>
      <w:pPr>
        <w:pStyle w:val="TextBody"/>
        <w:spacing w:before="0" w:after="0"/>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60655"/>
                <wp:effectExtent l="0" t="0" r="0" b="0"/>
                <wp:wrapNone/>
                <wp:docPr id="339" name="Frame3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Collection of Accounts</w:t>
      </w:r>
      <w:r>
        <w:rPr>
          <w:rFonts w:ascii="Times New Roman;sans-serif" w:hAnsi="Times New Roman;sans-serif"/>
          <w:b w:val="false"/>
          <w:color w:val="000000"/>
          <w:sz w:val="22"/>
        </w:rPr>
        <w:t xml:space="preserve">. The Group Members shall have the right to collect all Accounts;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 Event of Default has occurred and is continuing, the Administrative Agent may, in its sole discretion, collect any such Accounts of the Loan Parties. The Loan Parties shall cause all payments on, and proceeds of, Accounts collected in the United States to be deposited directly by the Loan Parties (or instructed by the Loan Parties to be so deposited pursuant to written instructions to the applicable Account Debtor reasonably satisfactory to the Administrative Agent) into one or more lockbox accounts, or such other “blocked accounts” as the Administrative Agent may specify, pursuant to a blocked account arrangement in form and substance reasonably satisfactory to the Administrative Agent (it being agreed that the blocked account arrangement existing on the date hereof is reasonably satisfactory). At any time that an Event of Default exists, any such amounts actually paid to or collected by the Administrative Agent pursuant to this Section 6.3(c) shall be applied by the Administrative Agent (except as otherwise agreed to by the Administrative Agent in writing in its sole discretion) on a daily basis to the reduction of the Loans and to Cash Collateralize then outstanding and Letters of Credit. If (i) no Event of Default is then in effect or (ii) (A) any amount of such payments or collections remains after the application by the Administrative Agent thereof to the payment in full of the outstanding Loans and Cash Collateralization of Letters of Credit, and (B) such remaining amount is not otherwise required to be applied to the Obligations pursuant to any other Section of this Agreement, then such remaining amount shall be returned by the Administrative Agent, within one (1) Business Day, to a depository account of the Borrower maintained with the Administrative Agent and the Loan Parties shall have full and complete access to, and may direct the manner of disposition of, funds in such account.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Verification</w:t>
      </w:r>
      <w:r>
        <w:rPr>
          <w:rFonts w:ascii="Times New Roman;sans-serif" w:hAnsi="Times New Roman;sans-serif"/>
          <w:b w:val="false"/>
          <w:color w:val="000000"/>
          <w:sz w:val="22"/>
        </w:rPr>
        <w:t>. The Administrative Agent may, from time to time, verify directly with the respective Account Debtors the validity, amount and other matters relating to the contracts, either in the name of a Borrower or the Administrative Agent or such other name as the Administrative Agent may choose.</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No Liability</w:t>
      </w:r>
      <w:r>
        <w:rPr>
          <w:rFonts w:ascii="Times New Roman;sans-serif" w:hAnsi="Times New Roman;sans-serif"/>
          <w:b w:val="false"/>
          <w:color w:val="000000"/>
          <w:sz w:val="22"/>
        </w:rPr>
        <w:t>. The Administrative Agent shall not be responsible or liable for any shortage or discrepancy in, damage to, or loss or destruction of, any goods, the sale or other disposition of which gives rise to a contract, or for any error, act, omission, or delay of any kind occurring in the settlement, failure to settle, collection or failure to collect any Account, or for settling any Account in good faith for less than the full amount thereof, nor shall the Administrative Agent be deemed to be responsible for any of the Borrower’s obligations under any contract or agreement giving rise to an Account. Nothing herein shall, however, relieve the Administrative Agent from liability for its own gross negligence or willful misconduct as determined by a court of competent jurisdiction in a final and non-appealable judgment.</w:t>
      </w:r>
    </w:p>
    <w:p>
      <w:pPr>
        <w:pStyle w:val="TextBody"/>
        <w:spacing w:lineRule="auto" w:line="288" w:before="0" w:after="180"/>
        <w:ind w:left="0" w:right="0" w:firstLine="720"/>
        <w:jc w:val="both"/>
        <w:rPr/>
      </w:pPr>
      <w:r>
        <w:rPr>
          <w:rFonts w:ascii="Times New Roman;sans-serif" w:hAnsi="Times New Roman;sans-serif"/>
          <w:b/>
          <w:color w:val="000000"/>
          <w:sz w:val="22"/>
        </w:rPr>
        <w:t>6.4</w:t>
      </w:r>
      <w:r>
        <w:rPr>
          <w:rFonts w:ascii="Times New Roman;sans-serif" w:hAnsi="Times New Roman;sans-serif"/>
          <w:b/>
          <w:color w:val="000000"/>
          <w:sz w:val="22"/>
        </w:rPr>
        <w:t>Payment of Obligations</w:t>
      </w:r>
      <w:r>
        <w:rPr>
          <w:rFonts w:ascii="Times New Roman;sans-serif" w:hAnsi="Times New Roman;sans-serif"/>
          <w:b w:val="false"/>
          <w:color w:val="000000"/>
          <w:sz w:val="22"/>
        </w:rPr>
        <w:t>. Pay, discharge or otherwise satisfy at or before maturity or before they become delinquent (after giving effect to any extensions granted or grace periods in effect),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pStyle w:val="TextBody"/>
        <w:spacing w:lineRule="auto" w:line="288" w:before="0" w:after="180"/>
        <w:ind w:left="0" w:right="0" w:firstLine="720"/>
        <w:jc w:val="both"/>
        <w:rPr/>
      </w:pPr>
      <w:r>
        <w:rPr>
          <w:rFonts w:ascii="Times New Roman;sans-serif" w:hAnsi="Times New Roman;sans-serif"/>
          <w:b/>
          <w:color w:val="000000"/>
          <w:sz w:val="22"/>
        </w:rPr>
        <w:t>6.5</w:t>
      </w:r>
      <w:r>
        <w:rPr>
          <w:rFonts w:ascii="Times New Roman;sans-serif" w:hAnsi="Times New Roman;sans-serif"/>
          <w:b/>
          <w:color w:val="000000"/>
          <w:sz w:val="22"/>
        </w:rPr>
        <w:t>Maintenance of Existence; Compliance</w:t>
      </w:r>
      <w:r>
        <w:rPr>
          <w:rFonts w:ascii="Times New Roman;sans-serif" w:hAnsi="Times New Roman;sans-serif"/>
          <w:b w:val="false"/>
          <w:color w:val="000000"/>
          <w:sz w:val="22"/>
        </w:rPr>
        <w:t xml:space="preserve">. (a)(i) Preserve, renew and keep in full force and effect its organizational existence 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 xml:space="preserve">and except, in the case of clause (ii) above, to the extent that failure to do so could not reasonably be expected to have a Material </w:t>
      </w:r>
      <w:r>
        <w:br w:type="page"/>
      </w:r>
    </w:p>
    <w:p>
      <w:pPr>
        <w:pStyle w:val="TextBody"/>
        <w:spacing w:before="0" w:after="0"/>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60655"/>
                <wp:effectExtent l="0" t="0" r="0" b="0"/>
                <wp:wrapNone/>
                <wp:docPr id="340" name="Frame3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 the applicable provisions of ERISA, the Code or other Federal or state law; (2) cause each Qualified Plan to maintain its qualified status under Section 401(a) of the Code; (3) make all required contributions to any Plan; (4) not become a party to any Multiemployer Plan; (5) ensure that all liabilities under each Plan are either (x) 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 rules of such Plan and in accordance with the most recent actuarial advice received in relation to such Plan and applicable law.</w:t>
      </w:r>
    </w:p>
    <w:p>
      <w:pPr>
        <w:pStyle w:val="TextBody"/>
        <w:spacing w:lineRule="auto" w:line="288" w:before="0" w:after="180"/>
        <w:ind w:left="0" w:right="0" w:firstLine="720"/>
        <w:jc w:val="both"/>
        <w:rPr/>
      </w:pPr>
      <w:r>
        <w:rPr>
          <w:rFonts w:ascii="Times New Roman;sans-serif" w:hAnsi="Times New Roman;sans-serif"/>
          <w:b/>
          <w:color w:val="000000"/>
          <w:sz w:val="22"/>
        </w:rPr>
        <w:t>6.6</w:t>
      </w:r>
      <w:r>
        <w:rPr>
          <w:rFonts w:ascii="Times New Roman;sans-serif" w:hAnsi="Times New Roman;sans-serif"/>
          <w:b/>
          <w:color w:val="000000"/>
          <w:sz w:val="22"/>
        </w:rPr>
        <w:t>Maintenance of Property; Insurance</w:t>
      </w:r>
      <w:r>
        <w:rPr>
          <w:rFonts w:ascii="Times New Roman;sans-serif" w:hAnsi="Times New Roman;sans-serif"/>
          <w:b w:val="false"/>
          <w:color w:val="000000"/>
          <w:sz w:val="22"/>
        </w:rPr>
        <w:t>. (a) Keep all property useful and necessary in its business in good working order and condition, ordinary wear and tear and casualty damage excepted and (b) maintain with financially sound and reputable insurance companies insurance on all its property in at least such amounts and against at least such risks as are usually insured against in the same general area by companies engaged in the same or a similar business.</w:t>
      </w:r>
    </w:p>
    <w:p>
      <w:pPr>
        <w:pStyle w:val="TextBody"/>
        <w:spacing w:lineRule="auto" w:line="288" w:before="0" w:after="180"/>
        <w:ind w:left="0" w:right="0" w:firstLine="720"/>
        <w:jc w:val="both"/>
        <w:rPr/>
      </w:pPr>
      <w:r>
        <w:rPr>
          <w:rFonts w:ascii="Times New Roman;sans-serif" w:hAnsi="Times New Roman;sans-serif"/>
          <w:b/>
          <w:color w:val="000000"/>
          <w:sz w:val="22"/>
        </w:rPr>
        <w:t>6.7</w:t>
      </w:r>
      <w:r>
        <w:rPr>
          <w:rFonts w:ascii="Times New Roman;sans-serif" w:hAnsi="Times New Roman;sans-serif"/>
          <w:b/>
          <w:color w:val="000000"/>
          <w:sz w:val="22"/>
        </w:rPr>
        <w:t>Inspection of Property; Books and Records; Discussions</w:t>
      </w:r>
      <w:r>
        <w:rPr>
          <w:rFonts w:ascii="Times New Roman;sans-serif" w:hAnsi="Times New Roman;sans-serif"/>
          <w:b w:val="false"/>
          <w:color w:val="000000"/>
          <w:sz w:val="22"/>
        </w:rPr>
        <w:t>. (a) Keep proper books of records and account in which full, true and correct entries in conformity with GAAP and all Requirements of Law shall be made of all dealings and transactions in relation to its business and activities and (b) at reasonable times, on five (5) Business Days’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notice is required if an Event of Default has occurred and is continuing), permit representatives and independent contractors of the Administrative Agent (who may be accompanied by any Lender) to visit and inspect any of its properties and examine and make abstracts from any of its books and records and to discuss the business, operations, properties and financial and other condition of the Group Members with officers, directors and employees of the Group Members and with their independent certified public accountants. Such inspections shall not be undertaken more frequently than once every twelve months, unless an Event of Default has occurred and is continuing and shall not be duplicative of the Administrative Agent’s rights pursuant to </w:t>
      </w:r>
      <w:r>
        <w:rPr>
          <w:rFonts w:ascii="Times New Roman;sans-serif" w:hAnsi="Times New Roman;sans-serif"/>
          <w:b w:val="false"/>
          <w:color w:val="000000"/>
          <w:sz w:val="22"/>
          <w:u w:val="single"/>
        </w:rPr>
        <w:t>Section 6.11.</w:t>
      </w:r>
    </w:p>
    <w:p>
      <w:pPr>
        <w:pStyle w:val="TextBody"/>
        <w:spacing w:lineRule="auto" w:line="288" w:before="0" w:after="180"/>
        <w:ind w:left="0" w:right="0" w:firstLine="720"/>
        <w:rPr/>
      </w:pPr>
      <w:r>
        <w:rPr>
          <w:rFonts w:ascii="Times New Roman;sans-serif" w:hAnsi="Times New Roman;sans-serif"/>
          <w:b/>
          <w:color w:val="000000"/>
          <w:sz w:val="22"/>
        </w:rPr>
        <w:t>6.8</w:t>
      </w:r>
      <w:r>
        <w:rPr>
          <w:rFonts w:ascii="Times New Roman;sans-serif" w:hAnsi="Times New Roman;sans-serif"/>
          <w:b/>
          <w:color w:val="000000"/>
          <w:sz w:val="22"/>
        </w:rPr>
        <w:t xml:space="preserve">Notices. </w:t>
      </w:r>
      <w:r>
        <w:rPr>
          <w:rFonts w:ascii="Times New Roman;sans-serif" w:hAnsi="Times New Roman;sans-serif"/>
          <w:b w:val="false"/>
          <w:color w:val="000000"/>
          <w:sz w:val="22"/>
        </w:rPr>
        <w:t xml:space="preserve">Give prompt written notice to the Administrative Agent of: </w:t>
      </w:r>
    </w:p>
    <w:p>
      <w:pPr>
        <w:pStyle w:val="TextBody"/>
        <w:spacing w:lineRule="auto" w:line="288" w:before="0" w:after="18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the occurrence of any Default or Event of Default;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litigation or proceeding affecting any Group Member (i) in which the amount involved is $500,000 or more and not covered by insurance, (ii) in which injunctive or similar relief is sought against any Group Member, which, if granted, could reasonably be expected to have a Material Adverse Effect or (iii) which relates to any Loan Document;</w:t>
      </w:r>
      <w:r>
        <w:br w:type="page"/>
      </w:r>
    </w:p>
    <w:p>
      <w:pPr>
        <w:pStyle w:val="TextBody"/>
        <w:spacing w:before="0" w:after="0"/>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60655"/>
                <wp:effectExtent l="0" t="0" r="0" b="0"/>
                <wp:wrapNone/>
                <wp:docPr id="341" name="Frame3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 promptly after the Borrower has knowledge or becomes aware of the occurrence of any of the following ERISA Events affecting the Borrower or any ERISA Affiliate (but in no event more than ten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w:t>
      </w:r>
    </w:p>
    <w:p>
      <w:pPr>
        <w:pStyle w:val="TextBody"/>
        <w:spacing w:lineRule="auto" w:line="288" w:before="0" w:after="180"/>
        <w:ind w:left="0" w:right="0" w:firstLine="2160"/>
        <w:jc w:val="both"/>
        <w:rPr/>
      </w:pPr>
      <w:r>
        <w:rPr>
          <w:rFonts w:ascii="Times New Roman;sans-serif" w:hAnsi="Times New Roman;sans-serif"/>
          <w:b w:val="false"/>
          <w:color w:val="000000"/>
          <w:sz w:val="22"/>
        </w:rPr>
        <w:t xml:space="preserve">(ii) (A)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w:t>
      </w:r>
      <w:r>
        <w:rPr>
          <w:rFonts w:ascii="Times New Roman;sans-serif" w:hAnsi="Times New Roman;sans-serif"/>
          <w:b w:val="false"/>
          <w:color w:val="000000"/>
          <w:sz w:val="22"/>
          <w:u w:val="single"/>
        </w:rPr>
        <w:t>Sections 4.13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7.9</w:t>
      </w:r>
      <w:r>
        <w:rPr>
          <w:color w:val="000000"/>
        </w:rPr>
        <w:t xml:space="preserve"> </w:t>
      </w:r>
      <w:r>
        <w:rPr>
          <w:rFonts w:ascii="Times New Roman;sans-serif" w:hAnsi="Times New Roman;sans-serif"/>
          <w:b w:val="false"/>
          <w:color w:val="000000"/>
          <w:sz w:val="22"/>
        </w:rPr>
        <w:t>as any Lender (through the Administrative Agent) may from time to time reasonably request;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 any Asset Sale undertaken by any Group Member, and (ii) with respect to any such Asset Sale, the amount of any Net Cash Proceeds received by such Group Member in connection therewith;</w:t>
      </w:r>
    </w:p>
    <w:p>
      <w:pPr>
        <w:pStyle w:val="TextBody"/>
        <w:spacing w:lineRule="auto" w:line="288" w:before="0" w:after="180"/>
        <w:ind w:left="0" w:right="0" w:firstLine="1440"/>
        <w:rPr/>
      </w:pPr>
      <w:r>
        <w:rPr>
          <w:rFonts w:ascii="Times New Roman;sans-serif" w:hAnsi="Times New Roman;sans-serif"/>
          <w:b w:val="false"/>
          <w:color w:val="000000"/>
          <w:sz w:val="22"/>
        </w:rPr>
        <w:t>(f)</w:t>
      </w:r>
      <w:r>
        <w:rPr>
          <w:rFonts w:ascii="Times New Roman;sans-serif" w:hAnsi="Times New Roman;sans-serif"/>
          <w:b w:val="false"/>
          <w:color w:val="000000"/>
          <w:sz w:val="22"/>
        </w:rPr>
        <w:t>any material change in accounting policies or financial reporting practices by any Loan Party;</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unless a Loan Party is a public company or an issuer of securities that are registered with SEC under Section 12 of the Exchange Act or that is required to file reports under Section 15(d) of the Exchange Act, any changes to the beneficial ownership information delivered to the Administrative Agent or any Lender on or prior to the Closing Date in the event that any individual, shall become the owner of 25% or more of the voting stock of the Borrower.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and</w:t>
      </w:r>
    </w:p>
    <w:p>
      <w:pPr>
        <w:pStyle w:val="TextBody"/>
        <w:spacing w:lineRule="auto" w:line="288" w:before="0" w:after="180"/>
        <w:ind w:left="0" w:right="0" w:firstLine="1440"/>
        <w:rPr/>
      </w:pPr>
      <w:r>
        <w:rPr>
          <w:rFonts w:ascii="Times New Roman;sans-serif" w:hAnsi="Times New Roman;sans-serif"/>
          <w:b w:val="false"/>
          <w:color w:val="000000"/>
          <w:sz w:val="22"/>
        </w:rPr>
        <w:t>(h)</w:t>
      </w:r>
      <w:r>
        <w:rPr>
          <w:rFonts w:ascii="Times New Roman;sans-serif" w:hAnsi="Times New Roman;sans-serif"/>
          <w:b w:val="false"/>
          <w:color w:val="000000"/>
          <w:sz w:val="22"/>
        </w:rPr>
        <w:t>any development or event that has had or could reasonably be expected to have a Material Adverse Effect.</w:t>
      </w:r>
    </w:p>
    <w:p>
      <w:pPr>
        <w:pStyle w:val="TextBody"/>
        <w:spacing w:lineRule="auto" w:line="288" w:before="0" w:after="180"/>
        <w:jc w:val="both"/>
        <w:rPr/>
      </w:pPr>
      <w:r>
        <w:rPr>
          <w:rFonts w:ascii="Times New Roman;sans-serif" w:hAnsi="Times New Roman;sans-serif"/>
          <w:b w:val="false"/>
          <w:color w:val="000000"/>
          <w:sz w:val="22"/>
        </w:rPr>
        <w:t xml:space="preserve">Each notice pursuant to this </w:t>
      </w:r>
      <w:r>
        <w:rPr>
          <w:rFonts w:ascii="Times New Roman;sans-serif" w:hAnsi="Times New Roman;sans-serif"/>
          <w:b w:val="false"/>
          <w:color w:val="000000"/>
          <w:sz w:val="22"/>
          <w:u w:val="single"/>
        </w:rPr>
        <w:t>Section 6.8</w:t>
      </w:r>
      <w:r>
        <w:rPr>
          <w:color w:val="000000"/>
        </w:rPr>
        <w:t xml:space="preserve"> </w:t>
      </w:r>
      <w:r>
        <w:rPr>
          <w:rFonts w:ascii="Times New Roman;sans-serif" w:hAnsi="Times New Roman;sans-serif"/>
          <w:b w:val="false"/>
          <w:color w:val="000000"/>
          <w:sz w:val="22"/>
        </w:rPr>
        <w:t>shall be accompanied by a statement of a Responsible Officer setting forth details of the occurrence referred to therein and stating what action the relevant Group Member proposes to take with respect thereto.</w:t>
      </w:r>
    </w:p>
    <w:p>
      <w:pPr>
        <w:pStyle w:val="TextBody"/>
        <w:spacing w:lineRule="auto" w:line="288" w:before="0" w:after="180"/>
        <w:ind w:left="0" w:right="0" w:firstLine="720"/>
        <w:rPr/>
      </w:pPr>
      <w:r>
        <w:rPr>
          <w:rFonts w:ascii="Times New Roman;sans-serif" w:hAnsi="Times New Roman;sans-serif"/>
          <w:b/>
          <w:color w:val="000000"/>
          <w:sz w:val="22"/>
        </w:rPr>
        <w:t>6.9</w:t>
      </w:r>
      <w:r>
        <w:rPr>
          <w:rFonts w:ascii="Times New Roman;sans-serif" w:hAnsi="Times New Roman;sans-serif"/>
          <w:b/>
          <w:color w:val="000000"/>
          <w:sz w:val="22"/>
        </w:rPr>
        <w:t>Environmental Laws.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Comply in all material respects with, and ensure compliance in all material respects by all tenants and subtenants, if any, with, all applicable Environmental Laws, and obtain and comply in all material respects with and maintain, and ensure that all tenants and subtenants, if any, </w:t>
      </w:r>
      <w:r>
        <w:br w:type="page"/>
      </w:r>
    </w:p>
    <w:p>
      <w:pPr>
        <w:pStyle w:val="TextBody"/>
        <w:spacing w:before="0" w:after="0"/>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60655"/>
                <wp:effectExtent l="0" t="0" r="0" b="0"/>
                <wp:wrapNone/>
                <wp:docPr id="342" name="Frame3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obtain and comply in all material respects with and maintain, any and all licenses, approvals, notifications, registrations or permits required by applicable Environmental Laws.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pStyle w:val="TextBody"/>
        <w:spacing w:lineRule="auto" w:line="288" w:before="0" w:after="180"/>
        <w:ind w:left="0" w:right="0" w:firstLine="720"/>
        <w:jc w:val="both"/>
        <w:rPr/>
      </w:pPr>
      <w:r>
        <w:rPr>
          <w:rFonts w:ascii="Times New Roman;sans-serif" w:hAnsi="Times New Roman;sans-serif"/>
          <w:b/>
          <w:color w:val="000000"/>
          <w:sz w:val="22"/>
        </w:rPr>
        <w:t>6.10</w:t>
      </w:r>
      <w:r>
        <w:rPr>
          <w:rFonts w:ascii="Times New Roman;sans-serif" w:hAnsi="Times New Roman;sans-serif"/>
          <w:b/>
          <w:color w:val="000000"/>
          <w:sz w:val="22"/>
        </w:rPr>
        <w:t>Operating Accounts</w:t>
      </w:r>
      <w:r>
        <w:rPr>
          <w:rFonts w:ascii="Times New Roman;sans-serif" w:hAnsi="Times New Roman;sans-serif"/>
          <w:b w:val="false"/>
          <w:color w:val="000000"/>
          <w:sz w:val="22"/>
        </w:rPr>
        <w:t xml:space="preserve">. Except as otherwise agreed to by the Administrative Agent, maintain all of the Borrower’s and its Domestic Subsidiaries’ depository and operating accounts and excess cash with SVB or with SVB’s Affiliates;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however that to the extent excess cash of the Borrower and its Domestic Subsidiaries exceeds $50,000,000, the excess above such amount shall not be subject to such restriction and will not be required to be maintained with SVB or with SVB’s Affiliates.</w:t>
      </w:r>
    </w:p>
    <w:p>
      <w:pPr>
        <w:pStyle w:val="TextBody"/>
        <w:spacing w:lineRule="auto" w:line="288" w:before="0" w:after="180"/>
        <w:ind w:left="0" w:right="0" w:firstLine="720"/>
        <w:jc w:val="both"/>
        <w:rPr/>
      </w:pPr>
      <w:r>
        <w:rPr>
          <w:rFonts w:ascii="Times New Roman;sans-serif" w:hAnsi="Times New Roman;sans-serif"/>
          <w:b/>
          <w:color w:val="000000"/>
          <w:sz w:val="22"/>
        </w:rPr>
        <w:t>6.11</w:t>
      </w:r>
      <w:r>
        <w:rPr>
          <w:rFonts w:ascii="Times New Roman;sans-serif" w:hAnsi="Times New Roman;sans-serif"/>
          <w:b/>
          <w:color w:val="000000"/>
          <w:sz w:val="22"/>
        </w:rPr>
        <w:t>Audits</w:t>
      </w:r>
      <w:r>
        <w:rPr>
          <w:rFonts w:ascii="Times New Roman;sans-serif" w:hAnsi="Times New Roman;sans-serif"/>
          <w:b w:val="false"/>
          <w:color w:val="000000"/>
          <w:sz w:val="22"/>
        </w:rPr>
        <w:t xml:space="preserve">. Without duplication of </w:t>
      </w:r>
      <w:r>
        <w:rPr>
          <w:rFonts w:ascii="Times New Roman;sans-serif" w:hAnsi="Times New Roman;sans-serif"/>
          <w:b w:val="false"/>
          <w:color w:val="000000"/>
          <w:sz w:val="22"/>
          <w:u w:val="single"/>
        </w:rPr>
        <w:t>Section 6.7</w:t>
      </w:r>
      <w:r>
        <w:rPr>
          <w:rFonts w:ascii="Times New Roman;sans-serif" w:hAnsi="Times New Roman;sans-serif"/>
          <w:b w:val="false"/>
          <w:color w:val="000000"/>
          <w:sz w:val="22"/>
        </w:rPr>
        <w:t>, at reasonable times, on five (5) Business Day’s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notice is required if an Event of Default has occurred and is continuing), the Administrative Agent, or its agents, shall have the right to inspect the Collateral, conduct a field examination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field examinations and audits shall be at the Borrower’s expense and the charge therefor shall be $1,000 per person per day (or such higher amount as shall represent the Administrative Agent’s then-current standard charge for the same), plus reasonable out-of-pocket expenses;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prior to the occurrence and continuance of an Event of Default, in any event the maximum charge shall be Ten Thousand Dollars ($10,000) per audit. Such inspections, field examinations and audits shall not be undertaken more frequently than once each every twelve months, unless an Event of Default has occurred and is continuing.</w:t>
      </w:r>
    </w:p>
    <w:p>
      <w:pPr>
        <w:pStyle w:val="TextBody"/>
        <w:spacing w:lineRule="auto" w:line="288" w:before="0" w:after="180"/>
        <w:ind w:left="0" w:right="0" w:firstLine="720"/>
        <w:rPr/>
      </w:pPr>
      <w:r>
        <w:rPr>
          <w:rFonts w:ascii="Times New Roman;sans-serif" w:hAnsi="Times New Roman;sans-serif"/>
          <w:b/>
          <w:color w:val="000000"/>
          <w:sz w:val="22"/>
        </w:rPr>
        <w:t>6.12</w:t>
      </w:r>
      <w:r>
        <w:rPr>
          <w:rFonts w:ascii="Times New Roman;sans-serif" w:hAnsi="Times New Roman;sans-serif"/>
          <w:b/>
          <w:color w:val="000000"/>
          <w:sz w:val="22"/>
        </w:rPr>
        <w:t>Additional Collateral, Etc.</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With respect to any property (to the extent included in the definition of Collateral) acquired after the Closing Date by any Loan Party (other than (x) any property described in paragraph (b), (c) or (d) below, and (y) any property subject to a Lien expressly permitted by </w:t>
      </w:r>
      <w:r>
        <w:rPr>
          <w:rFonts w:ascii="Times New Roman;sans-serif" w:hAnsi="Times New Roman;sans-serif"/>
          <w:b w:val="false"/>
          <w:color w:val="000000"/>
          <w:sz w:val="22"/>
          <w:u w:val="single"/>
        </w:rPr>
        <w:t>Section 7.3(g)</w:t>
      </w:r>
      <w:r>
        <w:rPr>
          <w:rFonts w:ascii="Times New Roman;sans-serif" w:hAnsi="Times New Roman;sans-serif"/>
          <w:b w:val="false"/>
          <w:color w:val="000000"/>
          <w:sz w:val="22"/>
        </w:rPr>
        <w:t xml:space="preserve">) as to which the Administrative Agent, for the benefit of the Secured Parties, does not have a perfected Lien, promptly (and in any event within ten (10) Business Days after such acquisition or such longer period as the Administrative Agent shall agree in its sole discretion) (i) execute and deliver to the Administrative Agent such amendments to the Guarantee and Collateral Agreement or such other documents as the Administrative Agent reasonably deems necessary or advisable to evidence that such Loan Party is a Guarantor and to grant to the Administrative Agent, for the benefit of the Secured Parties, a security interest in such property and (ii) take all actions necessary or advisable in the reasonable opinion of the Administrative Agent to grant to the Administrative Agent, for the benefit of the Secured Parties, a perfected first priority (except as expressly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security interest and Lien in such property, including the filing of Uniform Commercial Code financing statements in such jurisdictions as may be required by the Guarantee and Collateral Agreement or by law or as may be reasonably requested by the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 respect to any fee interest in any real property having a fair market value (together with improvements thereof) of at least $1,000,000 acquired after the Closing Date by any Loan Party (other than any such real property subject to a Lien expressly permitted by </w:t>
      </w:r>
      <w:r>
        <w:rPr>
          <w:rFonts w:ascii="Times New Roman;sans-serif" w:hAnsi="Times New Roman;sans-serif"/>
          <w:b w:val="false"/>
          <w:color w:val="000000"/>
          <w:sz w:val="22"/>
          <w:u w:val="single"/>
        </w:rPr>
        <w:t>Section 7.3(g)</w:t>
      </w:r>
      <w:r>
        <w:rPr>
          <w:rFonts w:ascii="Times New Roman;sans-serif" w:hAnsi="Times New Roman;sans-serif"/>
          <w:b w:val="false"/>
          <w:color w:val="000000"/>
          <w:sz w:val="22"/>
        </w:rPr>
        <w:t xml:space="preserve">), promptly (and in any event within sixty (60) days (or such longer time period as the Administrative Agent may agree in its sole discretion)) after such acquisition, to the extent requested by the Administrative Agent, (i) </w:t>
      </w:r>
      <w:r>
        <w:br w:type="page"/>
      </w:r>
    </w:p>
    <w:p>
      <w:pPr>
        <w:pStyle w:val="TextBody"/>
        <w:spacing w:before="0" w:after="0"/>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60655"/>
                <wp:effectExtent l="0" t="0" r="0" b="0"/>
                <wp:wrapNone/>
                <wp:docPr id="343" name="Frame3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 and delivered pursuant to this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in order to comply with the Flood Laws, the Administrative Agent (for delivery to each Lender) shall have received the following documents (collectively, the “</w:t>
      </w:r>
      <w:r>
        <w:rPr>
          <w:rFonts w:ascii="Times New Roman;sans-serif" w:hAnsi="Times New Roman;sans-serif"/>
          <w:b/>
          <w:i/>
          <w:color w:val="000000"/>
          <w:sz w:val="22"/>
        </w:rPr>
        <w:t>Flood Documents</w:t>
      </w:r>
      <w:r>
        <w:rPr>
          <w:color w:val="000000"/>
        </w:rPr>
        <w:t>”</w:t>
      </w:r>
      <w:r>
        <w:rPr>
          <w:rFonts w:ascii="Times New Roman;sans-serif" w:hAnsi="Times New Roman;sans-serif"/>
          <w:b w:val="false"/>
          <w:color w:val="000000"/>
          <w:sz w:val="22"/>
        </w:rPr>
        <w:t>): (A) a completed standard “life of loan” flood hazard determination form (a “</w:t>
      </w:r>
      <w:r>
        <w:rPr>
          <w:rFonts w:ascii="Times New Roman;sans-serif" w:hAnsi="Times New Roman;sans-serif"/>
          <w:b/>
          <w:i/>
          <w:color w:val="000000"/>
          <w:sz w:val="22"/>
        </w:rPr>
        <w:t>Flood Determination Form</w:t>
      </w:r>
      <w:r>
        <w:rPr>
          <w:color w:val="000000"/>
        </w:rPr>
        <w:t>”</w:t>
      </w:r>
      <w:r>
        <w:rPr>
          <w:rFonts w:ascii="Times New Roman;sans-serif" w:hAnsi="Times New Roman;sans-serif"/>
          <w:b w:val="false"/>
          <w:color w:val="000000"/>
          <w:sz w:val="22"/>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Times New Roman;sans-serif" w:hAnsi="Times New Roman;sans-serif"/>
          <w:b/>
          <w:i/>
          <w:color w:val="000000"/>
          <w:sz w:val="22"/>
        </w:rPr>
        <w:t>Loan Party Notice</w:t>
      </w:r>
      <w:r>
        <w:rPr>
          <w:color w:val="000000"/>
        </w:rPr>
        <w:t>”</w:t>
      </w:r>
      <w:r>
        <w:rPr>
          <w:rFonts w:ascii="Times New Roman;sans-serif" w:hAnsi="Times New Roman;sans-serif"/>
          <w:b w:val="false"/>
          <w:color w:val="000000"/>
          <w:sz w:val="22"/>
        </w:rPr>
        <w:t>) that flood insurance coverage under the National Flood Insurance Program (“</w:t>
      </w:r>
      <w:r>
        <w:rPr>
          <w:rFonts w:ascii="Times New Roman;sans-serif" w:hAnsi="Times New Roman;sans-serif"/>
          <w:b/>
          <w:i/>
          <w:color w:val="000000"/>
          <w:sz w:val="22"/>
        </w:rPr>
        <w:t>NFIP</w:t>
      </w:r>
      <w:r>
        <w:rPr>
          <w:color w:val="000000"/>
        </w:rPr>
        <w:t>”</w:t>
      </w:r>
      <w:r>
        <w:rPr>
          <w:rFonts w:ascii="Times New Roman;sans-serif" w:hAnsi="Times New Roman;sans-serif"/>
          <w:b w:val="false"/>
          <w:color w:val="000000"/>
          <w:sz w:val="22"/>
        </w:rPr>
        <w:t>)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Times New Roman;sans-serif" w:hAnsi="Times New Roman;sans-serif"/>
          <w:b/>
          <w:i/>
          <w:color w:val="000000"/>
          <w:sz w:val="22"/>
        </w:rPr>
        <w:t>Evidence of Flood Insurance</w:t>
      </w:r>
      <w:r>
        <w:rPr>
          <w:color w:val="000000"/>
        </w:rPr>
        <w:t>”</w:t>
      </w:r>
      <w:r>
        <w:rPr>
          <w:rFonts w:ascii="Times New Roman;sans-serif" w:hAnsi="Times New Roman;sans-serif"/>
          <w:b w:val="false"/>
          <w:color w:val="000000"/>
          <w:sz w:val="22"/>
        </w:rPr>
        <w:t>). Notwithstanding anything contained herein to the contrary, no Mortgage will be executed and delivered until each Lender has confirmed to the Administrative Agent that such Lender has satisfactorily completed its flood insurance due diligence and compliance requirements.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respect to any new direct or indirect Subsidiary (other than an Excluded Subsidiary) created or acquired after the Closing Date (including pursuant to a Permitted Acquisition), any new Subsidiary formed by Division by any Loan Party (or upon any Subsidiary no longer qualifying as an Excluded Subsidiary), promptly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reasonably required to grant, perfect, protect and ensure the priority of such security interest, including but not limited to, the certificates representing such Capital Stock, together with undated stock powers, in blank, executed and delivered by a duly authorized officer of the relevant Loan Party, (iii) cause such Subsidiary (A) to become a party to the Guarantee and Collateral Agreement, (B) to take such actions as are necessary or advisable in the reasonable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in a form reasonably satisfactory to the Administrative Agent, with appropriate insertions and attachments, </w:t>
      </w:r>
      <w:r>
        <w:br w:type="page"/>
      </w:r>
    </w:p>
    <w:p>
      <w:pPr>
        <w:pStyle w:val="TextBody"/>
        <w:spacing w:before="0" w:after="0"/>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60655"/>
                <wp:effectExtent l="0" t="0" r="0" b="0"/>
                <wp:wrapNone/>
                <wp:docPr id="344" name="Frame3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Subsidiary is formed by a Division, the foregoing requirements shall be satisfied substantially concurrently with the formation of such Subsidiary.</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With respect to any new Foreign Subsidiary that is not an Immaterial Subsidiary created or acquired after the Closing Date (including pursuant to a Permitted Acquisition) by any Loan Party (or upon any Foreign Subsidiary that is also an Immaterial Subsidiary no longer qualifying as an Immaterial Subsidiary), promptly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in the Capital Stock of such Foreign Subsidiary that is directly owned by any such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no event shall more than sixty-five percent (65%) of the total outstanding voting Capital Stock of any such Foreign Subsidiary be required to be so pledged, (ii) deliver to the Administrative Agent the certificates representing such Capital Stock,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necessary or, in the reasonable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 Any pledge of the voting Capital Stock of any Foreign Subsidiary other than Kaltura Europe (taking into account all direct and indirect pledges by any Loan Parties) in excess of sixty- five percent (65%) shall be void </w:t>
      </w:r>
      <w:r>
        <w:rPr>
          <w:rFonts w:ascii="Times New Roman;sans-serif" w:hAnsi="Times New Roman;sans-serif"/>
          <w:b w:val="false"/>
          <w:i/>
          <w:color w:val="000000"/>
          <w:sz w:val="22"/>
        </w:rPr>
        <w:t>ab initio</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that is either the Borrower’s corporate headquarters or where Collateral having value exceeding $1,000,000 is stored or located, which agreement or letter shall contain a waiver or subordination of all Liens or claims that the landlord or bailee may assert against the Collateral at that location, and shall otherwise be reasonably satisfactory in form and substance to the Administrative Agent. After the Closing Date, no Collateral having a value in excess of $1,000,000 shall be stored at any real property or warehouse space leased by any Loan Party under arrangements established after the Closing Date (excluding the renewal of existing arrangement, which may include changes in the lease terms), without the prior written consent of the Administrative Agent or unless and until a reasonably satisfactory landlord agreement or bailee letter, as appropriate, shall first have been obtained with respect to such location. Each Loan Party shall pay and perform its material obligations under all leases and other agreements with respect to each leased location or public warehouse where any Collateral is or may be located.</w:t>
      </w:r>
    </w:p>
    <w:p>
      <w:pPr>
        <w:pStyle w:val="TextBody"/>
        <w:spacing w:lineRule="auto" w:line="288" w:before="0" w:after="180"/>
        <w:ind w:left="0" w:right="0" w:firstLine="720"/>
        <w:jc w:val="both"/>
        <w:rPr/>
      </w:pPr>
      <w:r>
        <w:rPr>
          <w:rFonts w:ascii="Times New Roman;sans-serif" w:hAnsi="Times New Roman;sans-serif"/>
          <w:b/>
          <w:color w:val="000000"/>
          <w:sz w:val="22"/>
        </w:rPr>
        <w:t>6.13</w:t>
      </w:r>
      <w:r>
        <w:rPr>
          <w:rFonts w:ascii="Times New Roman;sans-serif" w:hAnsi="Times New Roman;sans-serif"/>
          <w:b/>
          <w:color w:val="000000"/>
          <w:sz w:val="22"/>
        </w:rPr>
        <w:t>[Reserved]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6.14</w:t>
      </w:r>
      <w:r>
        <w:rPr>
          <w:rFonts w:ascii="Times New Roman;sans-serif" w:hAnsi="Times New Roman;sans-serif"/>
          <w:b/>
          <w:color w:val="000000"/>
          <w:sz w:val="22"/>
        </w:rPr>
        <w:t>Use of Proceeds</w:t>
      </w:r>
      <w:r>
        <w:rPr>
          <w:rFonts w:ascii="Times New Roman;sans-serif" w:hAnsi="Times New Roman;sans-serif"/>
          <w:b w:val="false"/>
          <w:color w:val="000000"/>
          <w:sz w:val="22"/>
        </w:rPr>
        <w:t xml:space="preserve">. Use the proceeds of each credit extension only for the purposes specified in </w:t>
      </w:r>
      <w:r>
        <w:rPr>
          <w:rFonts w:ascii="Times New Roman;sans-serif" w:hAnsi="Times New Roman;sans-serif"/>
          <w:b w:val="false"/>
          <w:color w:val="000000"/>
          <w:sz w:val="22"/>
          <w:u w:val="single"/>
        </w:rPr>
        <w:t>Section 4.16</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6.15</w:t>
      </w:r>
      <w:r>
        <w:rPr>
          <w:rFonts w:ascii="Times New Roman;sans-serif" w:hAnsi="Times New Roman;sans-serif"/>
          <w:b/>
          <w:color w:val="000000"/>
          <w:sz w:val="22"/>
        </w:rPr>
        <w:t>Designated Senior Indebtedness</w:t>
      </w:r>
      <w:r>
        <w:rPr>
          <w:rFonts w:ascii="Times New Roman;sans-serif" w:hAnsi="Times New Roman;sans-serif"/>
          <w:b w:val="false"/>
          <w:color w:val="000000"/>
          <w:sz w:val="22"/>
        </w:rPr>
        <w:t xml:space="preserve">. Cause the Loan Documents and all of the Obligations (other than any such Obligations arising in connection with Cash Management Services) to be deemed </w:t>
      </w:r>
      <w:r>
        <w:br w:type="page"/>
      </w:r>
    </w:p>
    <w:p>
      <w:pPr>
        <w:pStyle w:val="TextBody"/>
        <w:spacing w:before="0" w:after="0"/>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60655"/>
                <wp:effectExtent l="0" t="0" r="0" b="0"/>
                <wp:wrapNone/>
                <wp:docPr id="345" name="Frame3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v:rect>
            </w:pict>
          </mc:Fallback>
        </mc:AlternateContent>
      </w:r>
    </w:p>
    <w:p>
      <w:pPr>
        <w:pStyle w:val="TextBody"/>
        <w:spacing w:lineRule="auto" w:line="288" w:before="0" w:after="180"/>
        <w:jc w:val="both"/>
        <w:rPr>
          <w:color w:val="000000"/>
        </w:rPr>
      </w:pPr>
      <w:r>
        <w:rPr>
          <w:color w:val="000000"/>
        </w:rPr>
        <w:t>“</w:t>
      </w:r>
      <w:r>
        <w:rPr>
          <w:rFonts w:ascii="Times New Roman;sans-serif" w:hAnsi="Times New Roman;sans-serif"/>
          <w:b w:val="false"/>
          <w:color w:val="000000"/>
          <w:sz w:val="22"/>
        </w:rPr>
        <w:t>Designated Senior Indebtedness” or a similar concept thereto, if applicable, for purposes of any Indebtedness of the Loan Parties.</w:t>
      </w:r>
    </w:p>
    <w:p>
      <w:pPr>
        <w:pStyle w:val="TextBody"/>
        <w:spacing w:lineRule="auto" w:line="288" w:before="0" w:after="180"/>
        <w:ind w:left="0" w:right="0" w:firstLine="720"/>
        <w:jc w:val="both"/>
        <w:rPr/>
      </w:pPr>
      <w:r>
        <w:rPr>
          <w:rFonts w:ascii="Times New Roman;sans-serif" w:hAnsi="Times New Roman;sans-serif"/>
          <w:b/>
          <w:color w:val="000000"/>
          <w:sz w:val="22"/>
        </w:rPr>
        <w:t>6.16</w:t>
      </w:r>
      <w:r>
        <w:rPr>
          <w:rFonts w:ascii="Times New Roman;sans-serif" w:hAnsi="Times New Roman;sans-serif"/>
          <w:b/>
          <w:color w:val="000000"/>
          <w:sz w:val="22"/>
        </w:rPr>
        <w:t>Anti-Corruption Laws</w:t>
      </w:r>
      <w:r>
        <w:rPr>
          <w:rFonts w:ascii="Times New Roman;sans-serif" w:hAnsi="Times New Roman;sans-serif"/>
          <w:b w:val="false"/>
          <w:color w:val="000000"/>
          <w:sz w:val="22"/>
        </w:rPr>
        <w:t>. Conduct its business in compliance with all applicable Sanctions and anti-corruption laws and maintain policies and procedures designed to promote and achieve compliance with such laws.</w:t>
      </w:r>
    </w:p>
    <w:p>
      <w:pPr>
        <w:pStyle w:val="TextBody"/>
        <w:spacing w:lineRule="auto" w:line="288" w:before="0" w:after="180"/>
        <w:ind w:left="0" w:right="0" w:firstLine="720"/>
        <w:jc w:val="both"/>
        <w:rPr/>
      </w:pPr>
      <w:r>
        <w:rPr>
          <w:rFonts w:ascii="Times New Roman;sans-serif" w:hAnsi="Times New Roman;sans-serif"/>
          <w:b/>
          <w:color w:val="000000"/>
          <w:sz w:val="22"/>
        </w:rPr>
        <w:t>6.17</w:t>
      </w:r>
      <w:r>
        <w:rPr>
          <w:rFonts w:ascii="Times New Roman;sans-serif" w:hAnsi="Times New Roman;sans-serif"/>
          <w:b/>
          <w:color w:val="000000"/>
          <w:sz w:val="22"/>
        </w:rPr>
        <w:t>Further Assurances</w:t>
      </w:r>
      <w:r>
        <w:rPr>
          <w:rFonts w:ascii="Times New Roman;sans-serif" w:hAnsi="Times New Roman;sans-serif"/>
          <w:b w:val="false"/>
          <w:color w:val="000000"/>
          <w:sz w:val="22"/>
        </w:rPr>
        <w:t>. Execute any further instruments and take such further action as the Administrative Agent reasonably deems necessary to perfect, protect, ensure the priority of or continue the Administrative Agent’s Lien on the Collateral or to effect the purposes of this Agreement.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7</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NEGATIVE COVENANTS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hereby agrees that, at all times prior to the Discharge of Obligations, the Borrower shall not, nor shall it permit any of its Subsidiaries to, directly or indirectly:</w:t>
      </w:r>
    </w:p>
    <w:p>
      <w:pPr>
        <w:pStyle w:val="TextBody"/>
        <w:spacing w:lineRule="auto" w:line="288" w:before="0" w:after="180"/>
        <w:ind w:left="0" w:right="0" w:firstLine="720"/>
        <w:jc w:val="both"/>
        <w:rPr/>
      </w:pPr>
      <w:r>
        <w:rPr>
          <w:rFonts w:ascii="Times New Roman;sans-serif" w:hAnsi="Times New Roman;sans-serif"/>
          <w:b/>
          <w:color w:val="000000"/>
          <w:sz w:val="22"/>
        </w:rPr>
        <w:t>7.1</w:t>
      </w:r>
      <w:r>
        <w:rPr>
          <w:rFonts w:ascii="Times New Roman;sans-serif" w:hAnsi="Times New Roman;sans-serif"/>
          <w:b/>
          <w:color w:val="000000"/>
          <w:sz w:val="22"/>
        </w:rPr>
        <w:t>Financial Condition Covenants.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Annualized Recurring Revenue</w:t>
      </w:r>
      <w:r>
        <w:rPr>
          <w:rFonts w:ascii="Times New Roman;sans-serif" w:hAnsi="Times New Roman;sans-serif"/>
          <w:b w:val="false"/>
          <w:color w:val="000000"/>
          <w:sz w:val="22"/>
        </w:rPr>
        <w:t>. Permit the Annualized Recurring Revenue, as calculated at the last day of each fiscal quarter, to be less than the amount set forth below opposite such fiscal quarter:</w:t>
      </w:r>
    </w:p>
    <w:tbl>
      <w:tblPr>
        <w:tblW w:w="4365" w:type="dxa"/>
        <w:jc w:val="center"/>
        <w:tblInd w:w="0" w:type="dxa"/>
        <w:tblCellMar>
          <w:top w:w="28" w:type="dxa"/>
          <w:left w:w="28" w:type="dxa"/>
          <w:bottom w:w="28" w:type="dxa"/>
          <w:right w:w="28" w:type="dxa"/>
        </w:tblCellMar>
      </w:tblPr>
      <w:tblGrid>
        <w:gridCol w:w="782"/>
        <w:gridCol w:w="688"/>
        <w:gridCol w:w="690"/>
        <w:gridCol w:w="645"/>
        <w:gridCol w:w="645"/>
        <w:gridCol w:w="915"/>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Fiscal Quarter Ending</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7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Minimum Annualized</w:t>
            </w:r>
          </w:p>
          <w:p>
            <w:pPr>
              <w:pStyle w:val="TableContents"/>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Recurring Revenue</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2020</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$98,000,000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31, 2021</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$102,500,000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June 30, 2021</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$106,000,000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September 30, 2021</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$111,000,000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2021</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$118,000,000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31, 2022</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$124,000,000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June 30, 2022</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$128,000,000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September 30, 2022</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$134,000,000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2022</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$140,000,000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March 31, 2023</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June 30, 2023</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September 30, 2023</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$170,000,000</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2023</w:t>
            </w:r>
          </w:p>
        </w:tc>
        <w:tc>
          <w:tcPr>
            <w:tcW w:w="2205" w:type="dxa"/>
            <w:gridSpan w:val="3"/>
            <w:tcBorders/>
            <w:shd w:fill="auto" w:val="clear"/>
            <w:tcMar>
              <w:top w:w="0" w:type="dxa"/>
              <w:left w:w="0" w:type="dxa"/>
              <w:bottom w:w="0" w:type="dxa"/>
              <w:right w:w="0" w:type="dxa"/>
            </w:tcMar>
            <w:vAlign w:val="center"/>
          </w:tcPr>
          <w:p>
            <w:pPr>
              <w:pStyle w:val="TableContents"/>
              <w:spacing w:lineRule="auto" w:line="288" w:before="27"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$190,000,000</w:t>
            </w:r>
          </w:p>
        </w:tc>
      </w:tr>
    </w:tbl>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Minimum Liquidity</w:t>
      </w:r>
      <w:r>
        <w:rPr>
          <w:rFonts w:ascii="Times New Roman;sans-serif" w:hAnsi="Times New Roman;sans-serif"/>
          <w:b w:val="false"/>
          <w:color w:val="000000"/>
          <w:sz w:val="22"/>
        </w:rPr>
        <w:t>. Permit Liquidity at any time, reported as of the last day of any calendar month, to be less than $10,000,000.</w:t>
      </w:r>
    </w:p>
    <w:p>
      <w:pPr>
        <w:pStyle w:val="TextBody"/>
        <w:spacing w:lineRule="auto" w:line="288" w:before="0" w:after="180"/>
        <w:ind w:left="0" w:right="0" w:firstLine="720"/>
        <w:jc w:val="both"/>
        <w:rPr/>
      </w:pPr>
      <w:r>
        <w:rPr>
          <w:rFonts w:ascii="Times New Roman;sans-serif" w:hAnsi="Times New Roman;sans-serif"/>
          <w:b/>
          <w:color w:val="000000"/>
          <w:sz w:val="22"/>
        </w:rPr>
        <w:t>7.2</w:t>
      </w:r>
      <w:r>
        <w:rPr>
          <w:rFonts w:ascii="Times New Roman;sans-serif" w:hAnsi="Times New Roman;sans-serif"/>
          <w:b/>
          <w:color w:val="000000"/>
          <w:sz w:val="22"/>
        </w:rPr>
        <w:t>Indebtedness</w:t>
      </w:r>
      <w:r>
        <w:rPr>
          <w:rFonts w:ascii="Times New Roman;sans-serif" w:hAnsi="Times New Roman;sans-serif"/>
          <w:b w:val="false"/>
          <w:color w:val="000000"/>
          <w:sz w:val="22"/>
        </w:rPr>
        <w:t>. Create, issue, incur, assume, become liable in respect of or suffer to exist any Indebtedness, except: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Indebtedness of any Loan Party pursuant to any Loan Document and under any Cash Management Agreement;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w:t>
      </w:r>
      <w:r>
        <w:br w:type="page"/>
      </w:r>
    </w:p>
    <w:p>
      <w:pPr>
        <w:pStyle w:val="TextBody"/>
        <w:spacing w:before="0" w:after="0"/>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60655"/>
                <wp:effectExtent l="0" t="0" r="0" b="0"/>
                <wp:wrapNone/>
                <wp:docPr id="346" name="Frame3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permitted by </w:t>
      </w:r>
      <w:r>
        <w:rPr>
          <w:rFonts w:ascii="Times New Roman;sans-serif" w:hAnsi="Times New Roman;sans-serif"/>
          <w:b w:val="false"/>
          <w:color w:val="000000"/>
          <w:sz w:val="22"/>
          <w:u w:val="single"/>
        </w:rPr>
        <w:t>Section 7.8(e)(iii)</w:t>
      </w:r>
      <w:r>
        <w:rPr>
          <w:rFonts w:ascii="Times New Roman;sans-serif" w:hAnsi="Times New Roman;sans-serif"/>
          <w:b w:val="false"/>
          <w:color w:val="000000"/>
          <w:sz w:val="22"/>
        </w:rPr>
        <w:t>; provided, that, such Indebtedness owing from any Group Member (which is not a Loan Party)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sans-serif" w:hAnsi="Times New Roman;sans-serif"/>
          <w:b w:val="false"/>
          <w:color w:val="000000"/>
          <w:sz w:val="22"/>
          <w:u w:val="single"/>
        </w:rPr>
        <w:t>Section 7.8(e)(iii)</w:t>
      </w:r>
      <w:r>
        <w:rPr>
          <w:rFonts w:ascii="Times New Roman;sans-serif" w:hAnsi="Times New Roman;sans-serif"/>
          <w:b w:val="false"/>
          <w:color w:val="000000"/>
          <w:sz w:val="22"/>
        </w:rPr>
        <w:t>; provided that, in any case of clauses (i), (ii), (iii) or (iv), the underlying Indebtedness so guaranteed is otherwise permitted by the terms hereof;</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Indebtedness outstanding on the date hereof and listed on </w:t>
      </w:r>
      <w:r>
        <w:rPr>
          <w:rFonts w:ascii="Times New Roman;sans-serif" w:hAnsi="Times New Roman;sans-serif"/>
          <w:b w:val="false"/>
          <w:color w:val="000000"/>
          <w:sz w:val="22"/>
          <w:u w:val="single"/>
        </w:rPr>
        <w:t>Schedule 7.2(d)</w:t>
      </w:r>
      <w:r>
        <w:rPr>
          <w:color w:val="000000"/>
        </w:rPr>
        <w:t xml:space="preserve"> </w:t>
      </w:r>
      <w:r>
        <w:rPr>
          <w:rFonts w:ascii="Times New Roman;sans-serif" w:hAnsi="Times New Roman;sans-serif"/>
          <w:b w:val="false"/>
          <w:color w:val="000000"/>
          <w:sz w:val="22"/>
        </w:rPr>
        <w:t>and any refinancings, refundings, renewals or extensions thereof (which do not shorten the maturity thereof or increase the principal amount thereof);</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Indebtedness (including, without limitation, Capital Lease Obligations and purchase money financing) secured by Liens permitted by </w:t>
      </w:r>
      <w:r>
        <w:rPr>
          <w:rFonts w:ascii="Times New Roman;sans-serif" w:hAnsi="Times New Roman;sans-serif"/>
          <w:b w:val="false"/>
          <w:color w:val="000000"/>
          <w:sz w:val="22"/>
          <w:u w:val="single"/>
        </w:rPr>
        <w:t>Section 7.3(g)</w:t>
      </w:r>
      <w:r>
        <w:rPr>
          <w:color w:val="000000"/>
        </w:rPr>
        <w:t xml:space="preserve"> </w:t>
      </w:r>
      <w:r>
        <w:rPr>
          <w:rFonts w:ascii="Times New Roman;sans-serif" w:hAnsi="Times New Roman;sans-serif"/>
          <w:b w:val="false"/>
          <w:color w:val="000000"/>
          <w:sz w:val="22"/>
        </w:rPr>
        <w:t>in an aggregate principal amount not to exceed $5,000,000 at any one time outstanding and any refinancings, refundings, renewals or extensions thereof (which do not shorten the maturity thereof or increase the principal amount thereof except by an amount equal to a reasonable premium and other fees and expenses reasonably incurred in connection therewith);</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Surety Indebtedness and any other Indebtedness in respect of letters of credit, banker’s acceptances, bank guarantees or similar arrangements,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any such Indebtedness outstanding at any time shall not exceed $1,000,000;</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Subordinated Indebtedness;</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Indebtedness of the Group Members not otherwise permitted by this Section in an aggregate principal amount, for all such Indebtedness taken together, not to exceed $1,000,000 at any one time outstanding;</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obligations (contingent or otherwise) of the Group Members existing or arising under any Specified Swap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obligations are (or were) entered into by such Person in accordance with </w:t>
      </w:r>
      <w:r>
        <w:rPr>
          <w:rFonts w:ascii="Times New Roman;sans-serif" w:hAnsi="Times New Roman;sans-serif"/>
          <w:b w:val="false"/>
          <w:color w:val="000000"/>
          <w:sz w:val="22"/>
          <w:u w:val="single"/>
        </w:rPr>
        <w:t>Section 7.13</w:t>
      </w:r>
      <w:r>
        <w:rPr>
          <w:color w:val="000000"/>
        </w:rPr>
        <w:t xml:space="preserve"> </w:t>
      </w:r>
      <w:r>
        <w:rPr>
          <w:rFonts w:ascii="Times New Roman;sans-serif" w:hAnsi="Times New Roman;sans-serif"/>
          <w:b w:val="false"/>
          <w:color w:val="000000"/>
          <w:sz w:val="22"/>
        </w:rPr>
        <w:t>and not for purposes of speculation;</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Indebtedness of a Person (other than the Borrower or a Subsidiary) existing at the time such Person is merged with or into a Borrower or a Subsidiary or becomes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and any of its Subsidiaries are the only obligors in respect of such Indebtedness, and (B) to the extent such Indebtedness is permitted to be secured hereunder, only the assets of such Subsidiary and any of its Subsidiaries secure such Indebtedness, and (iv) the aggregate principal amount of such Indebtedness shall not exceed $2,000,000 at any time outstanding;</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Indebtedness in the form of purchase price adjustments, earn outs, deferred compensation, or other arrangements representing acquisition consideration or deferred payments of a similar nature incurred in connection with Investments permitted by </w:t>
      </w:r>
      <w:r>
        <w:rPr>
          <w:rFonts w:ascii="Times New Roman;sans-serif" w:hAnsi="Times New Roman;sans-serif"/>
          <w:b w:val="false"/>
          <w:color w:val="000000"/>
          <w:sz w:val="22"/>
          <w:u w:val="single"/>
        </w:rPr>
        <w:t>Section 7.8</w:t>
      </w:r>
      <w:r>
        <w:rPr>
          <w:rFonts w:ascii="Times New Roman;sans-serif" w:hAnsi="Times New Roman;sans-serif"/>
          <w:b w:val="false"/>
          <w:color w:val="000000"/>
          <w:sz w:val="22"/>
        </w:rPr>
        <w:t xml:space="preserve">; provided that the amount </w:t>
      </w:r>
      <w:r>
        <w:br w:type="page"/>
      </w:r>
    </w:p>
    <w:p>
      <w:pPr>
        <w:pStyle w:val="TextBody"/>
        <w:spacing w:before="0" w:after="0"/>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60655"/>
                <wp:effectExtent l="0" t="0" r="0" b="0"/>
                <wp:wrapNone/>
                <wp:docPr id="347" name="Frame3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of such obligation shall be deemed part of the cost of such Investment (the amount of which shall be deemed to be the amount required to be accrued as a liability in accordance with GAAP or the amount actually paid);</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Indebtedness incurred as a result of endorsing negotiable instruments received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Indebtedness consisting of the financing of insurance premiums;</w:t>
      </w:r>
    </w:p>
    <w:p>
      <w:pPr>
        <w:pStyle w:val="TextBody"/>
        <w:spacing w:lineRule="auto" w:line="288" w:before="0" w:after="18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Indebtedness incurred with corporate credit cards, in the aggregate amount not to exceed $1,000,000 at any one time outstanding; and</w:t>
      </w:r>
    </w:p>
    <w:p>
      <w:pPr>
        <w:pStyle w:val="TextBody"/>
        <w:spacing w:lineRule="auto" w:line="288" w:before="0" w:after="18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unsecured Indebtedness of the Group Members to trade creditors in the ordinary course of business, to the extent consisting of accounts payable that are no more than one hundred and twenty (120) days past due (other than accounts payable disputed in good faith by any Group Member); and</w:t>
      </w:r>
    </w:p>
    <w:p>
      <w:pPr>
        <w:pStyle w:val="TextBody"/>
        <w:spacing w:lineRule="auto" w:line="288" w:before="0" w:after="18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to the extent constituting Indebtedness, transfer pricing, cost plus or similar arrangements between any Loan Party and any other Group Member on arm’s length terms and in the ordinary course of business.</w:t>
      </w:r>
    </w:p>
    <w:p>
      <w:pPr>
        <w:pStyle w:val="TextBody"/>
        <w:spacing w:lineRule="auto" w:line="288" w:before="0" w:after="180"/>
        <w:ind w:left="0" w:right="0" w:firstLine="720"/>
        <w:jc w:val="both"/>
        <w:rPr/>
      </w:pPr>
      <w:r>
        <w:rPr>
          <w:rFonts w:ascii="Times New Roman;sans-serif" w:hAnsi="Times New Roman;sans-serif"/>
          <w:b/>
          <w:color w:val="000000"/>
          <w:sz w:val="22"/>
        </w:rPr>
        <w:t>7.3</w:t>
      </w:r>
      <w:r>
        <w:rPr>
          <w:rFonts w:ascii="Times New Roman;sans-serif" w:hAnsi="Times New Roman;sans-serif"/>
          <w:b/>
          <w:color w:val="000000"/>
          <w:sz w:val="22"/>
        </w:rPr>
        <w:t>Liens</w:t>
      </w:r>
      <w:r>
        <w:rPr>
          <w:rFonts w:ascii="Times New Roman;sans-serif" w:hAnsi="Times New Roman;sans-serif"/>
          <w:b w:val="false"/>
          <w:color w:val="000000"/>
          <w:sz w:val="22"/>
        </w:rPr>
        <w:t>. Create, incur, assume or suffer to exist any Lien upon any of its property, whether now owned or hereafter acquired, except: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Liens for Taxes not yet due or that are being contested in good faith by appropriate proceedings;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adequate reserves with respect thereto are maintained on the books of the applicable Group Member in conformity with GAAP;</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carriers’, warehousemen’s, landlord’s, mechanics’, materialmen’s, repairmen’s or other like Liens arising in the ordinary course of business that are not overdue for a period of more than 30 days or that are being contested in good faith by appropriate proceedings;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pledges or deposits in connection with workers’ compensation, unemployment insurance and other social security legislation;</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 or deposits made in connection with Permitted Acquisitions;</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Liens in existence on the date hereof listed on </w:t>
      </w:r>
      <w:r>
        <w:rPr>
          <w:rFonts w:ascii="Times New Roman;sans-serif" w:hAnsi="Times New Roman;sans-serif"/>
          <w:b w:val="false"/>
          <w:color w:val="000000"/>
          <w:sz w:val="22"/>
          <w:u w:val="single"/>
        </w:rPr>
        <w:t>Schedule 7.3(f)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sans-serif" w:hAnsi="Times New Roman;sans-serif"/>
          <w:b w:val="false"/>
          <w:color w:val="000000"/>
          <w:sz w:val="22"/>
          <w:u w:val="single"/>
        </w:rPr>
        <w:t>Section 7.2(d)</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Liens securing Indebtedness incurred pursuant to </w:t>
      </w:r>
      <w:r>
        <w:rPr>
          <w:rFonts w:ascii="Times New Roman;sans-serif" w:hAnsi="Times New Roman;sans-serif"/>
          <w:b w:val="false"/>
          <w:color w:val="000000"/>
          <w:sz w:val="22"/>
          <w:u w:val="single"/>
        </w:rPr>
        <w:t>Section 7.2(e)</w:t>
      </w:r>
      <w:r>
        <w:rPr>
          <w:color w:val="000000"/>
        </w:rPr>
        <w:t xml:space="preserve"> </w:t>
      </w:r>
      <w:r>
        <w:rPr>
          <w:rFonts w:ascii="Times New Roman;sans-serif" w:hAnsi="Times New Roman;sans-serif"/>
          <w:b w:val="false"/>
          <w:color w:val="000000"/>
          <w:sz w:val="22"/>
        </w:rPr>
        <w:t xml:space="preserve">to finance the acquisition of fixed or capital assets;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Liens shall be created substantially </w:t>
      </w:r>
      <w:r>
        <w:br w:type="page"/>
      </w:r>
    </w:p>
    <w:p>
      <w:pPr>
        <w:pStyle w:val="TextBody"/>
        <w:spacing w:before="0" w:after="0"/>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60655"/>
                <wp:effectExtent l="0" t="0" r="0" b="0"/>
                <wp:wrapNone/>
                <wp:docPr id="348" name="Frame3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simultaneously with, or within 90 days after, the acquisition of such fixed or capital assets, (ii) such Liens do not at any time encumber any property other than the property financed by such Indebtedness, and (iii) the amount of Indebtedness secured thereby is not increased;</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Liens created pursuant to the Security Documents;</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(x) any interest or title of a lessor or licensor under any lease or license entered into by a Group Member in the ordinary course of its business and covering only the assets so leased or licensed, (y) leases, licenses, subleases and sublicenses of real or personal property granted to others in the ordinary course of business, and (z) non-exclusive licenses of Intellectual Property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Liens arising from attachments or judgments, orders or decrees that do not constitute a Default or an Event of Default under </w:t>
      </w:r>
      <w:r>
        <w:rPr>
          <w:rFonts w:ascii="Times New Roman;sans-serif" w:hAnsi="Times New Roman;sans-serif"/>
          <w:b w:val="false"/>
          <w:color w:val="000000"/>
          <w:sz w:val="22"/>
          <w:u w:val="single"/>
        </w:rPr>
        <w:t>Section 8.1(h)</w:t>
      </w:r>
      <w:r>
        <w:rPr>
          <w:color w:val="000000"/>
        </w:rPr>
        <w:t xml:space="preserve"> </w:t>
      </w:r>
      <w:r>
        <w:rPr>
          <w:rFonts w:ascii="Times New Roman;sans-serif" w:hAnsi="Times New Roman;sans-serif"/>
          <w:b w:val="false"/>
          <w:color w:val="000000"/>
          <w:sz w:val="22"/>
        </w:rPr>
        <w:t xml:space="preserve">of this Agreement and notices of </w:t>
      </w:r>
      <w:r>
        <w:rPr>
          <w:rFonts w:ascii="Times New Roman;sans-serif" w:hAnsi="Times New Roman;sans-serif"/>
          <w:b w:val="false"/>
          <w:i/>
          <w:color w:val="000000"/>
          <w:sz w:val="22"/>
        </w:rPr>
        <w:t xml:space="preserve">lis pendens </w:t>
      </w:r>
      <w:r>
        <w:rPr>
          <w:rFonts w:ascii="Times New Roman;sans-serif" w:hAnsi="Times New Roman;sans-serif"/>
          <w:b w:val="false"/>
          <w:color w:val="000000"/>
          <w:sz w:val="22"/>
        </w:rPr>
        <w:t>and associated rights related to litigation being contested in good faith by appropriate proceedings and for which adequate reserves have been made;</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(i) cash deposits and liens on cash and Cash Equivalents pledged to secure Indebtedness permitted under </w:t>
      </w:r>
      <w:r>
        <w:rPr>
          <w:rFonts w:ascii="Times New Roman;sans-serif" w:hAnsi="Times New Roman;sans-serif"/>
          <w:b w:val="false"/>
          <w:color w:val="000000"/>
          <w:sz w:val="22"/>
          <w:u w:val="single"/>
        </w:rPr>
        <w:t>Section 7.2(f)</w:t>
      </w:r>
      <w:r>
        <w:rPr>
          <w:rFonts w:ascii="Times New Roman;sans-serif" w:hAnsi="Times New Roman;sans-serif"/>
          <w:b w:val="false"/>
          <w:color w:val="000000"/>
          <w:sz w:val="22"/>
        </w:rPr>
        <w:t xml:space="preserve">, (ii) Liens securing reimbursement obligations with respect to letters of credit permitted by </w:t>
      </w:r>
      <w:r>
        <w:rPr>
          <w:rFonts w:ascii="Times New Roman;sans-serif" w:hAnsi="Times New Roman;sans-serif"/>
          <w:b w:val="false"/>
          <w:color w:val="000000"/>
          <w:sz w:val="22"/>
          <w:u w:val="single"/>
        </w:rPr>
        <w:t>Section 7.2(f)</w:t>
      </w:r>
      <w:r>
        <w:rPr>
          <w:color w:val="000000"/>
        </w:rPr>
        <w:t xml:space="preserve"> </w:t>
      </w:r>
      <w:r>
        <w:rPr>
          <w:rFonts w:ascii="Times New Roman;sans-serif" w:hAnsi="Times New Roman;sans-serif"/>
          <w:b w:val="false"/>
          <w:color w:val="000000"/>
          <w:sz w:val="22"/>
        </w:rPr>
        <w:t xml:space="preserve">that encumber documents and other property relating to such letters of credit, and (iii) Liens securing Obligations under any Specified Swap Agreements permitted by </w:t>
      </w:r>
      <w:r>
        <w:rPr>
          <w:rFonts w:ascii="Times New Roman;sans-serif" w:hAnsi="Times New Roman;sans-serif"/>
          <w:b w:val="false"/>
          <w:color w:val="000000"/>
          <w:sz w:val="22"/>
          <w:u w:val="single"/>
        </w:rPr>
        <w:t>Section 7.2(i)</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Liens on property of a Person existing at the time such Person is acquired by, merged into or consolidated with a Group Member or becomes a Subsidiary of a Group Member or acquired by a Group Member;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Liens were not created in contemplation of such acquisition, merger, consolidation or Investment, (ii) such Liens do not extend to any assets other than those of such Person and its Subsidiaries, and (iii) the applicable Indebtedness secured by such Lien is permitted under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pStyle w:val="TextBody"/>
        <w:spacing w:lineRule="auto" w:line="288" w:before="0" w:after="18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Liens on insurance proceeds in favor of insurance companies granted solely to secure financed insurance premiums;</w:t>
      </w:r>
    </w:p>
    <w:p>
      <w:pPr>
        <w:pStyle w:val="TextBody"/>
        <w:spacing w:lineRule="auto" w:line="288" w:before="0" w:after="18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Liens in favor of custom and revenue authorities arising as a matter of law to secure the payment of custom duties in connection with the importation of goods;</w:t>
      </w:r>
    </w:p>
    <w:p>
      <w:pPr>
        <w:pStyle w:val="TextBody"/>
        <w:spacing w:lineRule="auto" w:line="288" w:before="0" w:after="18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Liens on any earnest money deposits required in connection with a Permitted Acquisition or consisting of earnest money deposits required in connection with an acquisition of property not otherwise prohibited hereunder;</w:t>
      </w:r>
      <w:r>
        <w:br w:type="page"/>
      </w:r>
    </w:p>
    <w:p>
      <w:pPr>
        <w:pStyle w:val="TextBody"/>
        <w:spacing w:before="0" w:after="0"/>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60655"/>
                <wp:effectExtent l="0" t="0" r="0" b="0"/>
                <wp:wrapNone/>
                <wp:docPr id="349" name="Frame3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other Liens not otherwise permitted by this Section securing obligations in an outstanding amount not to exceed $1,000,000 at any one time;</w:t>
      </w:r>
    </w:p>
    <w:p>
      <w:pPr>
        <w:pStyle w:val="TextBody"/>
        <w:spacing w:lineRule="auto" w:line="288" w:before="0" w:after="180"/>
        <w:ind w:left="0" w:right="0" w:firstLine="144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Liens securing Subordinated Indebtedness;</w:t>
      </w:r>
    </w:p>
    <w:p>
      <w:pPr>
        <w:pStyle w:val="TextBody"/>
        <w:spacing w:lineRule="auto" w:line="288" w:before="0" w:after="180"/>
        <w:ind w:left="0" w:right="0" w:firstLine="1440"/>
        <w:jc w:val="both"/>
        <w:rPr/>
      </w:pPr>
      <w:r>
        <w:rPr>
          <w:rFonts w:ascii="Times New Roman;sans-serif" w:hAnsi="Times New Roman;sans-serif"/>
          <w:b w:val="false"/>
          <w:color w:val="000000"/>
          <w:sz w:val="22"/>
        </w:rPr>
        <w:t>(t)</w:t>
      </w:r>
      <w:r>
        <w:rPr>
          <w:rFonts w:ascii="Times New Roman;sans-serif" w:hAnsi="Times New Roman;sans-serif"/>
          <w:b w:val="false"/>
          <w:color w:val="000000"/>
          <w:sz w:val="22"/>
        </w:rPr>
        <w:t xml:space="preserve">Liens securing Indebtedness incurred pursuant to </w:t>
      </w:r>
      <w:r>
        <w:rPr>
          <w:rFonts w:ascii="Times New Roman;sans-serif" w:hAnsi="Times New Roman;sans-serif"/>
          <w:b w:val="false"/>
          <w:color w:val="000000"/>
          <w:sz w:val="22"/>
          <w:u w:val="single"/>
        </w:rPr>
        <w:t>Section 7.2(n);</w:t>
      </w:r>
    </w:p>
    <w:p>
      <w:pPr>
        <w:pStyle w:val="TextBody"/>
        <w:spacing w:lineRule="auto" w:line="288" w:before="0" w:after="180"/>
        <w:ind w:left="0" w:right="0" w:firstLine="1440"/>
        <w:jc w:val="both"/>
        <w:rPr/>
      </w:pPr>
      <w:r>
        <w:rPr>
          <w:rFonts w:ascii="Times New Roman;sans-serif" w:hAnsi="Times New Roman;sans-serif"/>
          <w:b w:val="false"/>
          <w:color w:val="000000"/>
          <w:sz w:val="22"/>
        </w:rPr>
        <w:t>(u)</w:t>
      </w:r>
      <w:r>
        <w:rPr>
          <w:rFonts w:ascii="Times New Roman;sans-serif" w:hAnsi="Times New Roman;sans-serif"/>
          <w:b w:val="false"/>
          <w:color w:val="000000"/>
          <w:sz w:val="22"/>
        </w:rPr>
        <w:t>security given to a public utility or any municipality or Governmental Authority when required by such utility or authority in connection with the operations of that Person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zoning by-laws and other activity and land use restrictions, including, without limitation, site plan agreements, development agreements, contract zoning agreements and limitations imposed under Environmental Law to secure remedial obligations; and</w:t>
      </w:r>
    </w:p>
    <w:p>
      <w:pPr>
        <w:pStyle w:val="TextBody"/>
        <w:spacing w:lineRule="auto" w:line="288" w:before="0" w:after="180"/>
        <w:ind w:left="0" w:right="0" w:firstLine="1440"/>
        <w:jc w:val="both"/>
        <w:rPr/>
      </w:pPr>
      <w:r>
        <w:rPr>
          <w:rFonts w:ascii="Times New Roman;sans-serif" w:hAnsi="Times New Roman;sans-serif"/>
          <w:b w:val="false"/>
          <w:color w:val="000000"/>
          <w:sz w:val="22"/>
        </w:rPr>
        <w:t>(w)</w:t>
      </w:r>
      <w:r>
        <w:rPr>
          <w:rFonts w:ascii="Times New Roman;sans-serif" w:hAnsi="Times New Roman;sans-serif"/>
          <w:b w:val="false"/>
          <w:color w:val="000000"/>
          <w:sz w:val="22"/>
        </w:rPr>
        <w:t>Liens arising from precautionary UCC financing statement filings (or the equivalent in any jurisdiction other than the United States) regarding leases, sublicenses, licenses or consignments.</w:t>
      </w:r>
    </w:p>
    <w:p>
      <w:pPr>
        <w:pStyle w:val="TextBody"/>
        <w:spacing w:lineRule="auto" w:line="288" w:before="0" w:after="180"/>
        <w:ind w:left="0" w:right="0" w:firstLine="720"/>
        <w:jc w:val="both"/>
        <w:rPr/>
      </w:pPr>
      <w:r>
        <w:rPr>
          <w:rFonts w:ascii="Times New Roman;sans-serif" w:hAnsi="Times New Roman;sans-serif"/>
          <w:b/>
          <w:color w:val="000000"/>
          <w:sz w:val="22"/>
        </w:rPr>
        <w:t>7.4</w:t>
      </w:r>
      <w:r>
        <w:rPr>
          <w:rFonts w:ascii="Times New Roman;sans-serif" w:hAnsi="Times New Roman;sans-serif"/>
          <w:b/>
          <w:color w:val="000000"/>
          <w:sz w:val="22"/>
        </w:rPr>
        <w:t>Fundamental Changes</w:t>
      </w:r>
      <w:r>
        <w:rPr>
          <w:rFonts w:ascii="Times New Roman;sans-serif" w:hAnsi="Times New Roman;sans-serif"/>
          <w:b w:val="false"/>
          <w:color w:val="000000"/>
          <w:sz w:val="22"/>
        </w:rPr>
        <w:t>. Consummate any merger, consolidation or amalgamation, or liquidate, wind up or dissolve itself (or suffer any liquidation or dissolution), or Dispose of all or substantially all of its property or business, except that: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 any Group Member that is not a Loan Party may Dispose of any or all of its assets (including upon voluntary liquidation, dissolution or otherwise) (A) to any other Group Member or (B) pursuant to a Disposition permitted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 xml:space="preserve">; and (ii) any Loan Party (other than the Borrower) may Dispose of any or all of its assets (including upon voluntary liquidation, dissolution or otherwise) (A) to any other Loan Party or (B) pursuant to a Disposition permitted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 Investment expressly permitted by </w:t>
      </w:r>
      <w:r>
        <w:rPr>
          <w:rFonts w:ascii="Times New Roman;sans-serif" w:hAnsi="Times New Roman;sans-serif"/>
          <w:b w:val="false"/>
          <w:color w:val="000000"/>
          <w:sz w:val="22"/>
          <w:u w:val="single"/>
        </w:rPr>
        <w:t>Section 7.8</w:t>
      </w:r>
      <w:r>
        <w:rPr>
          <w:color w:val="000000"/>
        </w:rPr>
        <w:t xml:space="preserve"> </w:t>
      </w:r>
      <w:r>
        <w:rPr>
          <w:rFonts w:ascii="Times New Roman;sans-serif" w:hAnsi="Times New Roman;sans-serif"/>
          <w:b w:val="false"/>
          <w:color w:val="000000"/>
          <w:sz w:val="22"/>
        </w:rPr>
        <w:t>may be structured as a merger, consolidation or amalgamation; and</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any Subsidiary of the Borrower may undertake a Division, so long as each entity resulting from such Division becomes a Loan Party if a Loan Party undertakes such Division.</w:t>
      </w:r>
    </w:p>
    <w:p>
      <w:pPr>
        <w:pStyle w:val="TextBody"/>
        <w:spacing w:lineRule="auto" w:line="288" w:before="0" w:after="180"/>
        <w:ind w:left="0" w:right="0" w:firstLine="720"/>
        <w:jc w:val="both"/>
        <w:rPr/>
      </w:pPr>
      <w:r>
        <w:rPr>
          <w:rFonts w:ascii="Times New Roman;sans-serif" w:hAnsi="Times New Roman;sans-serif"/>
          <w:b/>
          <w:color w:val="000000"/>
          <w:sz w:val="22"/>
        </w:rPr>
        <w:t>7.5</w:t>
      </w:r>
      <w:r>
        <w:rPr>
          <w:rFonts w:ascii="Times New Roman;sans-serif" w:hAnsi="Times New Roman;sans-serif"/>
          <w:b/>
          <w:color w:val="000000"/>
          <w:sz w:val="22"/>
        </w:rPr>
        <w:t>Disposition of Property</w:t>
      </w:r>
      <w:r>
        <w:rPr>
          <w:rFonts w:ascii="Times New Roman;sans-serif" w:hAnsi="Times New Roman;sans-serif"/>
          <w:b w:val="false"/>
          <w:color w:val="000000"/>
          <w:sz w:val="22"/>
        </w:rPr>
        <w:t>. Dispose of any of its property, whether now owned or hereafter acquired, or, in the case of any Subsidiary of the Borrower, issue or sell any shares of such Subsidiary’s Capital Stock to any Person, except: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Dispositions of obsolete or worn out or surplus property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Dispositions of Inventory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Dispositions permitted by </w:t>
      </w:r>
      <w:r>
        <w:rPr>
          <w:rFonts w:ascii="Times New Roman;sans-serif" w:hAnsi="Times New Roman;sans-serif"/>
          <w:b w:val="false"/>
          <w:color w:val="000000"/>
          <w:sz w:val="22"/>
          <w:u w:val="single"/>
        </w:rPr>
        <w:t>Sections 7.4(b)(i)(A)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(b)(ii)(A) and Section 7.4(d)</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60655"/>
                <wp:effectExtent l="0" t="0" r="0" b="0"/>
                <wp:wrapNone/>
                <wp:docPr id="350" name="Frame3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sale or issuance of the Capital Stock of (A) the Borrower in connection with any transaction that does not result in a Change of Control, or (B) any Subsidiary of the Borrower (i) to the Borrower or any other Loan Party, or (ii) in connection with any transaction that does not result in a Change of Control;</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use or transfer of money or Cash Equivalents in a manner that is not prohibited by the terms of this Agreement or the other Loan Documents;</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the non-exclusive licensing of patents, trademarks, copyrights, and other Intellectual Property rights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Disposition of property (i) from any Loan Party to any other Loan Party, (ii) from any Group Member (which is not a Loan Party) to any other Group Member;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each case in which there is a Lien over the relevant property in favor of the Administrative Agent in advance of the Disposition, an equivalent Lien will be granted to the Administrative Agent by the Group Member which acquires the property, and (iii) from a Loan Party to any Subsidiary (which is not a Loan Party) pursuant to an Investment permitted under </w:t>
      </w:r>
      <w:r>
        <w:rPr>
          <w:rFonts w:ascii="Times New Roman;sans-serif" w:hAnsi="Times New Roman;sans-serif"/>
          <w:b w:val="false"/>
          <w:color w:val="000000"/>
          <w:sz w:val="22"/>
          <w:u w:val="single"/>
        </w:rPr>
        <w:t>Section 7.8(e)(iii)</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Dispositions of property subject to a Casualty Event; </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leases or subleases of real property;</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subject, in the case of any UK Accounts, to the terms of the UK Debenture, the sale or discount without recourse of accounts receivable arising in the ordinary course of business in connection with the compromise or collection thereof;</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Restricted Payments permitted by </w:t>
      </w:r>
      <w:r>
        <w:rPr>
          <w:rFonts w:ascii="Times New Roman;sans-serif" w:hAnsi="Times New Roman;sans-serif"/>
          <w:b w:val="false"/>
          <w:color w:val="000000"/>
          <w:sz w:val="22"/>
          <w:u w:val="single"/>
        </w:rPr>
        <w:t>Section 7.6</w:t>
      </w:r>
      <w:r>
        <w:rPr>
          <w:rFonts w:ascii="Times New Roman;sans-serif" w:hAnsi="Times New Roman;sans-serif"/>
          <w:b w:val="false"/>
          <w:color w:val="000000"/>
          <w:sz w:val="22"/>
        </w:rPr>
        <w:t xml:space="preserve">, Investments permitted by </w:t>
      </w:r>
      <w:r>
        <w:rPr>
          <w:rFonts w:ascii="Times New Roman;sans-serif" w:hAnsi="Times New Roman;sans-serif"/>
          <w:b w:val="false"/>
          <w:color w:val="000000"/>
          <w:sz w:val="22"/>
          <w:u w:val="single"/>
        </w:rPr>
        <w:t>Section 7.8</w:t>
      </w:r>
      <w:r>
        <w:rPr>
          <w:color w:val="000000"/>
        </w:rPr>
        <w:t xml:space="preserve"> </w:t>
      </w:r>
      <w:r>
        <w:rPr>
          <w:rFonts w:ascii="Times New Roman;sans-serif" w:hAnsi="Times New Roman;sans-serif"/>
          <w:b w:val="false"/>
          <w:color w:val="000000"/>
          <w:sz w:val="22"/>
        </w:rPr>
        <w:t xml:space="preserve">and Liens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Dispositions of other property (not being shares or securities or intellectual property) listed in </w:t>
      </w:r>
      <w:r>
        <w:rPr>
          <w:rFonts w:ascii="Times New Roman;sans-serif" w:hAnsi="Times New Roman;sans-serif"/>
          <w:b w:val="false"/>
          <w:color w:val="000000"/>
          <w:sz w:val="22"/>
          <w:u w:val="single"/>
        </w:rPr>
        <w:t>Schedule 7.5(m)</w:t>
      </w:r>
      <w:r>
        <w:rPr>
          <w:rFonts w:ascii="Times New Roman;sans-serif" w:hAnsi="Times New Roman;sans-serif"/>
          <w:b w:val="false"/>
          <w:color w:val="000000"/>
          <w:sz w:val="22"/>
        </w:rPr>
        <w:t>; and</w:t>
      </w:r>
    </w:p>
    <w:p>
      <w:pPr>
        <w:pStyle w:val="TextBody"/>
        <w:spacing w:lineRule="auto" w:line="288" w:before="0" w:after="18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Dispositions of other property (not being shares or securities or intellectual property) having a fair market value not to exceed $1,000,000 in the aggregate for any fiscal year of the Group Members,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any such Disposition, no Event of Default shall have occurred and be continuing or would result from such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the Net Cash Proceeds thereof are used to prepay the Term Loans in accordance with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that any Disposition made pursuant to this Section 7.5 (other than Dispositions (x) solely between Loan Parties, (y) 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w:t>
      </w:r>
    </w:p>
    <w:p>
      <w:pPr>
        <w:pStyle w:val="TextBody"/>
        <w:spacing w:lineRule="auto" w:line="288" w:before="0" w:after="180"/>
        <w:ind w:left="0" w:right="0" w:firstLine="720"/>
        <w:jc w:val="both"/>
        <w:rPr/>
      </w:pPr>
      <w:r>
        <w:rPr>
          <w:rFonts w:ascii="Times New Roman;sans-serif" w:hAnsi="Times New Roman;sans-serif"/>
          <w:b/>
          <w:color w:val="000000"/>
          <w:sz w:val="22"/>
        </w:rPr>
        <w:t>7.6</w:t>
      </w:r>
      <w:r>
        <w:rPr>
          <w:rFonts w:ascii="Times New Roman;sans-serif" w:hAnsi="Times New Roman;sans-serif"/>
          <w:b/>
          <w:color w:val="000000"/>
          <w:sz w:val="22"/>
        </w:rPr>
        <w:t>Restricted Payments</w:t>
      </w:r>
      <w:r>
        <w:rPr>
          <w:rFonts w:ascii="Times New Roman;sans-serif" w:hAnsi="Times New Roman;sans-serif"/>
          <w:b w:val="false"/>
          <w:color w:val="000000"/>
          <w:sz w:val="22"/>
        </w:rPr>
        <w:t xml:space="preserve">. Make any payment or prepayment of principal of, premium, if any, or interest on, or redemption, purchase, retirement, defeasance (including in-substance or legal defeasance), sinking fund or similar payment with respect to, any Subordinated Indebtedness, pay any earn-out payment, seller debt or deferred purchase price payments, declare or pay any dividend (other </w:t>
      </w:r>
      <w:r>
        <w:br w:type="page"/>
      </w:r>
    </w:p>
    <w:p>
      <w:pPr>
        <w:pStyle w:val="TextBody"/>
        <w:spacing w:before="0" w:after="0"/>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60655"/>
                <wp:effectExtent l="0" t="0" r="0" b="0"/>
                <wp:wrapNone/>
                <wp:docPr id="351" name="Frame3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than dividends payable solely in Capital Stock (other than 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sans-serif" w:hAnsi="Times New Roman;sans-serif"/>
          <w:b/>
          <w:i/>
          <w:color w:val="000000"/>
          <w:sz w:val="22"/>
        </w:rPr>
        <w:t>Restricted Payments</w:t>
      </w:r>
      <w:r>
        <w:rPr>
          <w:color w:val="000000"/>
        </w:rPr>
        <w:t>”</w:t>
      </w:r>
      <w:r>
        <w:rPr>
          <w:rFonts w:ascii="Times New Roman;sans-serif" w:hAnsi="Times New Roman;sans-serif"/>
          <w:b w:val="false"/>
          <w:color w:val="000000"/>
          <w:sz w:val="22"/>
        </w:rPr>
        <w:t>), except that, so long as no Event of Default shall have occurred and be continuing at the time of any action described below or would result therefrom:</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 Group Member may make Restricted Payments to any Loan Party, and any Group Member that is not a Loan Party may make Restricted Payments to any other Group Member;</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Group Member may (i) purchase common stock or common stock options from present or former officers, service provider or employees of any Group Member upon the death, disability or termination of services or employment of such officer, service provider or employee;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payments made under this clause (i) shall not exceed $500,000 during any fiscal year of the Borrower, and (ii) declare and make dividend payments or other distributions payable solely in Capital Stock (other than Disqualified Stock) of the Borrower;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each Group Member may deliver its common Capital Stock upon conversion of any convertible Indebtedness having been issued by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Indebtedness is otherwise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Group Members may make earn-out payments, payments in respect of seller debt or deferred purchase price payments in connection with a Permitted Acquisition so long as immediately after giving effect to such payment Liquidity shall equal or exceed $15,000,000, and immediately after giving effect to such purchase or other acquisition, the Group Members shall be in compliance with each of the covenants set forth in </w:t>
      </w:r>
      <w:r>
        <w:rPr>
          <w:rFonts w:ascii="Times New Roman;sans-serif" w:hAnsi="Times New Roman;sans-serif"/>
          <w:b w:val="false"/>
          <w:color w:val="000000"/>
          <w:sz w:val="22"/>
          <w:u w:val="single"/>
        </w:rPr>
        <w:t>Section 7.1(a)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based upon financial statements delivered to the Administrative Agent which give pro forma effect to the making of such payment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any such payment obligations constitute Subordinated Indebtedness, such payment must be permitted under </w:t>
      </w:r>
      <w:r>
        <w:rPr>
          <w:rFonts w:ascii="Times New Roman;sans-serif" w:hAnsi="Times New Roman;sans-serif"/>
          <w:b w:val="false"/>
          <w:color w:val="000000"/>
          <w:sz w:val="22"/>
          <w:u w:val="single"/>
        </w:rPr>
        <w:t>Section7.21</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any Group Member may make payments in respect of Subordinated Indebtedness solely to the extent such payment is made in accordance with </w:t>
      </w:r>
      <w:r>
        <w:rPr>
          <w:rFonts w:ascii="Times New Roman;sans-serif" w:hAnsi="Times New Roman;sans-serif"/>
          <w:b w:val="false"/>
          <w:color w:val="000000"/>
          <w:sz w:val="22"/>
          <w:u w:val="single"/>
        </w:rPr>
        <w:t>Section 7.21</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Group Members may make Restricted Payments not otherwise permitted by one of the foregoing clauses of this </w:t>
      </w:r>
      <w:r>
        <w:rPr>
          <w:rFonts w:ascii="Times New Roman;sans-serif" w:hAnsi="Times New Roman;sans-serif"/>
          <w:b w:val="false"/>
          <w:color w:val="000000"/>
          <w:sz w:val="22"/>
          <w:u w:val="single"/>
        </w:rPr>
        <w:t>Section 7.6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all such Restricted Payments made pursuant to this clause (f) shall not exceed $1,000,000 in any fiscal year;</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each Group Member may purchase, redeem or otherwise acquire Capital Stock issued by it with the proceeds received from the substantially concurrent issue of new shares of its Capital Stock (other than Disqualified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issuance is otherwise permitted hereunder (including by </w:t>
      </w:r>
      <w:r>
        <w:rPr>
          <w:rFonts w:ascii="Times New Roman;sans-serif" w:hAnsi="Times New Roman;sans-serif"/>
          <w:b w:val="false"/>
          <w:color w:val="000000"/>
          <w:sz w:val="22"/>
          <w:u w:val="single"/>
        </w:rPr>
        <w:t>Section 7.5(d)</w:t>
      </w:r>
      <w:r>
        <w:rPr>
          <w:rFonts w:ascii="Times New Roman;sans-serif" w:hAnsi="Times New Roman;sans-serif"/>
          <w:b w:val="false"/>
          <w:color w:val="000000"/>
          <w:sz w:val="22"/>
        </w:rPr>
        <w:t>); and</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 and (i) so long as the Borrower or any of its Subsidiaries are members of a consolidated, combined or unitary tax group for U.S. federal, state, local or non-U.S. Tax purposes, the Borrower and its Subsidiaries may declare or make Restricted Payments to or </w:t>
      </w:r>
      <w:r>
        <w:br w:type="page"/>
      </w:r>
    </w:p>
    <w:p>
      <w:pPr>
        <w:pStyle w:val="TextBody"/>
        <w:spacing w:before="0" w:after="0"/>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60655"/>
                <wp:effectExtent l="0" t="0" r="0" b="0"/>
                <wp:wrapNone/>
                <wp:docPr id="352" name="Frame3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for the benefit of the common parent filing a consolidated, combined, unitary or affiliated Tax return at such times and in such amounts as shall be necessary to permit such common parent to discharge its Tax liabilities to the extent attributable to the income of the Borrower and such Subsidiaries; provided, however, that the total amount of such Restricted Payments made pursuant to this clause for any taxable period shall not exceed the amount that the Borrower and its Subsidiaries would be required to pay as a stand-alone Tax group in respect of U.S. Federal, state, local or non-U.S. Taxes for such period.</w:t>
      </w:r>
    </w:p>
    <w:p>
      <w:pPr>
        <w:pStyle w:val="TextBody"/>
        <w:spacing w:lineRule="auto" w:line="288" w:before="0" w:after="180"/>
        <w:ind w:left="0" w:right="0" w:firstLine="720"/>
        <w:jc w:val="both"/>
        <w:rPr/>
      </w:pPr>
      <w:r>
        <w:rPr>
          <w:rFonts w:ascii="Times New Roman;sans-serif" w:hAnsi="Times New Roman;sans-serif"/>
          <w:b/>
          <w:color w:val="000000"/>
          <w:sz w:val="22"/>
        </w:rPr>
        <w:t>7.7</w:t>
      </w:r>
      <w:r>
        <w:rPr>
          <w:rFonts w:ascii="Times New Roman;sans-serif" w:hAnsi="Times New Roman;sans-serif"/>
          <w:b/>
          <w:color w:val="000000"/>
          <w:sz w:val="22"/>
        </w:rPr>
        <w:t>[Reserved]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7.8</w:t>
      </w:r>
      <w:r>
        <w:rPr>
          <w:rFonts w:ascii="Times New Roman;sans-serif" w:hAnsi="Times New Roman;sans-serif"/>
          <w:b/>
          <w:color w:val="000000"/>
          <w:sz w:val="22"/>
        </w:rPr>
        <w:t>Investments</w:t>
      </w:r>
      <w:r>
        <w:rPr>
          <w:rFonts w:ascii="Times New Roman;sans-serif" w:hAnsi="Times New Roman;sans-serif"/>
          <w:b w:val="false"/>
          <w:color w:val="000000"/>
          <w:sz w:val="22"/>
        </w:rPr>
        <w:t>. Make any advance, loan, extension of credit (by way of guarantee or otherwise) or capital contribution to, or purchase any Capital Stock, bonds, notes, debentures or other debt securities of, or any assets constituting a business unit of, or make any other investment in, any Person (all of the foregoing, “</w:t>
      </w:r>
      <w:r>
        <w:rPr>
          <w:rFonts w:ascii="Times New Roman;sans-serif" w:hAnsi="Times New Roman;sans-serif"/>
          <w:b/>
          <w:i/>
          <w:color w:val="000000"/>
          <w:sz w:val="22"/>
        </w:rPr>
        <w:t>Investments</w:t>
      </w:r>
      <w:r>
        <w:rPr>
          <w:color w:val="000000"/>
        </w:rPr>
        <w:t>”</w:t>
      </w:r>
      <w:r>
        <w:rPr>
          <w:rFonts w:ascii="Times New Roman;sans-serif" w:hAnsi="Times New Roman;sans-serif"/>
          <w:b w:val="false"/>
          <w:color w:val="000000"/>
          <w:sz w:val="22"/>
        </w:rPr>
        <w:t>), except: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extensions of trade credit in the ordinary course of business;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Investments in cash and Cash Equivalents;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Guarantee Obligations permitted by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and Guarantee Obligations of obligations not constituting Indebtedness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 loans and advances to employees, officers and directors of any Group Member in the ordinary course of business (including for travel, entertainment and relocation expenses) in an aggregate amount for all Group Members not to exceed $500,000 at any one time outstanding (excluding quarterly scheduled bonus payments under annual bonus plans), (ii) loans and advances to employees, officers and directors of any Group Member listed in Section 24 of the Collateral Information Certificate, and (iii) loans to employees, officers and directors relating to the purchase of Capital Stock of the Borrower pursuant to employee stock purchase plans or agreements approved by the Borrower’s board of directors in an aggregate amount for all Group Members not to exceed $500,000 at any one time outstanding;</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intercompany Investments by (i) any Loan Party in any other Loan Party, (ii) any Group Member that is not a Loan Party in any other Group Member, or (iii) any Loan Party in any Group Member that is not a Loan Party to the extent that (A) no Default or Event of Defaults exists or would result therefrom, (B) such Investment is made in cash to fund the current, ordinary course operating expenses of such Subsidiary promptly after receipt of such proceeds, and (C) (x) if immediately after giving effect to such Investment, Liquidity is at least $20,000,000, such Investments do not exceed $50,000,000 in any fiscal year of the Group Members, or (y) otherwise, such Investments do not exceed $2,500,000 in any fiscal year of the Group Members;</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Investments in the ordinary course of business consisting of endorsements of negotiable instruments for collection or deposit;</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 on settlement of any delinquent obligations of, or other disputes with, customers or suppliers in the ordinary course of business in accordance with </w:t>
      </w:r>
      <w:r>
        <w:rPr>
          <w:rFonts w:ascii="Times New Roman;sans-serif" w:hAnsi="Times New Roman;sans-serif"/>
          <w:b w:val="false"/>
          <w:color w:val="000000"/>
          <w:sz w:val="22"/>
          <w:u w:val="single"/>
        </w:rPr>
        <w:t>Section 6.3(b)</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Investments held by any Person as of the date such Person is acquired in connection with a Permitted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Investments were not made, in any case, by such Person in connection with, or in contemplation of, such Permitted Acquisition, and (B) with </w:t>
      </w:r>
      <w:r>
        <w:br w:type="page"/>
      </w:r>
    </w:p>
    <w:p>
      <w:pPr>
        <w:pStyle w:val="TextBody"/>
        <w:spacing w:before="0" w:after="0"/>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60655"/>
                <wp:effectExtent l="0" t="0" r="0" b="0"/>
                <wp:wrapNone/>
                <wp:docPr id="353" name="Frame3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respect to any such Person which becomes a Subsidiary as a result of such Permitted Acquisition, such Subsidiary remains the only holder of such Investment (except in the case of Cash Equivalents);</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so long as no Event of Default exists at the time of such Investment or immediately after giving effect thereto, in addition to Investments otherwise expressly permitted by this Section, Investments by the Group Members the aggregate amount of all of which Investments (valued at cost) does exceed $1,000,000 during any fiscal year of the Group Members;</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deposits made to secure the performance of leases, licenses or contracts in the ordinary course of business, and other deposits made in connection with the incurrence of Liens permitted under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promissory notes and other non-cash consideration received in connection with Dispositions permitted by </w:t>
      </w:r>
      <w:r>
        <w:rPr>
          <w:rFonts w:ascii="Times New Roman;sans-serif" w:hAnsi="Times New Roman;sans-serif"/>
          <w:b w:val="false"/>
          <w:color w:val="000000"/>
          <w:sz w:val="22"/>
          <w:u w:val="single"/>
        </w:rPr>
        <w:t>Section 7.5</w:t>
      </w:r>
      <w:r>
        <w:rPr>
          <w:rFonts w:ascii="Times New Roman;sans-serif" w:hAnsi="Times New Roman;sans-serif"/>
          <w:b w:val="false"/>
          <w:color w:val="000000"/>
          <w:sz w:val="22"/>
        </w:rPr>
        <w:t>, to the extent not exceeding the limits specified therein with respect to the receipt of non-cash consideration in connection with such Dispositions; and</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sans-serif" w:hAnsi="Times New Roman;sans-serif"/>
          <w:b/>
          <w:i/>
          <w:color w:val="000000"/>
          <w:sz w:val="22"/>
        </w:rPr>
        <w:t>Permitted Acquisition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each such purchase or other acquisition:</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newly-created or acquired Subsidiary (or assets acquired in connection with such asset sale) shall be (x) in the same or a related line of business as that conducted by the Borrower on the date hereof, or (y) in a business that is permitted by </w:t>
      </w:r>
      <w:r>
        <w:rPr>
          <w:rFonts w:ascii="Times New Roman;sans-serif" w:hAnsi="Times New Roman;sans-serif"/>
          <w:b w:val="false"/>
          <w:color w:val="000000"/>
          <w:sz w:val="22"/>
          <w:u w:val="single"/>
        </w:rPr>
        <w:t>Section 7.17</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all transactions related to such purchase or acquisition shall be consummated in all material respects in accordance with all Requirements of Law;</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rPr>
        <w:t>the Borrower shall give the Administrative Agent at least twenty (20) Business Days’ prior written notice of any such purchase or acquisition (or if the execution of the acquisition agreement will occur simultaneously with the closing, then ten (10) Business Days’ prior notice, or such shorter period as the Administrative Agent may agree to);</w: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the Borrower shall provide to the Administrative Agent as soon as available but in any event not later than five (5) Business Days after the execution thereof, a copy of any executed purchase agreement or similar agreement with respect to any such purchase or acquisition;</w:t>
      </w:r>
    </w:p>
    <w:p>
      <w:pPr>
        <w:pStyle w:val="TextBody"/>
        <w:spacing w:lineRule="auto" w:line="288" w:before="0" w:after="180"/>
        <w:ind w:left="0" w:right="0" w:firstLine="216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rPr>
        <w:t xml:space="preserve">any such newly-created or acquired Subsidiary, or the Loan Party that is the acquirer of assets in connection with an asset acquisition, shall comply with the requirements of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except to the extent compliance with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is prohibited by pre-existing Contractual Obligations or Requirements of Law binding on such Subsidiary or its properties;</w:t>
      </w:r>
    </w:p>
    <w:p>
      <w:pPr>
        <w:pStyle w:val="TextBody"/>
        <w:spacing w:lineRule="auto" w:line="288" w:before="0" w:after="180"/>
        <w:ind w:left="0" w:right="0" w:firstLine="216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rPr>
        <w:t>Liquidity shall equal or exceed $15,000,000 as of the date the definitive agreements relating to any such acquisition or other purchase are executed (after giving effect to the consummation of such acquisition or other purchase);</w:t>
      </w:r>
      <w:r>
        <w:br w:type="page"/>
      </w:r>
    </w:p>
    <w:p>
      <w:pPr>
        <w:pStyle w:val="TextBody"/>
        <w:spacing w:before="0" w:after="0"/>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60655"/>
                <wp:effectExtent l="0" t="0" r="0" b="0"/>
                <wp:wrapNone/>
                <wp:docPr id="354" name="Frame3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v:rect>
            </w:pict>
          </mc:Fallback>
        </mc:AlternateContent>
      </w:r>
    </w:p>
    <w:p>
      <w:pPr>
        <w:pStyle w:val="TextBody"/>
        <w:spacing w:lineRule="auto" w:line="288" w:before="0" w:after="180"/>
        <w:ind w:left="0" w:right="0" w:firstLine="216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rPr>
        <w:t xml:space="preserve">(x) immediately before and immediately after giving effect to any such purchase or other acquisition, no Default or Event of Default shall have occurred and be continuing and (y) immediately after giving effect to such purchase or other acquisition, the Group Members shall be in compliance with each of the covenants set forth in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based upon financial statements delivered to the Administrative Agent which give effect to such acquisition or other purchase;</w:t>
      </w:r>
    </w:p>
    <w:p>
      <w:pPr>
        <w:pStyle w:val="TextBody"/>
        <w:spacing w:lineRule="auto" w:line="288" w:before="0" w:after="180"/>
        <w:ind w:left="0" w:right="0" w:firstLine="216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rPr>
        <w:t xml:space="preserve">the Borrower shall not, based upon the knowledge of the Borrower as of the date any such acquisition or other purchase is consummated, reasonably expect such acquisition or other purchase to result in a Default or an Event of Default under </w:t>
      </w:r>
      <w:r>
        <w:rPr>
          <w:rFonts w:ascii="Times New Roman;sans-serif" w:hAnsi="Times New Roman;sans-serif"/>
          <w:b w:val="false"/>
          <w:color w:val="000000"/>
          <w:sz w:val="22"/>
          <w:u w:val="single"/>
        </w:rPr>
        <w:t>Section 8.1(c)</w:t>
      </w:r>
      <w:r>
        <w:rPr>
          <w:rFonts w:ascii="Times New Roman;sans-serif" w:hAnsi="Times New Roman;sans-serif"/>
          <w:b w:val="false"/>
          <w:color w:val="000000"/>
          <w:sz w:val="22"/>
        </w:rPr>
        <w:t xml:space="preserve">, at any time during the term of this Agreement, as a result of a breach of any of the financial covenants set forth in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w:t>
      </w:r>
    </w:p>
    <w:p>
      <w:pPr>
        <w:pStyle w:val="TextBody"/>
        <w:spacing w:lineRule="auto" w:line="288" w:before="0" w:after="180"/>
        <w:ind w:left="0" w:right="0" w:firstLine="216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rPr>
        <w:t>no Indebtedness is assumed or incurred in connection with any such purchase or acquisition other than Indebtedness permitted by the terms of Section 7.2(j);</w:t>
      </w:r>
    </w:p>
    <w:p>
      <w:pPr>
        <w:pStyle w:val="TextBody"/>
        <w:spacing w:lineRule="auto" w:line="288" w:before="0" w:after="180"/>
        <w:ind w:left="0" w:right="0" w:firstLine="2160"/>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rPr>
        <w:t>such purchase or acquisition shall not constitute an Unfriendly Acquisition; and</w:t>
      </w:r>
    </w:p>
    <w:p>
      <w:pPr>
        <w:pStyle w:val="TextBody"/>
        <w:spacing w:lineRule="auto" w:line="288" w:before="0" w:after="180"/>
        <w:ind w:left="0" w:right="0" w:firstLine="2160"/>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rPr>
        <w:t>(A) the aggregate amount of the consideration (excluding Capital Stock of the Borrower that is not Disqualified Stock) paid by such Group Member in connection with any particular Permitted Acquisition shall not exceed $25,000,000, and (B) the aggregate amount of the consideration (excluding Capital Stock of the Borrower that is not Disqualified Stock) paid by all Group Members in connection with all such Permitted Acquisitions consummated from and after the Closing Date shall not exceed $75,000,000; and</w:t>
      </w:r>
    </w:p>
    <w:p>
      <w:pPr>
        <w:pStyle w:val="TextBody"/>
        <w:spacing w:lineRule="auto" w:line="288" w:before="0" w:after="180"/>
        <w:ind w:left="0" w:right="0" w:firstLine="2160"/>
        <w:jc w:val="both"/>
        <w:rPr/>
      </w:pPr>
      <w:r>
        <w:rPr>
          <w:rFonts w:ascii="Times New Roman;sans-serif" w:hAnsi="Times New Roman;sans-serif"/>
          <w:b w:val="false"/>
          <w:color w:val="000000"/>
          <w:sz w:val="22"/>
        </w:rPr>
        <w:t>(xiii)</w:t>
      </w:r>
      <w:r>
        <w:rPr>
          <w:rFonts w:ascii="Times New Roman;sans-serif" w:hAnsi="Times New Roman;sans-serif"/>
          <w:b w:val="false"/>
          <w:color w:val="000000"/>
          <w:sz w:val="22"/>
        </w:rPr>
        <w:t>each such Permitted Acquisition is of a Person which (i) is organized under the laws of the United States and engaged in business activities primarily conducted within the United States and becomes a Borrower or a Guarantor or, (ii) notwithstanding any other terms of this Agreement or any other Loan Document to the contrary, shall become a Borrower or a Guarantor (and all of its Capital Stock pledged to the Administrative Agent), provided however, that in each case no Immaterial Subsidiary shall be required to become a Borrower or a Guarantor;</w:t>
      </w:r>
    </w:p>
    <w:p>
      <w:pPr>
        <w:pStyle w:val="TextBody"/>
        <w:spacing w:lineRule="auto" w:line="288" w:before="0" w:after="180"/>
        <w:ind w:left="0" w:right="0" w:firstLine="2160"/>
        <w:jc w:val="both"/>
        <w:rPr/>
      </w:pPr>
      <w:r>
        <w:rPr>
          <w:rFonts w:ascii="Times New Roman;sans-serif" w:hAnsi="Times New Roman;sans-serif"/>
          <w:b w:val="false"/>
          <w:color w:val="000000"/>
          <w:sz w:val="22"/>
        </w:rPr>
        <w:t>(xiv)</w:t>
      </w:r>
      <w:r>
        <w:rPr>
          <w:rFonts w:ascii="Times New Roman;sans-serif" w:hAnsi="Times New Roman;sans-serif"/>
          <w:b w:val="false"/>
          <w:color w:val="000000"/>
          <w:sz w:val="22"/>
        </w:rPr>
        <w:t>the Borrower shall have delivered to the Administrative Agent, at least five Business Days prior to the date on which any such purchase or other acquisition is to be consummated (or such later date as is agreed by the Administrative Agent in its sole discretion), a certificate of a Responsible Officer, in form and substance reasonably satisfactory to the Administrative Agent, certifying that all of the requirements set forth in this definition have been satisfied or will be satisfied on or prior to the consummation of such purchase or other acquisition; and</w:t>
      </w:r>
    </w:p>
    <w:p>
      <w:pPr>
        <w:pStyle w:val="TextBody"/>
        <w:spacing w:lineRule="auto" w:line="288" w:before="0" w:after="180"/>
        <w:ind w:left="0" w:right="0" w:firstLine="2160"/>
        <w:jc w:val="both"/>
        <w:rPr/>
      </w:pPr>
      <w:r>
        <w:rPr>
          <w:rFonts w:ascii="Times New Roman;sans-serif" w:hAnsi="Times New Roman;sans-serif"/>
          <w:b w:val="false"/>
          <w:color w:val="000000"/>
          <w:sz w:val="22"/>
        </w:rPr>
        <w:t>(xv)</w:t>
      </w:r>
      <w:r>
        <w:rPr>
          <w:rFonts w:ascii="Times New Roman;sans-serif" w:hAnsi="Times New Roman;sans-serif"/>
          <w:b w:val="false"/>
          <w:color w:val="000000"/>
          <w:sz w:val="22"/>
        </w:rPr>
        <w:t xml:space="preserve">the assets being acquired or the target whose stock is being acquired had </w:t>
      </w:r>
      <w:r>
        <w:rPr>
          <w:rFonts w:ascii="Times New Roman;sans-serif" w:hAnsi="Times New Roman;sans-serif"/>
          <w:b w:val="false"/>
          <w:i/>
          <w:color w:val="000000"/>
          <w:sz w:val="22"/>
        </w:rPr>
        <w:t xml:space="preserve">pro forma </w:t>
      </w:r>
      <w:r>
        <w:rPr>
          <w:rFonts w:ascii="Times New Roman;sans-serif" w:hAnsi="Times New Roman;sans-serif"/>
          <w:b w:val="false"/>
          <w:color w:val="000000"/>
          <w:sz w:val="22"/>
        </w:rPr>
        <w:t>Consolidated EBITDA that was equal to or greater than negative $15,000,000 during the 12- month consecutive period most recently concluded prior to the date such acquisition or other purchase is consummated;</w:t>
      </w:r>
    </w:p>
    <w:p>
      <w:pPr>
        <w:pStyle w:val="TextBody"/>
        <w:spacing w:lineRule="auto" w:line="288" w:before="0" w:after="180"/>
        <w:ind w:left="0" w:right="0" w:firstLine="1440"/>
        <w:rPr/>
      </w:pPr>
      <w:r>
        <w:rPr>
          <w:rFonts w:ascii="Times New Roman;sans-serif" w:hAnsi="Times New Roman;sans-serif"/>
          <w:b w:val="false"/>
          <w:color w:val="000000"/>
          <w:sz w:val="22"/>
        </w:rPr>
        <w:t>(m)</w:t>
      </w:r>
      <w:r>
        <w:rPr>
          <w:rFonts w:ascii="Times New Roman;sans-serif" w:hAnsi="Times New Roman;sans-serif"/>
          <w:b w:val="false"/>
          <w:color w:val="000000"/>
          <w:sz w:val="22"/>
        </w:rPr>
        <w:t>(i) the licensing or contribution of Intellectual Property on a non-exclusive basis pursuant to joint marketing or joint venture arrangements with other Persons in the ordinary course of business, or (ii) the licensing or contribution of immaterial Intellectual Property pursuant to joint marketing or joint venture arrangements with other Persons;</w:t>
      </w:r>
    </w:p>
    <w:p>
      <w:pPr>
        <w:pStyle w:val="TextBody"/>
        <w:spacing w:lineRule="auto" w:line="288" w:before="0" w:after="180"/>
        <w:ind w:left="0" w:right="0" w:firstLine="1440"/>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Investments existing on the Closing Date and set forth on </w:t>
      </w:r>
      <w:r>
        <w:rPr>
          <w:rFonts w:ascii="Times New Roman;sans-serif" w:hAnsi="Times New Roman;sans-serif"/>
          <w:b w:val="false"/>
          <w:color w:val="000000"/>
          <w:sz w:val="22"/>
          <w:u w:val="single"/>
        </w:rPr>
        <w:t>Schedule 7.8</w:t>
      </w:r>
      <w:r>
        <w:rPr>
          <w:rFonts w:ascii="Times New Roman;sans-serif" w:hAnsi="Times New Roman;sans-serif"/>
          <w:b w:val="false"/>
          <w:color w:val="000000"/>
          <w:sz w:val="22"/>
        </w:rPr>
        <w:t>;</w:t>
      </w:r>
    </w:p>
    <w:p>
      <w:pPr>
        <w:pStyle w:val="TextBody"/>
        <w:spacing w:lineRule="auto" w:line="288" w:before="0" w:after="180"/>
        <w:ind w:left="0" w:right="0" w:firstLine="1440"/>
        <w:rPr/>
      </w:pPr>
      <w:r>
        <w:rPr>
          <w:rFonts w:ascii="Times New Roman;sans-serif" w:hAnsi="Times New Roman;sans-serif"/>
          <w:b w:val="false"/>
          <w:color w:val="000000"/>
          <w:sz w:val="22"/>
        </w:rPr>
        <w:t>(o)</w:t>
      </w:r>
      <w:r>
        <w:rPr>
          <w:rFonts w:ascii="Times New Roman;sans-serif" w:hAnsi="Times New Roman;sans-serif"/>
          <w:b w:val="false"/>
          <w:color w:val="000000"/>
          <w:sz w:val="22"/>
        </w:rPr>
        <w:t xml:space="preserve">the formation of Subsidiaries after the Closing Date, subject to compliance with </w:t>
      </w:r>
      <w:r>
        <w:rPr>
          <w:rFonts w:ascii="Times New Roman;sans-serif" w:hAnsi="Times New Roman;sans-serif"/>
          <w:b w:val="false"/>
          <w:color w:val="000000"/>
          <w:sz w:val="22"/>
          <w:u w:val="single"/>
        </w:rPr>
        <w:t>Section 6.12(c)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and </w:t>
      </w:r>
      <w:r>
        <w:br w:type="page"/>
      </w:r>
    </w:p>
    <w:p>
      <w:pPr>
        <w:pStyle w:val="TextBody"/>
        <w:spacing w:before="0" w:after="0"/>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60655"/>
                <wp:effectExtent l="0" t="0" r="0" b="0"/>
                <wp:wrapNone/>
                <wp:docPr id="355" name="Frame3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v:rect>
            </w:pict>
          </mc:Fallback>
        </mc:AlternateContent>
      </w:r>
    </w:p>
    <w:p>
      <w:pPr>
        <w:pStyle w:val="TextBody"/>
        <w:spacing w:lineRule="auto" w:line="288" w:before="0" w:after="180"/>
        <w:ind w:left="0" w:right="0" w:firstLine="1440"/>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Specified Swap Agreements and Interest Rate Agreements permitted under </w:t>
      </w:r>
      <w:r>
        <w:rPr>
          <w:rFonts w:ascii="Times New Roman;sans-serif" w:hAnsi="Times New Roman;sans-serif"/>
          <w:b w:val="false"/>
          <w:color w:val="000000"/>
          <w:sz w:val="22"/>
          <w:u w:val="single"/>
        </w:rPr>
        <w:t>Section 7.13</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7.9</w:t>
      </w:r>
      <w:r>
        <w:rPr>
          <w:rFonts w:ascii="Times New Roman;sans-serif" w:hAnsi="Times New Roman;sans-serif"/>
          <w:b/>
          <w:color w:val="000000"/>
          <w:sz w:val="22"/>
        </w:rPr>
        <w:t>ERISA and Other Pension Matters</w:t>
      </w:r>
      <w:r>
        <w:rPr>
          <w:rFonts w:ascii="Times New Roman;sans-serif" w:hAnsi="Times New Roman;sans-serif"/>
          <w:b w:val="false"/>
          <w:color w:val="000000"/>
          <w:sz w:val="22"/>
        </w:rPr>
        <w:t>. The Borrower shall not, and shall not permit any of its ERISA Affiliates to: (a) terminate any Pension Plan so as to 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Plan or modify any existing Plan so as to increase its obligations thereunder which could result in any material liability to any ERISA Affiliate, (e)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 The Borrower shall ensure that no UK Group Member is or has been at any time an employer (for the purposes of sections 38 to 51 of the UK Pensions Act 2004) of an occupational pension scheme which is not a money purchase scheme (both terms as defined in the UK Pension Schemes Act 1993) or “connected” with or an “associate” of (as those terms are used in sections 38 or 43 of the UK Pensions Act 2004) such an employer.</w:t>
      </w:r>
    </w:p>
    <w:p>
      <w:pPr>
        <w:pStyle w:val="TextBody"/>
        <w:spacing w:lineRule="auto" w:line="288" w:before="0" w:after="180"/>
        <w:ind w:left="0" w:right="0" w:firstLine="720"/>
        <w:jc w:val="both"/>
        <w:rPr/>
      </w:pPr>
      <w:r>
        <w:rPr>
          <w:rFonts w:ascii="Times New Roman;sans-serif" w:hAnsi="Times New Roman;sans-serif"/>
          <w:b/>
          <w:color w:val="000000"/>
          <w:sz w:val="22"/>
        </w:rPr>
        <w:t>7.10</w:t>
      </w:r>
      <w:r>
        <w:rPr>
          <w:rFonts w:ascii="Times New Roman;sans-serif" w:hAnsi="Times New Roman;sans-serif"/>
          <w:b/>
          <w:color w:val="000000"/>
          <w:sz w:val="22"/>
        </w:rPr>
        <w:t>Optional Payments and Modifications of Certain Preferred Stock and Debt Instruments</w:t>
      </w:r>
      <w:r>
        <w:rPr>
          <w:rFonts w:ascii="Times New Roman;sans-serif" w:hAnsi="Times New Roman;sans-serif"/>
          <w:b w:val="false"/>
          <w:color w:val="000000"/>
          <w:sz w:val="22"/>
        </w:rPr>
        <w:t xml:space="preserve">. (a) Amend, modify, waive or otherwise change, or consent or agree to any amendment, modification, waiver or other change to, any of the terms of the Preferred Stock (i) that would move to an earlier date the scheduled redemption date (but only to the extent that moving any such scheduled redemption date would result in the redemption to be prior to ninety-one (91) days after the Revolving Termination Date) or increase the amount of any scheduled redemption payment or increase the rate or move to an earlier date any date for payment of dividends thereon or (ii) that could reasonably be expected to be otherwise materially adverse to any Lender or any other Secured Party; or (b) other than pursuant to any refinancing or replacement of Indebtedness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 xml:space="preserve">, amend, modify, waive or otherwise change, or consent or agree to any amendment, modification, waiver or other change to, any of the terms of any Indebtedness permitted by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 xml:space="preserve">(other than Indebtedness pursuant to any Loan Document and Subordinated Indebtedness which is addressed in </w:t>
      </w:r>
      <w:r>
        <w:rPr>
          <w:rFonts w:ascii="Times New Roman;sans-serif" w:hAnsi="Times New Roman;sans-serif"/>
          <w:b w:val="false"/>
          <w:color w:val="000000"/>
          <w:sz w:val="22"/>
          <w:u w:val="single"/>
        </w:rPr>
        <w:t>Section 7.21</w:t>
      </w:r>
      <w:r>
        <w:rPr>
          <w:rFonts w:ascii="Times New Roman;sans-serif" w:hAnsi="Times New Roman;sans-serif"/>
          <w:b w:val="false"/>
          <w:color w:val="000000"/>
          <w:sz w:val="22"/>
        </w:rPr>
        <w:t>) that would shorten the maturity (but only to the extent such shortening, would result in the maturity of such Indebtedness to be prior to 91 days after the Revolving Termination Date) or increase the amount of any payment of principal thereof or the rate of interest thereon or shorten any date for payment of interest thereon or that could reasonably be expected to be otherwise materially adverse to any Lender or any other Secured Party. Notwithstanding anything to the contrary herein, the conversion of Preferred Stock into Common Stock of the Borrower shall not be prohibited or limited hereunder</w:t>
      </w:r>
    </w:p>
    <w:p>
      <w:pPr>
        <w:pStyle w:val="TextBody"/>
        <w:spacing w:lineRule="auto" w:line="288" w:before="0" w:after="180"/>
        <w:ind w:left="0" w:right="0" w:firstLine="720"/>
        <w:jc w:val="both"/>
        <w:rPr/>
      </w:pPr>
      <w:r>
        <w:rPr>
          <w:rFonts w:ascii="Times New Roman;sans-serif" w:hAnsi="Times New Roman;sans-serif"/>
          <w:b/>
          <w:color w:val="000000"/>
          <w:sz w:val="22"/>
        </w:rPr>
        <w:t>7.11</w:t>
      </w:r>
      <w:r>
        <w:rPr>
          <w:rFonts w:ascii="Times New Roman;sans-serif" w:hAnsi="Times New Roman;sans-serif"/>
          <w:b/>
          <w:color w:val="000000"/>
          <w:sz w:val="22"/>
        </w:rPr>
        <w:t>Transactions with Affiliates</w:t>
      </w:r>
      <w:r>
        <w:rPr>
          <w:rFonts w:ascii="Times New Roman;sans-serif" w:hAnsi="Times New Roman;sans-serif"/>
          <w:b w:val="false"/>
          <w:color w:val="000000"/>
          <w:sz w:val="22"/>
        </w:rPr>
        <w:t xml:space="preserve">. Enter into any transaction, including any purchase, sale, lease or exchange of property, the rendering of any service or the payment of any management, advisory or similar fees, with any Affiliate (other than any other Loan Party) unless such transaction is (a) (i) otherwise permitted under this Agreement, (ii) in the ordinary course of business of the relevant Group Member, and (iii) upon fair and reasonable terms no less favorable to the relevant Group Member than it would obtain in a comparable arm’s length transaction with a Person that is not an Affiliate (b) a Restricted Payment permitted by Section 7.6, (c) reasonable and customary indemnification arrangements, employee benefits, compensation arrangements (including equity-based compensation and </w:t>
      </w:r>
      <w:r>
        <w:br w:type="page"/>
      </w:r>
    </w:p>
    <w:p>
      <w:pPr>
        <w:pStyle w:val="TextBody"/>
        <w:spacing w:before="0" w:after="0"/>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60655"/>
                <wp:effectExtent l="0" t="0" r="0" b="0"/>
                <wp:wrapNone/>
                <wp:docPr id="356" name="Frame3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bonuses), and reimbursement of expenses of employees, consultants, officers, and directors, in each case, approved by the board of directors or management of the Borrower or its Subsidiaries, or (d) equity (other than Disqualified Stock) or debt financings with the Borrower’s investors so long as any such debt financings constitute Subordinated Indebtedness and such Indebtedness is permitted by </w:t>
      </w:r>
      <w:r>
        <w:rPr>
          <w:rFonts w:ascii="Times New Roman;sans-serif" w:hAnsi="Times New Roman;sans-serif"/>
          <w:b w:val="false"/>
          <w:color w:val="000000"/>
          <w:sz w:val="22"/>
          <w:u w:val="single"/>
        </w:rPr>
        <w:t>Section 7.2</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7.12</w:t>
      </w:r>
      <w:r>
        <w:rPr>
          <w:rFonts w:ascii="Times New Roman;sans-serif" w:hAnsi="Times New Roman;sans-serif"/>
          <w:b/>
          <w:color w:val="000000"/>
          <w:sz w:val="22"/>
        </w:rPr>
        <w:t>Sale Leaseback Transactions</w:t>
      </w:r>
      <w:r>
        <w:rPr>
          <w:rFonts w:ascii="Times New Roman;sans-serif" w:hAnsi="Times New Roman;sans-serif"/>
          <w:b w:val="false"/>
          <w:color w:val="000000"/>
          <w:sz w:val="22"/>
        </w:rPr>
        <w:t xml:space="preserve">. Enter into any Sale Leaseback Transaction, except in connection with transactions that would be permitted under this </w:t>
      </w:r>
      <w:r>
        <w:rPr>
          <w:rFonts w:ascii="Times New Roman;sans-serif" w:hAnsi="Times New Roman;sans-serif"/>
          <w:b w:val="false"/>
          <w:color w:val="000000"/>
          <w:sz w:val="22"/>
          <w:u w:val="single"/>
        </w:rPr>
        <w:t>Section 7</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7.13</w:t>
      </w:r>
      <w:r>
        <w:rPr>
          <w:rFonts w:ascii="Times New Roman;sans-serif" w:hAnsi="Times New Roman;sans-serif"/>
          <w:b/>
          <w:color w:val="000000"/>
          <w:sz w:val="22"/>
        </w:rPr>
        <w:t>Swap Agreements</w:t>
      </w:r>
      <w:r>
        <w:rPr>
          <w:rFonts w:ascii="Times New Roman;sans-serif" w:hAnsi="Times New Roman;sans-serif"/>
          <w:b w:val="false"/>
          <w:color w:val="000000"/>
          <w:sz w:val="22"/>
        </w:rPr>
        <w:t>. Enter into any Swap Agreement, except Specified Swap Agreements which are entered into by a Group Member to (a) hedge or mitigate risks to which such Group Member has actual exposure, or (b) effectively cap, collar or exchange interest rates (from fixed to floating rates, from one floating rate to another floating rate or otherwise) with respect to any interest-bearing liability or investment of such Group Member.</w:t>
      </w:r>
    </w:p>
    <w:p>
      <w:pPr>
        <w:pStyle w:val="TextBody"/>
        <w:spacing w:lineRule="auto" w:line="288" w:before="0" w:after="180"/>
        <w:ind w:left="0" w:right="0" w:firstLine="720"/>
        <w:jc w:val="both"/>
        <w:rPr/>
      </w:pPr>
      <w:r>
        <w:rPr>
          <w:rFonts w:ascii="Times New Roman;sans-serif" w:hAnsi="Times New Roman;sans-serif"/>
          <w:b/>
          <w:color w:val="000000"/>
          <w:sz w:val="22"/>
        </w:rPr>
        <w:t>7.14</w:t>
      </w:r>
      <w:r>
        <w:rPr>
          <w:rFonts w:ascii="Times New Roman;sans-serif" w:hAnsi="Times New Roman;sans-serif"/>
          <w:b/>
          <w:color w:val="000000"/>
          <w:sz w:val="22"/>
        </w:rPr>
        <w:t>Accounting Changes</w:t>
      </w:r>
      <w:r>
        <w:rPr>
          <w:rFonts w:ascii="Times New Roman;sans-serif" w:hAnsi="Times New Roman;sans-serif"/>
          <w:b w:val="false"/>
          <w:color w:val="000000"/>
          <w:sz w:val="22"/>
        </w:rPr>
        <w:t>. Make any change in its (a) accounting policies or reporting practices, except as required by GAAP, or (b) fiscal year.</w:t>
      </w:r>
    </w:p>
    <w:p>
      <w:pPr>
        <w:pStyle w:val="TextBody"/>
        <w:spacing w:lineRule="auto" w:line="288" w:before="0" w:after="180"/>
        <w:ind w:left="0" w:right="0" w:firstLine="720"/>
        <w:jc w:val="both"/>
        <w:rPr/>
      </w:pPr>
      <w:r>
        <w:rPr>
          <w:rFonts w:ascii="Times New Roman;sans-serif" w:hAnsi="Times New Roman;sans-serif"/>
          <w:b/>
          <w:color w:val="000000"/>
          <w:sz w:val="22"/>
        </w:rPr>
        <w:t>7.15</w:t>
      </w:r>
      <w:r>
        <w:rPr>
          <w:rFonts w:ascii="Times New Roman;sans-serif" w:hAnsi="Times New Roman;sans-serif"/>
          <w:b/>
          <w:color w:val="000000"/>
          <w:sz w:val="22"/>
        </w:rPr>
        <w:t>Negative Pledge Clauses</w:t>
      </w:r>
      <w:r>
        <w:rPr>
          <w:rFonts w:ascii="Times New Roman;sans-serif" w:hAnsi="Times New Roman;sans-serif"/>
          <w:b w:val="false"/>
          <w:color w:val="000000"/>
          <w:sz w:val="22"/>
        </w:rPr>
        <w:t xml:space="preserve">. Enter into or suffer to exist or become effective any agreement that prohibits or limits the ability of any Loan Party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Times New Roman;sans-serif" w:hAnsi="Times New Roman;sans-serif"/>
          <w:b w:val="false"/>
          <w:color w:val="000000"/>
          <w:sz w:val="22"/>
          <w:u w:val="single"/>
        </w:rPr>
        <w:t>Sections 7.3</w:t>
      </w:r>
      <w:r>
        <w:rPr>
          <w:color w:val="000000"/>
        </w:rPr>
        <w:t xml:space="preserve"> </w:t>
      </w:r>
      <w:r>
        <w:rPr>
          <w:rFonts w:ascii="Times New Roman;sans-serif" w:hAnsi="Times New Roman;sans-serif"/>
          <w:b w:val="false"/>
          <w:color w:val="000000"/>
          <w:sz w:val="22"/>
        </w:rPr>
        <w:t xml:space="preserve">or any agreement or option to Dispose any asset of any Group Member, the Disposition of which is permitted by </w:t>
      </w:r>
      <w:r>
        <w:rPr>
          <w:rFonts w:ascii="Times New Roman;sans-serif" w:hAnsi="Times New Roman;sans-serif"/>
          <w:b w:val="false"/>
          <w:color w:val="000000"/>
          <w:sz w:val="22"/>
          <w:u w:val="single"/>
        </w:rPr>
        <w:t>Section 7.5</w:t>
      </w:r>
      <w:r>
        <w:rPr>
          <w:color w:val="000000"/>
        </w:rPr>
        <w:t xml:space="preserve"> </w:t>
      </w:r>
      <w:r>
        <w:rPr>
          <w:rFonts w:ascii="Times New Roman;sans-serif" w:hAnsi="Times New Roman;sans-serif"/>
          <w:b w:val="false"/>
          <w:color w:val="000000"/>
          <w:sz w:val="22"/>
        </w:rPr>
        <w:t xml:space="preserve">(in each case,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restriction relates only to the assets or property subject to such Lien or being Disposed).</w:t>
      </w:r>
    </w:p>
    <w:p>
      <w:pPr>
        <w:pStyle w:val="TextBody"/>
        <w:spacing w:lineRule="auto" w:line="288" w:before="0" w:after="180"/>
        <w:ind w:left="0" w:right="0" w:firstLine="720"/>
        <w:jc w:val="both"/>
        <w:rPr/>
      </w:pPr>
      <w:r>
        <w:rPr>
          <w:rFonts w:ascii="Times New Roman;sans-serif" w:hAnsi="Times New Roman;sans-serif"/>
          <w:b/>
          <w:color w:val="000000"/>
          <w:sz w:val="22"/>
        </w:rPr>
        <w:t>7.16</w:t>
      </w:r>
      <w:r>
        <w:rPr>
          <w:rFonts w:ascii="Times New Roman;sans-serif" w:hAnsi="Times New Roman;sans-serif"/>
          <w:b/>
          <w:color w:val="000000"/>
          <w:sz w:val="22"/>
        </w:rPr>
        <w:t>Clauses Restricting Subsidiary Distributions</w:t>
      </w:r>
      <w:r>
        <w:rPr>
          <w:rFonts w:ascii="Times New Roman;sans-serif" w:hAnsi="Times New Roman;sans-serif"/>
          <w:b w:val="false"/>
          <w:color w:val="000000"/>
          <w:sz w:val="22"/>
        </w:rPr>
        <w:t xml:space="preserve">. Enter into or suffer to exist or become effective any consensual encumbrance or restriction on the ability of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or (v) any agreement in effect at the time any Subsidiary becomes a Subsidiary of a Borrower, so long as such agreement applies only to such Subsidiary, was not entered into solely in contemplation of such Person becoming a Subsidiary or in </w:t>
      </w:r>
      <w:r>
        <w:br w:type="page"/>
      </w:r>
    </w:p>
    <w:p>
      <w:pPr>
        <w:pStyle w:val="TextBody"/>
        <w:spacing w:before="0" w:after="0"/>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60655"/>
                <wp:effectExtent l="0" t="0" r="0" b="0"/>
                <wp:wrapNone/>
                <wp:docPr id="357" name="Frame3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each case that is set forth in any agreement evidencing any amendments, restatements, supplements, modifications, extensions, renewals and replacements of the foregoing, so long as such amendment, restatement, supplement, modification, extension, renewal or replacement does not expand in any material respect the scope of any restriction or condition contained therein.</w:t>
      </w:r>
    </w:p>
    <w:p>
      <w:pPr>
        <w:pStyle w:val="TextBody"/>
        <w:spacing w:lineRule="auto" w:line="288" w:before="0" w:after="180"/>
        <w:ind w:left="0" w:right="0" w:firstLine="720"/>
        <w:jc w:val="both"/>
        <w:rPr/>
      </w:pPr>
      <w:r>
        <w:rPr>
          <w:rFonts w:ascii="Times New Roman;sans-serif" w:hAnsi="Times New Roman;sans-serif"/>
          <w:b/>
          <w:color w:val="000000"/>
          <w:sz w:val="22"/>
        </w:rPr>
        <w:t>7.17</w:t>
      </w:r>
      <w:r>
        <w:rPr>
          <w:rFonts w:ascii="Times New Roman;sans-serif" w:hAnsi="Times New Roman;sans-serif"/>
          <w:b/>
          <w:color w:val="000000"/>
          <w:sz w:val="22"/>
        </w:rPr>
        <w:t>Lines of Business</w:t>
      </w:r>
      <w:r>
        <w:rPr>
          <w:rFonts w:ascii="Times New Roman;sans-serif" w:hAnsi="Times New Roman;sans-serif"/>
          <w:b w:val="false"/>
          <w:color w:val="000000"/>
          <w:sz w:val="22"/>
        </w:rPr>
        <w:t>. Enter into any business, either directly or through any Subsidiary, except for those businesses in which the Group Members are engaged in on the date of this Agreement or that are reasonably related, ancillary or incidental thereto.</w:t>
      </w:r>
    </w:p>
    <w:p>
      <w:pPr>
        <w:pStyle w:val="TextBody"/>
        <w:spacing w:lineRule="auto" w:line="288" w:before="0" w:after="180"/>
        <w:ind w:left="0" w:right="0" w:firstLine="720"/>
        <w:jc w:val="both"/>
        <w:rPr/>
      </w:pPr>
      <w:r>
        <w:rPr>
          <w:rFonts w:ascii="Times New Roman;sans-serif" w:hAnsi="Times New Roman;sans-serif"/>
          <w:b/>
          <w:color w:val="000000"/>
          <w:sz w:val="22"/>
        </w:rPr>
        <w:t>7.18</w:t>
      </w:r>
      <w:r>
        <w:rPr>
          <w:rFonts w:ascii="Times New Roman;sans-serif" w:hAnsi="Times New Roman;sans-serif"/>
          <w:b/>
          <w:color w:val="000000"/>
          <w:sz w:val="22"/>
        </w:rPr>
        <w:t>Designation of other Indebtedness</w:t>
      </w:r>
      <w:r>
        <w:rPr>
          <w:rFonts w:ascii="Times New Roman;sans-serif" w:hAnsi="Times New Roman;sans-serif"/>
          <w:b w:val="false"/>
          <w:color w:val="000000"/>
          <w:sz w:val="22"/>
        </w:rPr>
        <w:t>. Designate any Indebtedness or indebtedness other than the Obligations as “Designated Senior Indebtedness” or a similar concept thereto, if applicable.</w:t>
      </w:r>
    </w:p>
    <w:p>
      <w:pPr>
        <w:pStyle w:val="TextBody"/>
        <w:spacing w:lineRule="auto" w:line="288" w:before="0" w:after="180"/>
        <w:ind w:left="0" w:right="0" w:firstLine="720"/>
        <w:jc w:val="both"/>
        <w:rPr/>
      </w:pPr>
      <w:r>
        <w:rPr>
          <w:rFonts w:ascii="Times New Roman;sans-serif" w:hAnsi="Times New Roman;sans-serif"/>
          <w:b/>
          <w:color w:val="000000"/>
          <w:sz w:val="22"/>
        </w:rPr>
        <w:t>7.19</w:t>
      </w:r>
      <w:r>
        <w:rPr>
          <w:rFonts w:ascii="Times New Roman;sans-serif" w:hAnsi="Times New Roman;sans-serif"/>
          <w:b/>
          <w:color w:val="000000"/>
          <w:sz w:val="22"/>
        </w:rPr>
        <w:t>Amendments to Organizational Agreements and Material Contracts</w:t>
      </w:r>
      <w:r>
        <w:rPr>
          <w:rFonts w:ascii="Times New Roman;sans-serif" w:hAnsi="Times New Roman;sans-serif"/>
          <w:b w:val="false"/>
          <w:color w:val="000000"/>
          <w:sz w:val="22"/>
        </w:rPr>
        <w:t>. (a) Amend or permit any amendments to any Loan Party’s organizational documents if such amendment would be adverse to the rights of the Administrative Agent or the Lenders under the Loan Documents in any material respect; or (b) amend or permit any amendments to, or terminate or waive any provision of, any material Contractual Obligation if such amendment, termination, or waiver would be adverse to the rights of the Administrative Agent or the Lenders under the Loan Documents in any material respect.</w:t>
      </w:r>
    </w:p>
    <w:p>
      <w:pPr>
        <w:pStyle w:val="TextBody"/>
        <w:spacing w:lineRule="auto" w:line="288" w:before="0" w:after="180"/>
        <w:ind w:left="0" w:right="0" w:firstLine="720"/>
        <w:jc w:val="both"/>
        <w:rPr/>
      </w:pPr>
      <w:r>
        <w:rPr>
          <w:rFonts w:ascii="Times New Roman;sans-serif" w:hAnsi="Times New Roman;sans-serif"/>
          <w:b/>
          <w:color w:val="000000"/>
          <w:sz w:val="22"/>
        </w:rPr>
        <w:t>7.20</w:t>
      </w:r>
      <w:r>
        <w:rPr>
          <w:rFonts w:ascii="Times New Roman;sans-serif" w:hAnsi="Times New Roman;sans-serif"/>
          <w:b/>
          <w:color w:val="000000"/>
          <w:sz w:val="22"/>
        </w:rPr>
        <w:t>Use of Proceeds</w:t>
      </w:r>
      <w:r>
        <w:rPr>
          <w:rFonts w:ascii="Times New Roman;sans-serif" w:hAnsi="Times New Roman;sans-serif"/>
          <w:b w:val="false"/>
          <w:color w:val="000000"/>
          <w:sz w:val="22"/>
        </w:rPr>
        <w:t>. Use the proceeds of any Loan or extension of credit hereunder, whether directly or 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Lender, Swingline Lender,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w:t>
      </w:r>
    </w:p>
    <w:p>
      <w:pPr>
        <w:pStyle w:val="TextBody"/>
        <w:spacing w:lineRule="auto" w:line="288" w:before="0" w:after="180"/>
        <w:ind w:left="0" w:right="0" w:firstLine="720"/>
        <w:jc w:val="both"/>
        <w:rPr/>
      </w:pPr>
      <w:r>
        <w:rPr>
          <w:rFonts w:ascii="Times New Roman;sans-serif" w:hAnsi="Times New Roman;sans-serif"/>
          <w:b/>
          <w:color w:val="000000"/>
          <w:sz w:val="22"/>
        </w:rPr>
        <w:t>7.21</w:t>
      </w:r>
      <w:r>
        <w:rPr>
          <w:rFonts w:ascii="Times New Roman;sans-serif" w:hAnsi="Times New Roman;sans-serif"/>
          <w:b/>
          <w:color w:val="000000"/>
          <w:sz w:val="22"/>
        </w:rPr>
        <w:t>Subordinated Debt.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Amendments</w:t>
      </w:r>
      <w:r>
        <w:rPr>
          <w:rFonts w:ascii="Times New Roman;sans-serif" w:hAnsi="Times New Roman;sans-serif"/>
          <w:b w:val="false"/>
          <w:color w:val="000000"/>
          <w:sz w:val="22"/>
        </w:rPr>
        <w:t>. Amend, modify, supplement, waive compliance with, or consent to noncompliance with, any Subordinated Debt Document, unless the amendment, modification, supplement, waiver or consent (i) does not adversely affect the Group Members’ ability to pay and perform each of their Obligations at the time and in the manner set forth herein and in the other Loan Documents and is not otherwise adverse to the Administrative Agent and the Lenders, and (ii) is in compliance with the subordination provisions therein and any subordination agreement with respect thereto in favor of the Administrative Agent and the Lenders.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Make any payment (including any interest payment, other than paid- 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pStyle w:val="TextBody"/>
        <w:spacing w:lineRule="auto" w:line="288" w:before="0" w:after="180"/>
        <w:ind w:left="0" w:right="0" w:firstLine="720"/>
        <w:jc w:val="both"/>
        <w:rPr/>
      </w:pPr>
      <w:r>
        <w:rPr>
          <w:rFonts w:ascii="Times New Roman;sans-serif" w:hAnsi="Times New Roman;sans-serif"/>
          <w:b/>
          <w:color w:val="000000"/>
          <w:sz w:val="22"/>
        </w:rPr>
        <w:t>7.22</w:t>
      </w:r>
      <w:r>
        <w:rPr>
          <w:rFonts w:ascii="Times New Roman;sans-serif" w:hAnsi="Times New Roman;sans-serif"/>
          <w:b/>
          <w:color w:val="000000"/>
          <w:sz w:val="22"/>
        </w:rPr>
        <w:t xml:space="preserve">Anti-Terrorism Laws. </w:t>
      </w:r>
      <w:r>
        <w:rPr>
          <w:rFonts w:ascii="Times New Roman;sans-serif" w:hAnsi="Times New Roman;sans-serif"/>
          <w:b w:val="false"/>
          <w:color w:val="000000"/>
          <w:sz w:val="22"/>
        </w:rPr>
        <w:t xml:space="preserve">Conduct, deal in or engage in or permit any Affiliate or agent of any Loan Party within its control to conduct, deal in or engage in any of the following activities: (a) </w:t>
      </w:r>
      <w:r>
        <w:br w:type="page"/>
      </w:r>
    </w:p>
    <w:p>
      <w:pPr>
        <w:pStyle w:val="TextBody"/>
        <w:spacing w:before="0" w:after="0"/>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60655"/>
                <wp:effectExtent l="0" t="0" r="0" b="0"/>
                <wp:wrapNone/>
                <wp:docPr id="358" name="Frame3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conduct any business or engage in any transaction or dealing with any person blocked pursuant to Executive Order No. 13224 (a “</w:t>
      </w:r>
      <w:r>
        <w:rPr>
          <w:rFonts w:ascii="Times New Roman;sans-serif" w:hAnsi="Times New Roman;sans-serif"/>
          <w:b/>
          <w:i/>
          <w:color w:val="000000"/>
          <w:sz w:val="22"/>
        </w:rPr>
        <w:t>Blocked Person</w:t>
      </w:r>
      <w:r>
        <w:rPr>
          <w:color w:val="000000"/>
        </w:rPr>
        <w:t>”</w:t>
      </w:r>
      <w:r>
        <w:rPr>
          <w:rFonts w:ascii="Times New Roman;sans-serif" w:hAnsi="Times New Roman;sans-serif"/>
          <w:b w:val="false"/>
          <w:color w:val="000000"/>
          <w:sz w:val="22"/>
        </w:rPr>
        <w:t>),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pStyle w:val="TextBody"/>
        <w:spacing w:lineRule="auto" w:line="288" w:before="0" w:after="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SECTION 8</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EVENTS OF DEFAULT</w:t>
      </w:r>
    </w:p>
    <w:p>
      <w:pPr>
        <w:pStyle w:val="TextBody"/>
        <w:spacing w:lineRule="auto" w:line="288" w:before="0" w:after="180"/>
        <w:ind w:left="0" w:right="0" w:firstLine="720"/>
        <w:jc w:val="both"/>
        <w:rPr/>
      </w:pPr>
      <w:r>
        <w:rPr>
          <w:rFonts w:ascii="Times New Roman;sans-serif" w:hAnsi="Times New Roman;sans-serif"/>
          <w:b/>
          <w:color w:val="000000"/>
          <w:sz w:val="22"/>
        </w:rPr>
        <w:t>8.1</w:t>
      </w:r>
      <w:r>
        <w:rPr>
          <w:rFonts w:ascii="Times New Roman;sans-serif" w:hAnsi="Times New Roman;sans-serif"/>
          <w:b/>
          <w:color w:val="000000"/>
          <w:sz w:val="22"/>
        </w:rPr>
        <w:t>Events of Default</w:t>
      </w:r>
      <w:r>
        <w:rPr>
          <w:rFonts w:ascii="Times New Roman;sans-serif" w:hAnsi="Times New Roman;sans-serif"/>
          <w:b w:val="false"/>
          <w:color w:val="000000"/>
          <w:sz w:val="22"/>
        </w:rPr>
        <w:t>. The occurrence of any of the following shall constitute an Event of Default: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 any Loan Party shall default in the observance or performance of any agreement contained in, </w:t>
      </w:r>
      <w:r>
        <w:rPr>
          <w:rFonts w:ascii="Times New Roman;sans-serif" w:hAnsi="Times New Roman;sans-serif"/>
          <w:b w:val="false"/>
          <w:color w:val="000000"/>
          <w:sz w:val="22"/>
          <w:u w:val="single"/>
        </w:rPr>
        <w:t>Section 5.3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 xml:space="preserve">, Section </w:t>
      </w:r>
      <w:r>
        <w:rPr>
          <w:rFonts w:ascii="Times New Roman;sans-serif" w:hAnsi="Times New Roman;sans-serif"/>
          <w:b w:val="false"/>
          <w:color w:val="000000"/>
          <w:sz w:val="22"/>
          <w:u w:val="single"/>
        </w:rPr>
        <w:t>6.3(c)</w:t>
      </w:r>
      <w:r>
        <w:rPr>
          <w:rFonts w:ascii="Times New Roman;sans-serif" w:hAnsi="Times New Roman;sans-serif"/>
          <w:b w:val="false"/>
          <w:color w:val="000000"/>
          <w:sz w:val="22"/>
        </w:rPr>
        <w:t xml:space="preserve">, clause (i) or (ii) of </w:t>
      </w:r>
      <w:r>
        <w:rPr>
          <w:rFonts w:ascii="Times New Roman;sans-serif" w:hAnsi="Times New Roman;sans-serif"/>
          <w:b w:val="false"/>
          <w:color w:val="000000"/>
          <w:sz w:val="22"/>
          <w:u w:val="single"/>
        </w:rPr>
        <w:t>Section 6.5(a)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6.6(b)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6.8(a)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6.16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of this Agreement or (ii) an “Event of Default” under and as defined in any Security Document shall have occurred and be continuing; or</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any Loan Party shall default in the observance or performance of any other agreement contained in this Agreement or any other Loan Document (other than as provided in paragraphs (a) through (c) of this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and such default shall continue unremedied for a period of 30 days thereafter; or</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w:t>
      </w:r>
      <w:r>
        <w:br w:type="page"/>
      </w:r>
    </w:p>
    <w:p>
      <w:pPr>
        <w:pStyle w:val="TextBody"/>
        <w:spacing w:before="0" w:after="0"/>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60655"/>
                <wp:effectExtent l="0" t="0" r="0" b="0"/>
                <wp:wrapNone/>
                <wp:docPr id="359" name="Frame3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Indebtedness constituting a Swap Agreement) to be terminated, or (2) to cause,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clauses (i)(A), (B), (C), or (D) of this </w:t>
      </w:r>
      <w:r>
        <w:rPr>
          <w:rFonts w:ascii="Times New Roman;sans-serif" w:hAnsi="Times New Roman;sans-serif"/>
          <w:b w:val="false"/>
          <w:color w:val="000000"/>
          <w:sz w:val="22"/>
          <w:u w:val="single"/>
        </w:rPr>
        <w:t>Section 8.1(e)</w:t>
      </w:r>
      <w:r>
        <w:rPr>
          <w:color w:val="000000"/>
        </w:rPr>
        <w:t xml:space="preserve"> </w:t>
      </w:r>
      <w:r>
        <w:rPr>
          <w:rFonts w:ascii="Times New Roman;sans-serif" w:hAnsi="Times New Roman;sans-serif"/>
          <w:b w:val="false"/>
          <w:color w:val="000000"/>
          <w:sz w:val="22"/>
        </w:rPr>
        <w:t xml:space="preserve">shall not at any time constitute an Event of Default unless, at such time, one or more defaults, events or conditions of the type described in any of clauses (i)(A), (B), (C), or (D) of this </w:t>
      </w:r>
      <w:r>
        <w:rPr>
          <w:rFonts w:ascii="Times New Roman;sans-serif" w:hAnsi="Times New Roman;sans-serif"/>
          <w:b w:val="false"/>
          <w:color w:val="000000"/>
          <w:sz w:val="22"/>
          <w:u w:val="single"/>
        </w:rPr>
        <w:t>Section 8.1(e)</w:t>
      </w:r>
      <w:r>
        <w:rPr>
          <w:color w:val="000000"/>
        </w:rPr>
        <w:t xml:space="preserve"> </w:t>
      </w:r>
      <w:r>
        <w:rPr>
          <w:rFonts w:ascii="Times New Roman;sans-serif" w:hAnsi="Times New Roman;sans-serif"/>
          <w:b w:val="false"/>
          <w:color w:val="000000"/>
          <w:sz w:val="22"/>
        </w:rPr>
        <w:t>shall have occurred with respect to Indebtedness, the outstanding principal amount (and, in the case of Swap Agreements, other than Specified Swap Agreements, the Swap Termination Value) of which, individually or in the aggregate for all such Indebtedness, exceeds $1,000,000; or (ii) any default or event of default (however designated) shall occur with respect to any Subordinated Indebtedness of any Group Member; or</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60 days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during such 60 day period, no Loan shall be advanced or Letters of Credit issued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during such 60 day period, no Loan shall be advanced or Letters of Credit issued hereunder); or (iv) (1) any UK Group Member (A) is unable or admits inability to pay its debts as they fall due within the meaning of the Insolvency Act of 1986, (B) is deemed to, or is declared to, be unable to pay its debts under applicable law, (C) suspends or threatens to suspend making payments on any of its debts or (D) by reason of actual or anticipated financial difficulties, commences negotiations with one or more of its creditors (excluding the Administrative Agent or any Lender in its capacity as such) with a view to rescheduling any of its indebtedness, or (2) a moratorium is declared in respect of any indebtedness of any UK Group Member;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moratorium occurs, the ending of the moratorium will not remedy any Event of Default caused by that moratorium; or (4) any UK Insolvency Proceedings occur in relation to any UK Group Member, save for any winding-up petition (or equivalent) which is frivolous or vexatious and is discharged, stayed or dismissed within 14 days of commencement; or (5) any expropriation, attachment, sequestration, distress or execution affects any asset or assets of a UK Group Member; or (v) any Group Member shall take any action in furtherance of, or indicating its consent to, approval of, or acquiescence in, any of the acts set forth in clause (i), (ii), (iii) or (iv) above; or (vi) any Group Member shall generally not, or shall be unable to, or shall admit in writing its inability to, pay its debts as they become due; or</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there shall occur one or more ERISA Events which individually or in the aggregate results in or otherwise is associated with liability of any Loan Party or any ERISA Affiliate thereof in excess of $1,000,000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$1,000,000; or</w:t>
      </w:r>
      <w:r>
        <w:br w:type="page"/>
      </w:r>
    </w:p>
    <w:p>
      <w:pPr>
        <w:pStyle w:val="TextBody"/>
        <w:spacing w:before="0" w:after="0"/>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60655"/>
                <wp:effectExtent l="0" t="0" r="0" b="0"/>
                <wp:wrapNone/>
                <wp:docPr id="360" name="Frame3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there is entered against any Group Member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sixty (60) days from the entry thereof; or</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(other than a result of the failure by Administrative Agent or any Lender to file a financing or continuation statement or to maintain possession or any possessory collateral in its possession), in each case, with respect to Collateral having a fair market value in excess of $1,000,000; or</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any court order enjoins, restrains or prevents a Loan Party from conducting all or any material part of its business; or</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the guarantee contained in Section 2 of the Guarantee and Collateral Agreement shall cease, for any reason, to be in full force and effect or any Loan Party shall so assert; or</w:t>
      </w:r>
    </w:p>
    <w:p>
      <w:pPr>
        <w:pStyle w:val="TextBody"/>
        <w:spacing w:lineRule="auto" w:line="288" w:before="0" w:after="180"/>
        <w:ind w:left="0" w:right="0" w:firstLine="1440"/>
        <w:rPr/>
      </w:pPr>
      <w:r>
        <w:rPr>
          <w:rFonts w:ascii="Times New Roman;sans-serif" w:hAnsi="Times New Roman;sans-serif"/>
          <w:b w:val="false"/>
          <w:color w:val="000000"/>
          <w:sz w:val="22"/>
        </w:rPr>
        <w:t>(l)</w:t>
      </w:r>
      <w:r>
        <w:rPr>
          <w:rFonts w:ascii="Times New Roman;sans-serif" w:hAnsi="Times New Roman;sans-serif"/>
          <w:b w:val="false"/>
          <w:color w:val="000000"/>
          <w:sz w:val="22"/>
        </w:rPr>
        <w:t>a Change of Control shall occur; or</w: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any of the Governmental Approvals necessary for any Loan Party to operate its business in the ordinary course shall have been (i) revoked, rescinded, suspended, modified in an adverse manner or not renewed in the ordinary course for a full term or (ii) subject to any decision by a Governmental Authority that designates a hearing with respect to any applications for renewal of any of such Governmental Approvals or that could result in the Governmental Authority taking any of the actions described in clause (i) above, and such decision or such revocation, rescission, suspension, modification or nonrenewal (x) has, or could reasonably be expected to have, a Material Adverse Effect, or (y) materially adversely affects the legal qualifications of any Group Member to hold any material Governmental Approval in any applicable jurisdiction and such revocation, rescission, suspension, modification or nonrenewal could reasonably be expected to materially adversely affect the status of or legal qualifications of any Group Member to hold any material Governmental Approval in any other jurisdiction; or</w:t>
      </w:r>
    </w:p>
    <w:p>
      <w:pPr>
        <w:pStyle w:val="TextBody"/>
        <w:spacing w:lineRule="auto" w:line="288" w:before="0" w:after="18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any Loan Document (including the subordination provisions of any subordination or intercreditor agreement governing Subordinated Indebtedness) not otherwise referenced in </w:t>
      </w:r>
      <w:r>
        <w:rPr>
          <w:rFonts w:ascii="Times New Roman;sans-serif" w:hAnsi="Times New Roman;sans-serif"/>
          <w:b w:val="false"/>
          <w:color w:val="000000"/>
          <w:sz w:val="22"/>
          <w:u w:val="single"/>
        </w:rPr>
        <w:t>Section 8.1(i)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(j)</w:t>
      </w:r>
      <w:r>
        <w:rPr>
          <w:rFonts w:ascii="Times New Roman;sans-serif" w:hAnsi="Times New Roman;sans-serif"/>
          <w:b w:val="false"/>
          <w:color w:val="000000"/>
          <w:sz w:val="22"/>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 or</w:t>
      </w:r>
    </w:p>
    <w:p>
      <w:pPr>
        <w:pStyle w:val="TextBody"/>
        <w:spacing w:lineRule="auto" w:line="288" w:before="0" w:after="180"/>
        <w:ind w:left="0" w:right="0" w:firstLine="1440"/>
        <w:rPr/>
      </w:pPr>
      <w:r>
        <w:rPr>
          <w:rFonts w:ascii="Times New Roman;sans-serif" w:hAnsi="Times New Roman;sans-serif"/>
          <w:b w:val="false"/>
          <w:color w:val="000000"/>
          <w:sz w:val="22"/>
        </w:rPr>
        <w:t>(o)</w:t>
      </w:r>
      <w:r>
        <w:rPr>
          <w:rFonts w:ascii="Times New Roman;sans-serif" w:hAnsi="Times New Roman;sans-serif"/>
          <w:b w:val="false"/>
          <w:color w:val="000000"/>
          <w:sz w:val="22"/>
        </w:rPr>
        <w:t>a Material Adverse Effect shall occur.</w:t>
      </w:r>
    </w:p>
    <w:p>
      <w:pPr>
        <w:pStyle w:val="TextBody"/>
        <w:spacing w:lineRule="auto" w:line="288" w:before="0" w:after="180"/>
        <w:ind w:left="0" w:right="0" w:firstLine="720"/>
        <w:jc w:val="both"/>
        <w:rPr/>
      </w:pPr>
      <w:r>
        <w:rPr>
          <w:rFonts w:ascii="Times New Roman;sans-serif" w:hAnsi="Times New Roman;sans-serif"/>
          <w:b/>
          <w:color w:val="000000"/>
          <w:sz w:val="22"/>
        </w:rPr>
        <w:t>8.2</w:t>
      </w:r>
      <w:r>
        <w:rPr>
          <w:rFonts w:ascii="Times New Roman;sans-serif" w:hAnsi="Times New Roman;sans-serif"/>
          <w:b/>
          <w:color w:val="000000"/>
          <w:sz w:val="22"/>
        </w:rPr>
        <w:t>Remedies Upon Event of Default</w:t>
      </w:r>
      <w:r>
        <w:rPr>
          <w:rFonts w:ascii="Times New Roman;sans-serif" w:hAnsi="Times New Roman;sans-serif"/>
          <w:b w:val="false"/>
          <w:color w:val="000000"/>
          <w:sz w:val="22"/>
        </w:rPr>
        <w:t>. If any Event of Default occurs and is continuing, the Administrative Agent shall, at the request of, or may, with the consent of, the Required Lenders, take any or all of the following actions:</w:t>
      </w:r>
      <w:r>
        <w:br w:type="page"/>
      </w:r>
    </w:p>
    <w:p>
      <w:pPr>
        <w:pStyle w:val="TextBody"/>
        <w:spacing w:before="0" w:after="0"/>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60655"/>
                <wp:effectExtent l="0" t="0" r="0" b="0"/>
                <wp:wrapNone/>
                <wp:docPr id="361" name="Frame3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such event is an Event of Default specified in clause (i) or (ii) of paragraph (f) of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Term Commitments, the Swingline Commitments and the L/C Commitments to be terminated forthwith, whereupon the Revolving Commitments, the Term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pStyle w:val="TextBody"/>
        <w:spacing w:lineRule="auto" w:line="288" w:before="0" w:after="180"/>
        <w:ind w:left="0" w:right="0" w:firstLine="1440"/>
        <w:jc w:val="both"/>
        <w:rPr/>
      </w:pPr>
      <w:r>
        <w:rPr>
          <w:rFonts w:ascii="Times New Roman;sans-serif" w:hAnsi="Times New Roman;sans-serif"/>
          <w:b w:val="false"/>
          <w:color w:val="000000"/>
          <w:sz w:val="22"/>
        </w:rPr>
        <w:t xml:space="preserve">With respect to all Letters of Credit with respect to which presentment for honor shall not have occurred at the time of an acceleration pursuant to this paragraph, the Borrower shall Cash Collateralize an amount equal to 105%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 xml:space="preserve">In addition, (x) the Borrower shall also Cash Collateralize the full amount of any Swingline Loans then outstanding, and (y) 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r>
        <w:br w:type="page"/>
      </w:r>
    </w:p>
    <w:p>
      <w:pPr>
        <w:pStyle w:val="TextBody"/>
        <w:spacing w:before="0" w:after="0"/>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60655"/>
                <wp:effectExtent l="0" t="0" r="0" b="0"/>
                <wp:wrapNone/>
                <wp:docPr id="362" name="Frame3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8.3</w:t>
      </w:r>
      <w:r>
        <w:rPr>
          <w:rFonts w:ascii="Times New Roman;sans-serif" w:hAnsi="Times New Roman;sans-serif"/>
          <w:b/>
          <w:color w:val="000000"/>
          <w:sz w:val="22"/>
        </w:rPr>
        <w:t>Application of Funds</w:t>
      </w:r>
      <w:r>
        <w:rPr>
          <w:rFonts w:ascii="Times New Roman;sans-serif" w:hAnsi="Times New Roman;sans-serif"/>
          <w:b w:val="false"/>
          <w:color w:val="000000"/>
          <w:sz w:val="22"/>
        </w:rPr>
        <w:t xml:space="preserve">. After the exercise of remedies provided for in </w:t>
      </w:r>
      <w:r>
        <w:rPr>
          <w:rFonts w:ascii="Times New Roman;sans-serif" w:hAnsi="Times New Roman;sans-serif"/>
          <w:b w:val="false"/>
          <w:color w:val="000000"/>
          <w:sz w:val="22"/>
          <w:u w:val="single"/>
        </w:rPr>
        <w:t>Section 8.2</w:t>
      </w:r>
      <w:r>
        <w:rPr>
          <w:rFonts w:ascii="Times New Roman;sans-serif" w:hAnsi="Times New Roman;sans-serif"/>
          <w:b w:val="false"/>
          <w:color w:val="000000"/>
          <w:sz w:val="22"/>
        </w:rPr>
        <w:t>, any amounts received by the Administrative Agent on account of the Obligations shall be applied by the Administrative Agent in the following order:</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Times New Roman;sans-serif" w:hAnsi="Times New Roman;sans-serif"/>
          <w:b w:val="false"/>
          <w:color w:val="000000"/>
          <w:sz w:val="22"/>
          <w:u w:val="single"/>
        </w:rPr>
        <w:t>Sections 2.19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2.21</w:t>
      </w:r>
      <w:r>
        <w:rPr>
          <w:color w:val="000000"/>
        </w:rPr>
        <w:t xml:space="preserve"> </w:t>
      </w:r>
      <w:r>
        <w:rPr>
          <w:rFonts w:ascii="Times New Roman;sans-serif" w:hAnsi="Times New Roman;sans-serif"/>
          <w:b w:val="false"/>
          <w:color w:val="000000"/>
          <w:sz w:val="22"/>
        </w:rPr>
        <w:t>(including interest thereon)) payable to the Administrative Agent, in its capacity as such;</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Times New Roman;sans-serif" w:hAnsi="Times New Roman;sans-serif"/>
          <w:b w:val="false"/>
          <w:color w:val="000000"/>
          <w:sz w:val="22"/>
          <w:u w:val="single"/>
        </w:rPr>
        <w:t>Sections 2.19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2.21</w:t>
      </w:r>
      <w:r>
        <w:rPr>
          <w:rFonts w:ascii="Times New Roman;sans-serif" w:hAnsi="Times New Roman;sans-serif"/>
          <w:b w:val="false"/>
          <w:color w:val="000000"/>
          <w:sz w:val="22"/>
        </w:rPr>
        <w:t xml:space="preserve">), in each case, ratably among them in proportion to the respective amounts described in this clause </w:t>
      </w:r>
      <w:r>
        <w:rPr>
          <w:rFonts w:ascii="Times New Roman;sans-serif" w:hAnsi="Times New Roman;sans-serif"/>
          <w:b w:val="false"/>
          <w:color w:val="000000"/>
          <w:sz w:val="22"/>
          <w:u w:val="single"/>
        </w:rPr>
        <w:t>Second</w:t>
      </w:r>
      <w:r>
        <w:rPr>
          <w:color w:val="000000"/>
        </w:rPr>
        <w:t xml:space="preserve"> </w:t>
      </w:r>
      <w:r>
        <w:rPr>
          <w:rFonts w:ascii="Times New Roman;sans-serif" w:hAnsi="Times New Roman;sans-serif"/>
          <w:b w:val="false"/>
          <w:color w:val="000000"/>
          <w:sz w:val="22"/>
        </w:rPr>
        <w:t>payable to them;</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Times New Roman;sans-serif" w:hAnsi="Times New Roman;sans-serif"/>
          <w:b w:val="false"/>
          <w:color w:val="000000"/>
          <w:sz w:val="22"/>
          <w:u w:val="single"/>
        </w:rPr>
        <w:t>Fourth</w:t>
      </w:r>
      <w:r>
        <w:rPr>
          <w:color w:val="000000"/>
        </w:rPr>
        <w:t xml:space="preserve"> </w:t>
      </w:r>
      <w:r>
        <w:rPr>
          <w:rFonts w:ascii="Times New Roman;sans-serif" w:hAnsi="Times New Roman;sans-serif"/>
          <w:b w:val="false"/>
          <w:color w:val="000000"/>
          <w:sz w:val="22"/>
        </w:rPr>
        <w:t>payable to them;</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Times New Roman;sans-serif" w:hAnsi="Times New Roman;sans-serif"/>
          <w:b w:val="false"/>
          <w:color w:val="000000"/>
          <w:sz w:val="22"/>
          <w:u w:val="single"/>
        </w:rPr>
        <w:t>Fifth</w:t>
      </w:r>
      <w:r>
        <w:rPr>
          <w:color w:val="000000"/>
        </w:rPr>
        <w:t xml:space="preserve"> </w:t>
      </w:r>
      <w:r>
        <w:rPr>
          <w:rFonts w:ascii="Times New Roman;sans-serif" w:hAnsi="Times New Roman;sans-serif"/>
          <w:b w:val="false"/>
          <w:color w:val="000000"/>
          <w:sz w:val="22"/>
        </w:rPr>
        <w:t>and payable to them;</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the Administrative Agent for the account of the Issuing Lender, to Cash Collateralize that portion of the L/C Exposure comprised of the aggregate undrawn amount of Letters of Credit pursuant to </w:t>
      </w:r>
      <w:r>
        <w:rPr>
          <w:rFonts w:ascii="Times New Roman;sans-serif" w:hAnsi="Times New Roman;sans-serif"/>
          <w:b w:val="false"/>
          <w:color w:val="000000"/>
          <w:sz w:val="22"/>
          <w:u w:val="single"/>
        </w:rPr>
        <w:t>Section 3.10</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Seventh,</w:t>
      </w:r>
      <w:r>
        <w:rPr>
          <w:color w:val="000000"/>
        </w:rPr>
        <w:t xml:space="preserve"> </w:t>
      </w:r>
      <w:r>
        <w:rPr>
          <w:rFonts w:ascii="Times New Roman;sans-serif" w:hAnsi="Times New Roman;sans-serif"/>
          <w:b w:val="false"/>
          <w:color w:val="000000"/>
          <w:sz w:val="22"/>
        </w:rPr>
        <w:t xml:space="preserve">for the account of any applicable Qualified Counterparty and any applicable Cash Management Bank, to any settlement amounts, payment amounts and other termination payment obligations under any Specified Swap Agreements and Cash Management Agreements not paid pursuant to clause </w:t>
      </w:r>
      <w:r>
        <w:rPr>
          <w:rFonts w:ascii="Times New Roman;sans-serif" w:hAnsi="Times New Roman;sans-serif"/>
          <w:b w:val="false"/>
          <w:color w:val="000000"/>
          <w:sz w:val="22"/>
          <w:u w:val="single"/>
        </w:rPr>
        <w:t>Fifth</w:t>
      </w:r>
      <w:r>
        <w:rPr>
          <w:color w:val="000000"/>
        </w:rPr>
        <w:t xml:space="preserve"> </w:t>
      </w:r>
      <w:r>
        <w:rPr>
          <w:rFonts w:ascii="Times New Roman;sans-serif" w:hAnsi="Times New Roman;sans-serif"/>
          <w:b w:val="false"/>
          <w:color w:val="000000"/>
          <w:sz w:val="22"/>
        </w:rPr>
        <w:t xml:space="preserve">and to cash collateralize Obligations arising under any then outstanding Specified Swap Agreements and Cash Management Services, in each case, ratably among them in proportion to the respective amounts described in this clause </w:t>
      </w:r>
      <w:r>
        <w:rPr>
          <w:rFonts w:ascii="Times New Roman;sans-serif" w:hAnsi="Times New Roman;sans-serif"/>
          <w:b w:val="false"/>
          <w:color w:val="000000"/>
          <w:sz w:val="22"/>
          <w:u w:val="single"/>
        </w:rPr>
        <w:t>Seventh</w:t>
      </w:r>
      <w:r>
        <w:rPr>
          <w:color w:val="000000"/>
        </w:rPr>
        <w:t xml:space="preserve"> </w:t>
      </w:r>
      <w:r>
        <w:rPr>
          <w:rFonts w:ascii="Times New Roman;sans-serif" w:hAnsi="Times New Roman;sans-serif"/>
          <w:b w:val="false"/>
          <w:color w:val="000000"/>
          <w:sz w:val="22"/>
        </w:rPr>
        <w:t>payable to them;</w:t>
      </w:r>
      <w:r>
        <w:br w:type="page"/>
      </w:r>
    </w:p>
    <w:p>
      <w:pPr>
        <w:pStyle w:val="TextBody"/>
        <w:spacing w:before="0" w:after="0"/>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60655"/>
                <wp:effectExtent l="0" t="0" r="0" b="0"/>
                <wp:wrapNone/>
                <wp:docPr id="363" name="Frame3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sans-serif" w:hAnsi="Times New Roman;sans-serif"/>
          <w:b w:val="false"/>
          <w:color w:val="000000"/>
          <w:sz w:val="22"/>
          <w:u w:val="single"/>
        </w:rPr>
        <w:t>Eighth</w:t>
      </w:r>
      <w:r>
        <w:rPr>
          <w:color w:val="000000"/>
        </w:rPr>
        <w:t xml:space="preserve"> </w:t>
      </w:r>
      <w:r>
        <w:rPr>
          <w:rFonts w:ascii="Times New Roman;sans-serif" w:hAnsi="Times New Roman;sans-serif"/>
          <w:b w:val="false"/>
          <w:color w:val="000000"/>
          <w:sz w:val="22"/>
        </w:rPr>
        <w:t>and payable to them;</w:t>
      </w:r>
    </w:p>
    <w:p>
      <w:pPr>
        <w:pStyle w:val="TextBody"/>
        <w:spacing w:lineRule="auto" w:line="288" w:before="0" w:after="180"/>
        <w:ind w:left="0" w:right="0" w:firstLine="1440"/>
        <w:rPr/>
      </w:pPr>
      <w:r>
        <w:rPr>
          <w:rFonts w:ascii="Times New Roman;sans-serif" w:hAnsi="Times New Roman;sans-serif"/>
          <w:b w:val="false"/>
          <w:color w:val="000000"/>
          <w:sz w:val="22"/>
          <w:u w:val="single"/>
        </w:rPr>
        <w:t>Last</w:t>
      </w:r>
      <w:r>
        <w:rPr>
          <w:rFonts w:ascii="Times New Roman;sans-serif" w:hAnsi="Times New Roman;sans-serif"/>
          <w:b w:val="false"/>
          <w:color w:val="000000"/>
          <w:sz w:val="22"/>
        </w:rPr>
        <w:t>, the balance, if any, after the Discharge of Obligations, to the Borrower or as otherwise required by Law.</w:t>
      </w:r>
    </w:p>
    <w:p>
      <w:pPr>
        <w:pStyle w:val="TextBody"/>
        <w:spacing w:lineRule="auto" w:line="288" w:before="0" w:after="18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Sections 2.24(a)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3.10</w:t>
      </w:r>
      <w:r>
        <w:rPr>
          <w:rFonts w:ascii="Times New Roman;sans-serif" w:hAnsi="Times New Roman;sans-serif"/>
          <w:b w:val="false"/>
          <w:color w:val="000000"/>
          <w:sz w:val="22"/>
        </w:rPr>
        <w:t xml:space="preserve">, amounts used to Cash Collateralize the aggregate undrawn amount of Letters of Credit pursuant to clause </w:t>
      </w:r>
      <w:r>
        <w:rPr>
          <w:rFonts w:ascii="Times New Roman;sans-serif" w:hAnsi="Times New Roman;sans-serif"/>
          <w:b w:val="false"/>
          <w:color w:val="000000"/>
          <w:sz w:val="22"/>
          <w:u w:val="single"/>
        </w:rPr>
        <w:t>Sixth</w:t>
      </w:r>
      <w:r>
        <w:rPr>
          <w:color w:val="000000"/>
        </w:rPr>
        <w:t xml:space="preserve"> </w:t>
      </w:r>
      <w:r>
        <w:rPr>
          <w:rFonts w:ascii="Times New Roman;sans-serif" w:hAnsi="Times New Roman;sans-serif"/>
          <w:b w:val="false"/>
          <w:color w:val="000000"/>
          <w:sz w:val="22"/>
        </w:rPr>
        <w:t>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w:t>
      </w:r>
    </w:p>
    <w:p>
      <w:pPr>
        <w:pStyle w:val="TextBody"/>
        <w:spacing w:lineRule="auto" w:line="288"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SECTION 9</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THE ADMINISTRATIVE AGENT</w:t>
      </w:r>
    </w:p>
    <w:p>
      <w:pPr>
        <w:pStyle w:val="TextBody"/>
        <w:spacing w:lineRule="auto" w:line="288" w:before="0" w:after="180"/>
        <w:ind w:left="0" w:right="0" w:firstLine="720"/>
        <w:rPr/>
      </w:pPr>
      <w:r>
        <w:rPr>
          <w:rFonts w:ascii="Times New Roman;sans-serif" w:hAnsi="Times New Roman;sans-serif"/>
          <w:b/>
          <w:color w:val="000000"/>
          <w:sz w:val="22"/>
        </w:rPr>
        <w:t>9.1</w:t>
      </w:r>
      <w:r>
        <w:rPr>
          <w:rFonts w:ascii="Times New Roman;sans-serif" w:hAnsi="Times New Roman;sans-serif"/>
          <w:b/>
          <w:color w:val="000000"/>
          <w:sz w:val="22"/>
        </w:rPr>
        <w:t>Appointment and Authority.</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provisions of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w:t>
      </w:r>
      <w:r>
        <w:br w:type="page"/>
      </w:r>
    </w:p>
    <w:p>
      <w:pPr>
        <w:pStyle w:val="TextBody"/>
        <w:spacing w:before="0" w:after="0"/>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60655"/>
                <wp:effectExtent l="0" t="0" r="0" b="0"/>
                <wp:wrapNone/>
                <wp:docPr id="364" name="Frame3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Guarantee and Collateral Agreement and any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 xml:space="preserve">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 xml:space="preserve">(including </w:t>
      </w:r>
      <w:r>
        <w:rPr>
          <w:rFonts w:ascii="Times New Roman;sans-serif" w:hAnsi="Times New Roman;sans-serif"/>
          <w:b w:val="false"/>
          <w:color w:val="000000"/>
          <w:sz w:val="22"/>
          <w:u w:val="single"/>
        </w:rPr>
        <w:t>Section 9.7</w:t>
      </w:r>
      <w:r>
        <w:rPr>
          <w:rFonts w:ascii="Times New Roman;sans-serif" w:hAnsi="Times New Roman;sans-serif"/>
          <w:b w:val="false"/>
          <w:color w:val="000000"/>
          <w:sz w:val="22"/>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pStyle w:val="TextBody"/>
        <w:spacing w:lineRule="auto" w:line="288" w:before="0" w:after="180"/>
        <w:ind w:left="0" w:right="0" w:firstLine="720"/>
        <w:jc w:val="both"/>
        <w:rPr/>
      </w:pPr>
      <w:r>
        <w:rPr>
          <w:rFonts w:ascii="Times New Roman;sans-serif" w:hAnsi="Times New Roman;sans-serif"/>
          <w:b/>
          <w:color w:val="000000"/>
          <w:sz w:val="22"/>
        </w:rPr>
        <w:t>9.2</w:t>
      </w:r>
      <w:r>
        <w:rPr>
          <w:rFonts w:ascii="Times New Roman;sans-serif" w:hAnsi="Times New Roman;sans-serif"/>
          <w:b/>
          <w:color w:val="000000"/>
          <w:sz w:val="22"/>
        </w:rPr>
        <w:t>Delegation of Duties</w:t>
      </w:r>
      <w:r>
        <w:rPr>
          <w:rFonts w:ascii="Times New Roman;sans-serif" w:hAnsi="Times New Roman;sans-serif"/>
          <w:b w:val="false"/>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pStyle w:val="TextBody"/>
        <w:spacing w:lineRule="auto" w:line="288" w:before="0" w:after="180"/>
        <w:ind w:left="0" w:right="0" w:firstLine="720"/>
        <w:jc w:val="both"/>
        <w:rPr/>
      </w:pPr>
      <w:r>
        <w:rPr>
          <w:rFonts w:ascii="Times New Roman;sans-serif" w:hAnsi="Times New Roman;sans-serif"/>
          <w:b/>
          <w:color w:val="000000"/>
          <w:sz w:val="22"/>
        </w:rPr>
        <w:t>9.3</w:t>
      </w:r>
      <w:r>
        <w:rPr>
          <w:rFonts w:ascii="Times New Roman;sans-serif" w:hAnsi="Times New Roman;sans-serif"/>
          <w:b/>
          <w:color w:val="000000"/>
          <w:sz w:val="22"/>
        </w:rPr>
        <w:t>Exculpatory Provisions</w:t>
      </w:r>
      <w:r>
        <w:rPr>
          <w:rFonts w:ascii="Times New Roman;sans-serif" w:hAnsi="Times New Roman;sans-serif"/>
          <w:b w:val="false"/>
          <w:color w:val="000000"/>
          <w:sz w:val="22"/>
        </w:rPr>
        <w:t>. The Administrative Agent shall have no duties or obligations except those expressly set forth herein and in the other Loan Documents, and its duties hereunder and thereunder shall be administrative in nature. Without limiting the generality of the foregoing, the Administrative Agent shall not:</w:t>
      </w:r>
    </w:p>
    <w:p>
      <w:pPr>
        <w:pStyle w:val="TextBody"/>
        <w:spacing w:lineRule="auto" w:line="288" w:before="0" w:after="18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be subject to any fiduciary or other implied duties, regardless of whether any Default or any Event of Default has occurred and is continuing;</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except as expressly set forth herein and in the other Loan Documents, have any duty to disclose, and the Administrative Agent shall not be liable for the failure to disclose, any </w:t>
      </w:r>
      <w:r>
        <w:br w:type="page"/>
      </w:r>
    </w:p>
    <w:p>
      <w:pPr>
        <w:pStyle w:val="TextBody"/>
        <w:spacing w:before="0" w:after="0"/>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60655"/>
                <wp:effectExtent l="0" t="0" r="0" b="0"/>
                <wp:wrapNone/>
                <wp:docPr id="365" name="Frame3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relating to the Borrower or any of its Affiliates that is communicated to or obtained by any Person serving as the Administrative Agent or any of its Affiliates in any capacity.</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Sections 8.2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10.1</w:t>
      </w:r>
      <w:r>
        <w:rPr>
          <w:rFonts w:ascii="Times New Roman;sans-serif" w:hAnsi="Times New Roman;sans-serif"/>
          <w:b w:val="false"/>
          <w:color w:val="000000"/>
          <w:sz w:val="22"/>
        </w:rPr>
        <w:t>), or (ii) in the absence of its own gross negligence or willful misconduct as determined by a court of competent jurisdiction by final and nonappealable judgment.</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the Administrative Agent.</w:t>
      </w:r>
    </w:p>
    <w:p>
      <w:pPr>
        <w:pStyle w:val="TextBody"/>
        <w:spacing w:lineRule="auto" w:line="288" w:before="0" w:after="180"/>
        <w:ind w:left="0" w:right="0" w:firstLine="720"/>
        <w:jc w:val="both"/>
        <w:rPr/>
      </w:pPr>
      <w:r>
        <w:rPr>
          <w:rFonts w:ascii="Times New Roman;sans-serif" w:hAnsi="Times New Roman;sans-serif"/>
          <w:b/>
          <w:color w:val="000000"/>
          <w:sz w:val="22"/>
        </w:rPr>
        <w:t>9.4</w:t>
      </w:r>
      <w:r>
        <w:rPr>
          <w:rFonts w:ascii="Times New Roman;sans-serif" w:hAnsi="Times New Roman;sans-serif"/>
          <w:b/>
          <w:color w:val="000000"/>
          <w:sz w:val="22"/>
        </w:rPr>
        <w:t>Reliance by Administrative Agent</w:t>
      </w:r>
      <w:r>
        <w:rPr>
          <w:rFonts w:ascii="Times New Roman;sans-serif" w:hAnsi="Times New Roman;sans-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pStyle w:val="TextBody"/>
        <w:spacing w:lineRule="auto" w:line="288" w:before="0" w:after="180"/>
        <w:ind w:left="0" w:right="0" w:firstLine="720"/>
        <w:jc w:val="both"/>
        <w:rPr/>
      </w:pPr>
      <w:r>
        <w:rPr>
          <w:rFonts w:ascii="Times New Roman;sans-serif" w:hAnsi="Times New Roman;sans-serif"/>
          <w:b/>
          <w:color w:val="000000"/>
          <w:sz w:val="20"/>
        </w:rPr>
        <w:t>9.5</w:t>
      </w:r>
      <w:r>
        <w:rPr>
          <w:rFonts w:ascii="Times New Roman;sans-serif" w:hAnsi="Times New Roman;sans-serif"/>
          <w:b/>
          <w:color w:val="000000"/>
          <w:sz w:val="22"/>
        </w:rPr>
        <w:t>Notice of Default</w:t>
      </w:r>
      <w:r>
        <w:rPr>
          <w:rFonts w:ascii="Times New Roman;sans-serif" w:hAnsi="Times New Roman;sans-serif"/>
          <w:b w:val="false"/>
          <w:color w:val="000000"/>
          <w:sz w:val="22"/>
        </w:rPr>
        <w:t xml:space="preserve">. The Administrative Agent shall not be deemed to have knowledge or notice of the occurrence of any Default or Event of Default unless the Administrative Agent has received notice in writing from a Lender or a Loan Party referring to this Agreement, describing such Default or </w:t>
      </w:r>
      <w:r>
        <w:br w:type="page"/>
      </w:r>
    </w:p>
    <w:p>
      <w:pPr>
        <w:pStyle w:val="TextBody"/>
        <w:spacing w:before="0" w:after="0"/>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60655"/>
                <wp:effectExtent l="0" t="0" r="0" b="0"/>
                <wp:wrapNone/>
                <wp:docPr id="366" name="Frame3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Event of Default and stating that such notice is a “</w:t>
      </w:r>
      <w:r>
        <w:rPr>
          <w:rFonts w:ascii="Times New Roman;sans-serif" w:hAnsi="Times New Roman;sans-serif"/>
          <w:b/>
          <w:i/>
          <w:color w:val="000000"/>
          <w:sz w:val="22"/>
        </w:rPr>
        <w:t>notice of default</w:t>
      </w:r>
      <w:r>
        <w:rPr>
          <w:rFonts w:ascii="Times New Roman;sans-serif" w:hAnsi="Times New Roman;sans-serif"/>
          <w:b w:val="false"/>
          <w:color w:val="000000"/>
          <w:sz w:val="22"/>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pStyle w:val="TextBody"/>
        <w:spacing w:lineRule="auto" w:line="288" w:before="0" w:after="180"/>
        <w:ind w:left="0" w:right="0" w:firstLine="720"/>
        <w:jc w:val="both"/>
        <w:rPr/>
      </w:pPr>
      <w:r>
        <w:rPr>
          <w:rFonts w:ascii="Times New Roman;sans-serif" w:hAnsi="Times New Roman;sans-serif"/>
          <w:b/>
          <w:color w:val="000000"/>
          <w:sz w:val="22"/>
        </w:rPr>
        <w:t>9.6</w:t>
      </w:r>
      <w:r>
        <w:rPr>
          <w:rFonts w:ascii="Times New Roman;sans-serif" w:hAnsi="Times New Roman;sans-serif"/>
          <w:b/>
          <w:color w:val="000000"/>
          <w:sz w:val="22"/>
        </w:rPr>
        <w:t>Non-Reliance on Administrative Agent and Other Lenders</w:t>
      </w:r>
      <w:r>
        <w:rPr>
          <w:rFonts w:ascii="Times New Roman;sans-serif" w:hAnsi="Times New Roman;sans-serif"/>
          <w:b w:val="false"/>
          <w:color w:val="000000"/>
          <w:sz w:val="22"/>
        </w:rPr>
        <w:t>. Each Lender expressly acknowledges that 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pStyle w:val="TextBody"/>
        <w:spacing w:lineRule="auto" w:line="288" w:before="0" w:after="180"/>
        <w:ind w:left="0" w:right="0" w:firstLine="720"/>
        <w:jc w:val="both"/>
        <w:rPr/>
      </w:pPr>
      <w:r>
        <w:rPr>
          <w:rFonts w:ascii="Times New Roman;sans-serif" w:hAnsi="Times New Roman;sans-serif"/>
          <w:b/>
          <w:color w:val="000000"/>
          <w:sz w:val="22"/>
        </w:rPr>
        <w:t>9.7</w:t>
      </w:r>
      <w:r>
        <w:rPr>
          <w:rFonts w:ascii="Times New Roman;sans-serif" w:hAnsi="Times New Roman;sans-serif"/>
          <w:b/>
          <w:color w:val="000000"/>
          <w:sz w:val="22"/>
        </w:rPr>
        <w:t>Indemnification</w:t>
      </w:r>
      <w:r>
        <w:rPr>
          <w:rFonts w:ascii="Times New Roman;sans-serif" w:hAnsi="Times New Roman;sans-serif"/>
          <w:b w:val="false"/>
          <w:color w:val="000000"/>
          <w:sz w:val="22"/>
        </w:rPr>
        <w:t xml:space="preserve">. Each of the Lenders agrees to indemnify each of the Administrative Agent, the Issuing Lender and the Swingline Lender and each of its Related Parties in its capacity as such (to the extent not reimbursed by any Loan Party and without limiting the obligation of the Loan Parties to do so) according to its Aggregate Exposure Percentage in effect on the date on which indemnification is sought under this </w:t>
      </w:r>
      <w:r>
        <w:rPr>
          <w:rFonts w:ascii="Times New Roman;sans-serif" w:hAnsi="Times New Roman;sans-serif"/>
          <w:b w:val="false"/>
          <w:color w:val="000000"/>
          <w:sz w:val="22"/>
          <w:u w:val="single"/>
        </w:rPr>
        <w:t>Section 9.7</w:t>
      </w:r>
      <w:r>
        <w:rPr>
          <w:color w:val="000000"/>
        </w:rPr>
        <w:t xml:space="preserve"> </w:t>
      </w:r>
      <w:r>
        <w:rPr>
          <w:rFonts w:ascii="Times New Roman;sans-serif" w:hAnsi="Times New Roman;sans-serif"/>
          <w:b w:val="false"/>
          <w:color w:val="000000"/>
          <w:sz w:val="22"/>
        </w:rPr>
        <w:t xml:space="preserve">(or,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Loan Parties;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w:t>
      </w:r>
      <w:r>
        <w:br w:type="page"/>
      </w:r>
    </w:p>
    <w:p>
      <w:pPr>
        <w:pStyle w:val="TextBody"/>
        <w:spacing w:before="0" w:after="0"/>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60655"/>
                <wp:effectExtent l="0" t="0" r="0" b="0"/>
                <wp:wrapNone/>
                <wp:docPr id="367" name="Frame3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Person’s gross negligence, bad faith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pStyle w:val="TextBody"/>
        <w:spacing w:lineRule="auto" w:line="288" w:before="0" w:after="180"/>
        <w:ind w:left="0" w:right="0" w:firstLine="720"/>
        <w:jc w:val="both"/>
        <w:rPr/>
      </w:pPr>
      <w:r>
        <w:rPr>
          <w:rFonts w:ascii="Times New Roman;sans-serif" w:hAnsi="Times New Roman;sans-serif"/>
          <w:b/>
          <w:color w:val="000000"/>
          <w:sz w:val="22"/>
        </w:rPr>
        <w:t>9.8</w:t>
      </w:r>
      <w:r>
        <w:rPr>
          <w:rFonts w:ascii="Times New Roman;sans-serif" w:hAnsi="Times New Roman;sans-serif"/>
          <w:b/>
          <w:color w:val="000000"/>
          <w:sz w:val="22"/>
        </w:rPr>
        <w:t>Agent in Its Individual Capacity</w:t>
      </w:r>
      <w:r>
        <w:rPr>
          <w:rFonts w:ascii="Times New Roman;sans-serif" w:hAnsi="Times New Roman;sans-serif"/>
          <w:b w:val="false"/>
          <w:color w:val="000000"/>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Group Members or any Affiliate thereof as if such Person were not the Administrative Agent hereunder and without any duty to account therefor to the Lenders.</w:t>
      </w:r>
    </w:p>
    <w:p>
      <w:pPr>
        <w:pStyle w:val="TextBody"/>
        <w:spacing w:lineRule="auto" w:line="288" w:before="0" w:after="180"/>
        <w:ind w:left="0" w:right="0" w:firstLine="720"/>
        <w:rPr/>
      </w:pPr>
      <w:r>
        <w:rPr>
          <w:rFonts w:ascii="Times New Roman;sans-serif" w:hAnsi="Times New Roman;sans-serif"/>
          <w:b/>
          <w:color w:val="000000"/>
          <w:sz w:val="22"/>
        </w:rPr>
        <w:t>9.9</w:t>
      </w:r>
      <w:r>
        <w:rPr>
          <w:rFonts w:ascii="Times New Roman;sans-serif" w:hAnsi="Times New Roman;sans-serif"/>
          <w:b/>
          <w:color w:val="000000"/>
          <w:sz w:val="22"/>
        </w:rPr>
        <w:t>Successor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i/>
          <w:color w:val="000000"/>
          <w:sz w:val="22"/>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appoint a successor Administrative Agent meeting the qualifications set forth 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any such successor Administrative Agent be a Defaulting Lender. Whether or not a successor has been appointed, such resignation shall become effective in accordance with such notice on the Resignation Effective Date.</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i/>
          <w:color w:val="000000"/>
          <w:sz w:val="22"/>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w:t>
      </w:r>
      <w:r>
        <w:br w:type="page"/>
      </w:r>
    </w:p>
    <w:p>
      <w:pPr>
        <w:pStyle w:val="TextBody"/>
        <w:spacing w:before="0" w:after="0"/>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60655"/>
                <wp:effectExtent l="0" t="0" r="0" b="0"/>
                <wp:wrapNone/>
                <wp:docPr id="368" name="Frame36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pStyle w:val="TextBody"/>
        <w:spacing w:lineRule="auto" w:line="288" w:before="0" w:after="180"/>
        <w:ind w:left="0" w:right="0" w:firstLine="720"/>
        <w:rPr/>
      </w:pPr>
      <w:r>
        <w:rPr>
          <w:rFonts w:ascii="Times New Roman;sans-serif" w:hAnsi="Times New Roman;sans-serif"/>
          <w:b/>
          <w:color w:val="000000"/>
          <w:sz w:val="22"/>
        </w:rPr>
        <w:t>9.10</w:t>
      </w:r>
      <w:r>
        <w:rPr>
          <w:rFonts w:ascii="Times New Roman;sans-serif" w:hAnsi="Times New Roman;sans-serif"/>
          <w:b/>
          <w:color w:val="000000"/>
          <w:sz w:val="22"/>
        </w:rPr>
        <w:t>Collateral and Guaranty Matters</w:t>
      </w:r>
      <w:r>
        <w:rPr>
          <w:rFonts w:ascii="Times New Roman;sans-serif" w:hAnsi="Times New Roman;sans-serif"/>
          <w:b w:val="false"/>
          <w:color w:val="000000"/>
          <w:sz w:val="22"/>
        </w:rPr>
        <w:t>.</w:t>
      </w:r>
    </w:p>
    <w:p>
      <w:pPr>
        <w:pStyle w:val="TextBody"/>
        <w:spacing w:lineRule="auto" w:line="288" w:before="0" w:after="18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The Lenders irrevocably authorize the Administrative Agent, at its option and in its discretion,</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hereunder or under any other Loan Document, or (C) subject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if approved, authorized or ratified in writing by the Required Lenders;</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to subordinate any Lien on any Collateral or other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Sections 7.3(g)</w:t>
      </w:r>
      <w:r>
        <w:rPr>
          <w:rFonts w:ascii="Times New Roman;sans-serif" w:hAnsi="Times New Roman;sans-serif"/>
          <w:b w:val="false"/>
          <w:color w:val="000000"/>
          <w:sz w:val="22"/>
        </w:rPr>
        <w:t>; and</w:t>
      </w:r>
    </w:p>
    <w:p>
      <w:pPr>
        <w:pStyle w:val="TextBody"/>
        <w:spacing w:lineRule="auto" w:line="288" w:before="0" w:after="180"/>
        <w:ind w:left="0" w:right="0" w:firstLine="2160"/>
        <w:rPr/>
      </w:pPr>
      <w:r>
        <w:rPr>
          <w:rFonts w:ascii="Times New Roman;sans-serif" w:hAnsi="Times New Roman;sans-serif"/>
          <w:b w:val="false"/>
          <w:color w:val="000000"/>
          <w:sz w:val="22"/>
        </w:rPr>
        <w:t>(iii)</w:t>
      </w:r>
      <w:r>
        <w:rPr>
          <w:rFonts w:ascii="Times New Roman;sans-serif" w:hAnsi="Times New Roman;sans-serif"/>
          <w:b w:val="false"/>
          <w:color w:val="000000"/>
          <w:sz w:val="22"/>
        </w:rPr>
        <w:t>to release any Guarantor from its obligations under the Guarantee and Collateral Agreement or any other guarantee of the Obligations if such Person ceases to be a Subsidiary as a result of a transaction permitted under the Loan Documents.</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or any other guarantee of the Obligations), it being understood and agreed that all powers, rights and remedies under the Loan Documents may be exercised solely by the Administrative Agent on behalf of the Secured Parties in accordance with the terms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avoidance of doubt, in no event shall a Secured Party be restricted hereunder from filing a proof of claim </w:t>
      </w:r>
      <w:r>
        <w:br w:type="page"/>
      </w:r>
    </w:p>
    <w:p>
      <w:pPr>
        <w:pStyle w:val="TextBody"/>
        <w:spacing w:before="0" w:after="0"/>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60655"/>
                <wp:effectExtent l="0" t="0" r="0" b="0"/>
                <wp:wrapNone/>
                <wp:docPr id="369" name="Frame36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any other Security Document or any other guarantee of the Obligations,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or the other Security Documents. By accepting the benefits of the Collateral and of the guarantees of the Obligations provided by the Loan Parties under the Guarantee and Collateral Agreement, any other Security Document or any other guarantee of the Obligations,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pStyle w:val="TextBody"/>
        <w:spacing w:lineRule="auto" w:line="288" w:before="0" w:after="180"/>
        <w:ind w:left="0" w:right="0" w:firstLine="1440"/>
        <w:rPr/>
      </w:pPr>
      <w:r>
        <w:rPr>
          <w:rFonts w:ascii="Times New Roman;sans-serif" w:hAnsi="Times New Roman;sans-serif"/>
          <w:b w:val="false"/>
          <w:color w:val="000000"/>
          <w:sz w:val="22"/>
        </w:rPr>
        <w:t>(d)</w:t>
      </w:r>
      <w:r>
        <w:rPr>
          <w:rFonts w:ascii="Times New Roman;sans-serif" w:hAnsi="Times New Roman;sans-serif"/>
          <w:b w:val="false"/>
          <w:color w:val="000000"/>
          <w:sz w:val="22"/>
        </w:rPr>
        <w:t>In addition to the foregoing, the following subsections shall apply in relation to the UK Security Documents and the Liens created thereby:</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The Administrative Agent shall hold the Liens created by the UK Security Documents in trust for the Secured Parties on the terms contained in this Section and in the UK Security Documents.</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Each of the Lenders authorizes the Administrative Agent to perform the duties, obligations and responsibilities and to exercise the rights, powers, authorities and discretions specifically given to it in its capacity as security trustee in respect of the UK Security Documents together with any other incidental rights, powers, authorities and discretions.</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Notwithstanding its appointment as security trustee under the UK Security Documents, the Administrative Agent shall have only those duties, obligations and responsibilities expressly specified in the Loan Documents (and no others shall be implied), and the Administrative Agent (in its capacity as security trustee under the UK Security Documents) is not obliged to do or omit to do anything if it would, or might in its reasonable opinion, constitute a breach of any law or regulation or a breach of a fiduciary duty or duty of confidentiality.</w:t>
      </w:r>
    </w:p>
    <w:p>
      <w:pPr>
        <w:pStyle w:val="TextBody"/>
        <w:spacing w:lineRule="auto" w:line="288"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rPr>
        <w:t>The rights, powers, authorities and discretions given to the Administrative Agent under the Loan Documents shall be supplemental to the United Kingdom Trustee Act 1925 and the United Kingdom Trustee Act 2000 and in addition to any which may be vested in the Administrative Agent in its capacity as security trustee under the UK Security Documents by law or regulation or otherwise.</w:t>
      </w:r>
      <w:r>
        <w:br w:type="page"/>
      </w:r>
    </w:p>
    <w:p>
      <w:pPr>
        <w:pStyle w:val="TextBody"/>
        <w:spacing w:before="0" w:after="0"/>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60655"/>
                <wp:effectExtent l="0" t="0" r="0" b="0"/>
                <wp:wrapNone/>
                <wp:docPr id="370" name="Frame36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v:textbox>
              </v:rect>
            </w:pict>
          </mc:Fallback>
        </mc:AlternateConten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Section 1 of the United Kingdom Trustee Act 2000 shall not apply to the duties of the Administrative Agent in relation to the trusts constituted in respect of the UK Security Agreements. Where there are any inconsistencies between the United Kingdom Trustee Act 1925 or the United Kingdom Trustee Act 2000 and the provisions of the Loan Documents, the provisions of the Loan Documents shall, to the extent permitted by law and regulation, prevail and, in the case of any inconsistency with the United Kingdom Trustee Act 2000, the provisions of the Loan Documents shall constitute a restriction or exclusion for the purposes of that Act.</w:t>
      </w:r>
    </w:p>
    <w:p>
      <w:pPr>
        <w:pStyle w:val="TextBody"/>
        <w:spacing w:lineRule="auto" w:line="288" w:before="0" w:after="180"/>
        <w:ind w:left="0" w:right="0" w:firstLine="2160"/>
        <w:rPr/>
      </w:pPr>
      <w:r>
        <w:rPr>
          <w:rFonts w:ascii="Times New Roman;sans-serif" w:hAnsi="Times New Roman;sans-serif"/>
          <w:b w:val="false"/>
          <w:color w:val="000000"/>
          <w:sz w:val="22"/>
        </w:rPr>
        <w:t>(vi)</w:t>
      </w:r>
      <w:r>
        <w:rPr>
          <w:rFonts w:ascii="Times New Roman;sans-serif" w:hAnsi="Times New Roman;sans-serif"/>
          <w:b w:val="false"/>
          <w:color w:val="000000"/>
          <w:sz w:val="22"/>
        </w:rPr>
        <w:t>Nothing in any Loan Document constitutes (i) the Administrative Agent as an agent, trustee or fiduciary of any Loan Party.</w:t>
      </w:r>
    </w:p>
    <w:p>
      <w:pPr>
        <w:pStyle w:val="TextBody"/>
        <w:spacing w:lineRule="auto" w:line="288" w:before="0" w:after="180"/>
        <w:ind w:left="0" w:right="0" w:firstLine="2160"/>
        <w:rPr/>
      </w:pPr>
      <w:r>
        <w:rPr>
          <w:rFonts w:ascii="Times New Roman;sans-serif" w:hAnsi="Times New Roman;sans-serif"/>
          <w:b w:val="false"/>
          <w:color w:val="000000"/>
          <w:sz w:val="22"/>
        </w:rPr>
        <w:t>(vii)</w:t>
      </w:r>
      <w:r>
        <w:rPr>
          <w:rFonts w:ascii="Times New Roman;sans-serif" w:hAnsi="Times New Roman;sans-serif"/>
          <w:b w:val="false"/>
          <w:color w:val="000000"/>
          <w:sz w:val="22"/>
        </w:rPr>
        <w:t>The Administrative Agent shall not be bound to account to any Secured Party for any sum or the profit element of any sum received by it for its own account.</w:t>
      </w:r>
    </w:p>
    <w:p>
      <w:pPr>
        <w:pStyle w:val="TextBody"/>
        <w:spacing w:lineRule="auto" w:line="288" w:before="0" w:after="180"/>
        <w:ind w:left="0" w:right="0" w:firstLine="720"/>
        <w:jc w:val="both"/>
        <w:rPr/>
      </w:pPr>
      <w:r>
        <w:rPr>
          <w:rFonts w:ascii="Times New Roman;sans-serif" w:hAnsi="Times New Roman;sans-serif"/>
          <w:b/>
          <w:color w:val="000000"/>
          <w:sz w:val="22"/>
        </w:rPr>
        <w:t>9.11</w:t>
      </w:r>
      <w:r>
        <w:rPr>
          <w:rFonts w:ascii="Times New Roman;sans-serif" w:hAnsi="Times New Roman;sans-serif"/>
          <w:b/>
          <w:color w:val="000000"/>
          <w:sz w:val="22"/>
        </w:rPr>
        <w:t>Administrative Agent May File Proofs of Claim</w:t>
      </w:r>
      <w:r>
        <w:rPr>
          <w:rFonts w:ascii="Times New Roman;sans-serif" w:hAnsi="Times New Roman;sans-serif"/>
          <w:b w:val="false"/>
          <w:color w:val="000000"/>
          <w:sz w:val="22"/>
        </w:rPr>
        <w:t>. In case of the pendency of any proceeding under any Debtor Relief Law 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sans-serif" w:hAnsi="Times New Roman;sans-serif"/>
          <w:b w:val="false"/>
          <w:color w:val="000000"/>
          <w:sz w:val="22"/>
          <w:u w:val="single"/>
        </w:rPr>
        <w:t>Sections 2.9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10.5</w:t>
      </w:r>
      <w:r>
        <w:rPr>
          <w:rFonts w:ascii="Times New Roman;sans-serif" w:hAnsi="Times New Roman;sans-serif"/>
          <w:b w:val="false"/>
          <w:color w:val="000000"/>
          <w:sz w:val="22"/>
        </w:rPr>
        <w:t xml:space="preserve">) allowed in such judicial proceeding; and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to collect and receive any monies or other property payable or deliverable on any such claims and to distribute the same; </w:t>
      </w:r>
    </w:p>
    <w:p>
      <w:pPr>
        <w:pStyle w:val="TextBody"/>
        <w:spacing w:lineRule="auto" w:line="288" w:before="0" w:after="18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10.5</w:t>
      </w:r>
      <w:r>
        <w:rPr>
          <w:rFonts w:ascii="Times New Roman;sans-serif" w:hAnsi="Times New Roman;sans-serif"/>
          <w:b w:val="false"/>
          <w:color w:val="000000"/>
          <w:sz w:val="22"/>
        </w:rPr>
        <w: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pStyle w:val="TextBody"/>
        <w:spacing w:lineRule="auto" w:line="288" w:before="0" w:after="180"/>
        <w:ind w:left="0" w:right="0" w:firstLine="720"/>
        <w:rPr/>
      </w:pPr>
      <w:r>
        <w:rPr>
          <w:rFonts w:ascii="Times New Roman;sans-serif" w:hAnsi="Times New Roman;sans-serif"/>
          <w:b/>
          <w:color w:val="000000"/>
          <w:sz w:val="22"/>
        </w:rPr>
        <w:t>9.12</w:t>
      </w:r>
      <w:r>
        <w:rPr>
          <w:rFonts w:ascii="Times New Roman;sans-serif" w:hAnsi="Times New Roman;sans-serif"/>
          <w:b/>
          <w:color w:val="000000"/>
          <w:sz w:val="22"/>
        </w:rPr>
        <w:t>Reserved</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9.13</w:t>
      </w:r>
      <w:r>
        <w:rPr>
          <w:rFonts w:ascii="Times New Roman;sans-serif" w:hAnsi="Times New Roman;sans-serif"/>
          <w:b/>
          <w:color w:val="000000"/>
          <w:sz w:val="22"/>
        </w:rPr>
        <w:t>Cash Management Bank and Qualified Counterparty Reports</w:t>
      </w:r>
      <w:r>
        <w:rPr>
          <w:rFonts w:ascii="Times New Roman;sans-serif" w:hAnsi="Times New Roman;sans-serif"/>
          <w:b w:val="false"/>
          <w:color w:val="000000"/>
          <w:sz w:val="22"/>
        </w:rPr>
        <w:t xml:space="preserve">. Each Cash Management Bank and each Qualified 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w:t>
      </w:r>
      <w:r>
        <w:br w:type="page"/>
      </w:r>
    </w:p>
    <w:p>
      <w:pPr>
        <w:pStyle w:val="TextBody"/>
        <w:spacing w:before="0" w:after="0"/>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60655"/>
                <wp:effectExtent l="0" t="0" r="0" b="0"/>
                <wp:wrapNone/>
                <wp:docPr id="371" name="Frame36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pStyle w:val="TextBody"/>
        <w:spacing w:lineRule="auto" w:line="288" w:before="0" w:after="180"/>
        <w:ind w:left="0" w:right="0" w:firstLine="720"/>
        <w:jc w:val="both"/>
        <w:rPr/>
      </w:pPr>
      <w:r>
        <w:rPr>
          <w:rFonts w:ascii="Times New Roman;sans-serif" w:hAnsi="Times New Roman;sans-serif"/>
          <w:b/>
          <w:color w:val="000000"/>
          <w:sz w:val="22"/>
        </w:rPr>
        <w:t>9.14</w:t>
      </w:r>
      <w:r>
        <w:rPr>
          <w:rFonts w:ascii="Times New Roman;sans-serif" w:hAnsi="Times New Roman;sans-serif"/>
          <w:b/>
          <w:color w:val="000000"/>
          <w:sz w:val="22"/>
        </w:rPr>
        <w:t>Survival</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shall survive the Discharge of Obligations.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10</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spacing w:lineRule="auto" w:line="288" w:before="0" w:after="180"/>
        <w:ind w:left="0" w:right="0" w:firstLine="720"/>
        <w:rPr/>
      </w:pPr>
      <w:r>
        <w:rPr>
          <w:rFonts w:ascii="Times New Roman;sans-serif" w:hAnsi="Times New Roman;sans-serif"/>
          <w:b/>
          <w:color w:val="000000"/>
          <w:sz w:val="22"/>
        </w:rPr>
        <w:t>10.1</w:t>
      </w:r>
      <w:r>
        <w:rPr>
          <w:rFonts w:ascii="Times New Roman;sans-serif" w:hAnsi="Times New Roman;sans-serif"/>
          <w:b/>
          <w:color w:val="000000"/>
          <w:sz w:val="22"/>
        </w:rPr>
        <w:t>Amendments and Waivers.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Neither this Agreement, any other Loan Document (other than any L/C Related Document), nor any terms hereof or thereof may be amended, supplemented or modified except in accordance with the provisions of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or Term Commitment, in each case, without the written consent of each Lender directly affected thereby; (B) eliminate or reduce the voting rights of any Lender under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contractually subordinate the Administrative Agent’s Lien on all or substantially all of the Collateral or release all or substantially all of the value of the guarantees (taken as a whole) of the Guarantors from their obligations under the Guarantee and Collateral Agreement, in each case without the written consent of all Lenders; (D) (i) amend, modify or waive the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requirements of </w:t>
      </w:r>
      <w:r>
        <w:rPr>
          <w:rFonts w:ascii="Times New Roman;sans-serif" w:hAnsi="Times New Roman;sans-serif"/>
          <w:b w:val="false"/>
          <w:color w:val="000000"/>
          <w:sz w:val="22"/>
          <w:u w:val="single"/>
        </w:rPr>
        <w:t>Section 2.18</w:t>
      </w:r>
      <w:r>
        <w:rPr>
          <w:color w:val="000000"/>
        </w:rPr>
        <w:t xml:space="preserve"> </w:t>
      </w:r>
      <w:r>
        <w:rPr>
          <w:rFonts w:ascii="Times New Roman;sans-serif" w:hAnsi="Times New Roman;sans-serif"/>
          <w:b w:val="false"/>
          <w:color w:val="000000"/>
          <w:sz w:val="22"/>
        </w:rPr>
        <w:t xml:space="preserve">or any other provision of the Loan Documents requiring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treatment of the Lenders without the written consent of all Lenders; (E) reduce the percentage specified in the definition of Majority Revolving Lenders without the written consent of all Revolving Lenders or reduce the percentage specified in the definition of Majority Term Lenders without the written consent of all Term Lenders; (F) amend, modify or waive any provision of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without the written consent of the Administrative Agent; (G) amend, modify or waive any provision of </w:t>
      </w:r>
      <w:r>
        <w:rPr>
          <w:rFonts w:ascii="Times New Roman;sans-serif" w:hAnsi="Times New Roman;sans-serif"/>
          <w:b w:val="false"/>
          <w:color w:val="000000"/>
          <w:sz w:val="22"/>
          <w:u w:val="single"/>
        </w:rPr>
        <w:t>Section 2.6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2.7</w:t>
      </w:r>
      <w:r>
        <w:rPr>
          <w:color w:val="000000"/>
        </w:rPr>
        <w:t xml:space="preserve"> </w:t>
      </w:r>
      <w:r>
        <w:rPr>
          <w:rFonts w:ascii="Times New Roman;sans-serif" w:hAnsi="Times New Roman;sans-serif"/>
          <w:b w:val="false"/>
          <w:color w:val="000000"/>
          <w:sz w:val="22"/>
        </w:rPr>
        <w:t xml:space="preserve">without the written consent of the Swingline Lender; (H) amend, modify or waive any provision of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without the written consent of the Issuing Lender; or (I) (i) amend or modify the application of payments set forth in </w:t>
      </w:r>
      <w:r>
        <w:rPr>
          <w:rFonts w:ascii="Times New Roman;sans-serif" w:hAnsi="Times New Roman;sans-serif"/>
          <w:b w:val="false"/>
          <w:color w:val="000000"/>
          <w:sz w:val="22"/>
          <w:u w:val="single"/>
        </w:rPr>
        <w:t>Section 2.12(e)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 xml:space="preserve">without the written consent of all Lenders, or (ii) amend or modify the application of payments provisions set forth in </w:t>
      </w:r>
      <w:r>
        <w:br w:type="page"/>
      </w:r>
    </w:p>
    <w:p>
      <w:pPr>
        <w:pStyle w:val="TextBody"/>
        <w:spacing w:before="0" w:after="0"/>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60655"/>
                <wp:effectExtent l="0" t="0" r="0" b="0"/>
                <wp:wrapNone/>
                <wp:docPr id="372" name="Frame36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in a manner that adversely affects the Issuing Lender, any Cash Management Bank or any Qualified Counterparty, as applicable, without the written consent of the Issuing Lender, such Cash Management Bank or any such Qualified Counterparty, as applicable.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Borrower and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anything to the contrary contained in </w:t>
      </w:r>
      <w:r>
        <w:rPr>
          <w:rFonts w:ascii="Times New Roman;sans-serif" w:hAnsi="Times New Roman;sans-serif"/>
          <w:b w:val="false"/>
          <w:color w:val="000000"/>
          <w:sz w:val="22"/>
          <w:u w:val="single"/>
        </w:rPr>
        <w:t>Section 10.1(a)</w:t>
      </w:r>
      <w:r>
        <w:rPr>
          <w:color w:val="000000"/>
        </w:rPr>
        <w:t xml:space="preserve"> </w:t>
      </w:r>
      <w:r>
        <w:rPr>
          <w:rFonts w:ascii="Times New Roman;sans-serif" w:hAnsi="Times New Roman;sans-serif"/>
          <w:b w:val="false"/>
          <w:color w:val="000000"/>
          <w:sz w:val="22"/>
        </w:rPr>
        <w:t>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sans-serif" w:hAnsi="Times New Roman;sans-serif"/>
          <w:b/>
          <w:i/>
          <w:color w:val="000000"/>
          <w:sz w:val="22"/>
        </w:rPr>
        <w:t>Minority Lender</w:t>
      </w:r>
      <w:r>
        <w:rPr>
          <w:color w:val="000000"/>
        </w:rPr>
        <w:t>”</w:t>
      </w:r>
      <w:r>
        <w:rPr>
          <w:rFonts w:ascii="Times New Roman;sans-serif" w:hAnsi="Times New Roman;sans-serif"/>
          <w:b w:val="false"/>
          <w:color w:val="000000"/>
          <w:sz w:val="22"/>
        </w:rPr>
        <w:t>), to provide for:</w:t>
      </w:r>
    </w:p>
    <w:p>
      <w:pPr>
        <w:pStyle w:val="TextBody"/>
        <w:spacing w:lineRule="auto" w:line="288" w:before="0" w:after="180"/>
        <w:ind w:left="0" w:right="0" w:firstLine="2160"/>
        <w:rPr/>
      </w:pPr>
      <w:r>
        <w:rPr>
          <w:rFonts w:ascii="Times New Roman;sans-serif" w:hAnsi="Times New Roman;sans-serif"/>
          <w:b w:val="false"/>
          <w:color w:val="000000"/>
          <w:sz w:val="22"/>
        </w:rPr>
        <w:t>(i)</w:t>
      </w:r>
      <w:r>
        <w:rPr>
          <w:rFonts w:ascii="Times New Roman;sans-serif" w:hAnsi="Times New Roman;sans-serif"/>
          <w:b w:val="false"/>
          <w:color w:val="000000"/>
          <w:sz w:val="22"/>
        </w:rPr>
        <w:t>the termination of the Commitment of each such Minority Lender;</w:t>
      </w:r>
    </w:p>
    <w:p>
      <w:pPr>
        <w:pStyle w:val="TextBody"/>
        <w:spacing w:lineRule="auto" w:line="288" w:before="0" w:after="180"/>
        <w:ind w:left="0" w:right="0" w:firstLine="2160"/>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the assumption of the Loans and Commitment of each such Minority Lender by one or more Replacement Lenders pursuant to the provisions of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and</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pStyle w:val="TextBody"/>
        <w:spacing w:lineRule="auto" w:line="288" w:before="0" w:after="180"/>
        <w:ind w:left="0" w:right="0" w:firstLine="1440"/>
        <w:rPr/>
      </w:pPr>
      <w:r>
        <w:rPr>
          <w:rFonts w:ascii="Times New Roman;sans-serif" w:hAnsi="Times New Roman;sans-serif"/>
          <w:b w:val="false"/>
          <w:color w:val="000000"/>
          <w:sz w:val="22"/>
        </w:rPr>
        <w:t>(c)</w:t>
      </w:r>
      <w:r>
        <w:rPr>
          <w:rFonts w:ascii="Times New Roman;sans-serif" w:hAnsi="Times New Roman;sans-serif"/>
          <w:b w:val="false"/>
          <w:color w:val="000000"/>
          <w:sz w:val="22"/>
        </w:rPr>
        <w:t>[Reserved].</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Notwithstanding any other provision, no consent of any Lender (or other Secured Party other than the Administrative Agent) shall be required to effectuate any amendment to implement any Incremental Facility permitted by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or to effect an alternate interest rate in a manner consistent with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60655"/>
                <wp:effectExtent l="0" t="0" r="0" b="0"/>
                <wp:wrapNone/>
                <wp:docPr id="373" name="Frame36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Notwithstanding any provision herein to the contrary, any Cash Management Agreement may be amended or otherwise modified by the parties thereto in accordance with the terms thereof without the consent of the Administrative Agent or any Lender.</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Administrative Agent may, with the consent of the Borrower only, amend, modify or supplement this Agreement or any of the Loan Documents to cure any omission, mistake or defect.</w:t>
      </w:r>
    </w:p>
    <w:p>
      <w:pPr>
        <w:pStyle w:val="TextBody"/>
        <w:spacing w:lineRule="auto" w:line="288" w:before="0" w:after="18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rPr>
        <w:t>Notices</w:t>
      </w:r>
      <w:r>
        <w:rPr>
          <w:rFonts w:ascii="Times New Roman;sans-serif" w:hAnsi="Times New Roman;sans-serif"/>
          <w:b w:val="false"/>
          <w:color w:val="000000"/>
          <w:sz w:val="22"/>
        </w:rPr>
        <w:t>. All notices, requests and demands to or upon the respective parties hereto to be effective shall be in writing (including by facsimile or electronic mail), and, unless otherwise expressly provided herein, shall be deemed to have been duly given or made when delivered, or three (3)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tbl>
      <w:tblPr>
        <w:tblW w:w="5640" w:type="dxa"/>
        <w:jc w:val="left"/>
        <w:tblInd w:w="0" w:type="dxa"/>
        <w:tblCellMar>
          <w:top w:w="28" w:type="dxa"/>
          <w:left w:w="28" w:type="dxa"/>
          <w:bottom w:w="28" w:type="dxa"/>
          <w:right w:w="28" w:type="dxa"/>
        </w:tblCellMar>
      </w:tblPr>
      <w:tblGrid>
        <w:gridCol w:w="907"/>
        <w:gridCol w:w="798"/>
        <w:gridCol w:w="800"/>
        <w:gridCol w:w="919"/>
        <w:gridCol w:w="919"/>
        <w:gridCol w:w="1297"/>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Kaltura, Inc.</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250 Park Ave. South,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York, NY 10003</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legal@kaltura.com</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H-F&amp;Co.</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Rubinstein House,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 Lincoln St.</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Tel-Aviv, Israel </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Yuval Oren</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60655"/>
                <wp:effectExtent l="0" t="0" r="0" b="0"/>
                <wp:wrapNone/>
                <wp:docPr id="374" name="Frame36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v:textbox>
              </v:rect>
            </w:pict>
          </mc:Fallback>
        </mc:AlternateContent>
      </w:r>
    </w:p>
    <w:tbl>
      <w:tblPr>
        <w:tblW w:w="8445" w:type="dxa"/>
        <w:jc w:val="left"/>
        <w:tblInd w:w="0" w:type="dxa"/>
        <w:tblCellMar>
          <w:top w:w="28" w:type="dxa"/>
          <w:left w:w="28" w:type="dxa"/>
          <w:bottom w:w="28" w:type="dxa"/>
          <w:right w:w="28" w:type="dxa"/>
        </w:tblCellMar>
      </w:tblPr>
      <w:tblGrid>
        <w:gridCol w:w="1316"/>
        <w:gridCol w:w="1156"/>
        <w:gridCol w:w="1158"/>
        <w:gridCol w:w="1410"/>
        <w:gridCol w:w="1410"/>
        <w:gridCol w:w="1995"/>
      </w:tblGrid>
      <w:tr>
        <w:trPr/>
        <w:tc>
          <w:tcPr>
            <w:tcW w:w="131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275 Grove Street, Suite 2-200</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Newton, MA 02466</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Ryan Aberdale</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Morrison &amp; Foerster LLP</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200 Clarendon Street</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Boston, Massachusetts 02116</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Charles W. Stavros, Esq.</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tc>
      </w:tr>
    </w:tbl>
    <w:p>
      <w:pPr>
        <w:pStyle w:val="TextBody"/>
        <w:spacing w:lineRule="auto" w:line="288" w:before="0" w:after="18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notice, request or demand to or upon the Administrative Agent or the Lenders shall not be effective until received.</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pursuant to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party hereto may change its address, email or facsimile number for notices and other communications hereunder by notice to the other parties 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    Each Loan Party agrees that the Administrative Agent may, but shall not be obligated to, make the Communications (as defined below) available to the Issuing Lender and the other Lenders by posting the Communications on the Platform.</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ans-serif" w:hAnsi="Times New Roman;sans-serif"/>
          <w:b/>
          <w:i/>
          <w:color w:val="000000"/>
          <w:sz w:val="22"/>
        </w:rPr>
        <w:t>Agent Parties</w:t>
      </w:r>
      <w:r>
        <w:rPr>
          <w:color w:val="000000"/>
        </w:rPr>
        <w:t>”</w:t>
      </w:r>
      <w:r>
        <w:rPr>
          <w:rFonts w:ascii="Times New Roman;sans-serif" w:hAnsi="Times New Roman;sans-serif"/>
          <w:b w:val="false"/>
          <w:color w:val="000000"/>
          <w:sz w:val="22"/>
        </w:rPr>
        <w:t xml:space="preserve">) have any liability to the Borrower or the other </w:t>
      </w:r>
      <w:r>
        <w:br w:type="page"/>
      </w:r>
    </w:p>
    <w:p>
      <w:pPr>
        <w:pStyle w:val="TextBody"/>
        <w:spacing w:before="0" w:after="0"/>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60655"/>
                <wp:effectExtent l="0" t="0" r="0" b="0"/>
                <wp:wrapNone/>
                <wp:docPr id="375" name="Frame36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sans-serif" w:hAnsi="Times New Roman;sans-serif"/>
          <w:b/>
          <w:i/>
          <w:color w:val="000000"/>
          <w:sz w:val="22"/>
        </w:rPr>
        <w:t>Communications</w:t>
      </w:r>
      <w:r>
        <w:rPr>
          <w:color w:val="000000"/>
        </w:rPr>
        <w:t xml:space="preserve">” </w:t>
      </w:r>
      <w:r>
        <w:rPr>
          <w:rFonts w:ascii="Times New Roman;sans-serif" w:hAnsi="Times New Roman;sans-serif"/>
          <w:b w:val="false"/>
          <w:color w:val="000000"/>
          <w:sz w:val="22"/>
        </w:rPr>
        <w:t>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pStyle w:val="TextBody"/>
        <w:spacing w:lineRule="auto" w:line="288" w:before="0" w:after="18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rPr>
        <w:t>No Waiver; Cumulative Remedies</w:t>
      </w:r>
      <w:r>
        <w:rPr>
          <w:rFonts w:ascii="Times New Roman;sans-serif" w:hAnsi="Times New Roman;sans-serif"/>
          <w:b w:val="false"/>
          <w:color w:val="000000"/>
          <w:sz w:val="22"/>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spacing w:lineRule="auto" w:line="288" w:before="0" w:after="180"/>
        <w:ind w:left="0" w:right="0" w:firstLine="720"/>
        <w:rPr/>
      </w:pPr>
      <w:r>
        <w:rPr>
          <w:rFonts w:ascii="Times New Roman;sans-serif" w:hAnsi="Times New Roman;sans-serif"/>
          <w:b/>
          <w:color w:val="000000"/>
          <w:sz w:val="22"/>
        </w:rPr>
        <w:t>10.4</w:t>
      </w:r>
      <w:r>
        <w:rPr>
          <w:rFonts w:ascii="Times New Roman;sans-serif" w:hAnsi="Times New Roman;sans-serif"/>
          <w:b/>
          <w:color w:val="000000"/>
          <w:sz w:val="22"/>
        </w:rPr>
        <w:t>Survival of Representations and Warranties</w:t>
      </w:r>
      <w:r>
        <w:rPr>
          <w:rFonts w:ascii="Times New Roman;sans-serif" w:hAnsi="Times New Roman;sans-serif"/>
          <w:b w:val="false"/>
          <w:color w:val="000000"/>
          <w:sz w:val="22"/>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pStyle w:val="TextBody"/>
        <w:spacing w:lineRule="auto" w:line="288" w:before="0" w:after="180"/>
        <w:ind w:left="0" w:right="0" w:firstLine="720"/>
        <w:rPr/>
      </w:pPr>
      <w:r>
        <w:rPr>
          <w:rFonts w:ascii="Times New Roman;sans-serif" w:hAnsi="Times New Roman;sans-serif"/>
          <w:b/>
          <w:color w:val="000000"/>
          <w:sz w:val="22"/>
        </w:rPr>
        <w:t>10.5</w:t>
      </w:r>
      <w:r>
        <w:rPr>
          <w:rFonts w:ascii="Times New Roman;sans-serif" w:hAnsi="Times New Roman;sans-serif"/>
          <w:b/>
          <w:color w:val="000000"/>
          <w:sz w:val="22"/>
        </w:rPr>
        <w:t>Expenses; Indemnity; Damage Waiver.</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pay (i) subject to the limitations set forth in the proposal letter agreement dated as of October 16, 2020 between the Borrower and SVB, all reasonable out-of-pocket expenses incurred by the Administrative Agent and its Affiliates (including the reasonable fees, charges and disbursements of counsel for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reasonable documented out-of-pocket expenses incurred by the Administrative Agent or any Lender (limited in respect of legal costs and expenses to, in each case, the reasonable fees and disbursements of one special counsel and one local counsel in each relevant jurisdiction for the Administrative Agent and, after the occurrence and during the continuance of an Event of Default, for the group of Lenders (and, solely in the case of any actual or potential conflict of interest as determined by the affected Lender, one additional counsel for the affected Lenders as a whole))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reasonable documented out-of-pocket expenses incurred during any workout, restructuring or negotiations in respect of such Loans or Letters of Credit.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Indemnification by the Borrower</w:t>
      </w:r>
      <w:r>
        <w:rPr>
          <w:rFonts w:ascii="Times New Roman;sans-serif" w:hAnsi="Times New Roman;sans-serif"/>
          <w:b w:val="false"/>
          <w:color w:val="000000"/>
          <w:sz w:val="22"/>
        </w:rPr>
        <w:t>. The Borrower shall indemnify the Administrative Agent (and any sub-agent thereof), each Lender (including the Issuing Lender), and each Related Party of any of the foregoing Persons (each such Person being called an “</w:t>
      </w:r>
      <w:r>
        <w:rPr>
          <w:rFonts w:ascii="Times New Roman;sans-serif" w:hAnsi="Times New Roman;sans-serif"/>
          <w:b/>
          <w:i/>
          <w:color w:val="000000"/>
          <w:sz w:val="22"/>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expenses (including the fees, charges and disbursements of any counsel for any Indemnitee), incurred by </w:t>
      </w:r>
      <w:r>
        <w:br w:type="page"/>
      </w:r>
    </w:p>
    <w:p>
      <w:pPr>
        <w:pStyle w:val="TextBody"/>
        <w:spacing w:before="0" w:after="0"/>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60655"/>
                <wp:effectExtent l="0" t="0" r="0" b="0"/>
                <wp:wrapNone/>
                <wp:docPr id="376" name="Frame36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shall not apply with respect to Taxes other than any Taxes that represent losses, claims, damages, etc. arising from any non-Tax claim.</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Times New Roman;sans-serif" w:hAnsi="Times New Roman;sans-serif"/>
          <w:b w:val="false"/>
          <w:color w:val="000000"/>
          <w:sz w:val="22"/>
          <w:u w:val="single"/>
        </w:rPr>
        <w:t>Sections 2.1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2.20(e)</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 xml:space="preserve">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w:t>
      </w:r>
      <w:r>
        <w:br w:type="page"/>
      </w:r>
    </w:p>
    <w:p>
      <w:pPr>
        <w:pStyle w:val="TextBody"/>
        <w:spacing w:before="0" w:after="0"/>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60655"/>
                <wp:effectExtent l="0" t="0" r="0" b="0"/>
                <wp:wrapNone/>
                <wp:docPr id="377" name="Frame37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promptly after demand therefor.</w:t>
      </w:r>
    </w:p>
    <w:p>
      <w:pPr>
        <w:pStyle w:val="TextBody"/>
        <w:spacing w:lineRule="auto" w:line="288" w:before="0" w:after="180"/>
        <w:ind w:left="0" w:right="0" w:firstLine="144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Each party’s obligations under this Section shall survive the Discharge of Obligations.</w:t>
      </w:r>
    </w:p>
    <w:p>
      <w:pPr>
        <w:pStyle w:val="TextBody"/>
        <w:spacing w:lineRule="auto" w:line="288" w:before="0" w:after="180"/>
        <w:ind w:left="0" w:right="0" w:firstLine="720"/>
        <w:rPr/>
      </w:pPr>
      <w:r>
        <w:rPr>
          <w:rFonts w:ascii="Times New Roman;sans-serif" w:hAnsi="Times New Roman;sans-serif"/>
          <w:b/>
          <w:color w:val="000000"/>
          <w:sz w:val="22"/>
        </w:rPr>
        <w:t>10.6</w:t>
      </w:r>
      <w:r>
        <w:rPr>
          <w:rFonts w:ascii="Times New Roman;sans-serif" w:hAnsi="Times New Roman;sans-serif"/>
          <w:b/>
          <w:color w:val="000000"/>
          <w:sz w:val="22"/>
        </w:rPr>
        <w:t>Successors and Assigns; Participations and Assignments.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xml:space="preserve">. The provisions of this Agreement shall be binding upon and inure to the benefit of the parties hereto and their respective successors and assigns permitted hereby (which, for purposes of this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sans-serif" w:hAnsi="Times New Roman;sans-serif"/>
          <w:b w:val="false"/>
          <w:color w:val="000000"/>
          <w:sz w:val="22"/>
          <w:u w:val="single"/>
        </w:rPr>
        <w:t>Section 10.6(d)</w:t>
      </w:r>
      <w:r>
        <w:rPr>
          <w:rFonts w:ascii="Times New Roman;sans-serif" w:hAnsi="Times New Roman;sans-serif"/>
          <w:b w:val="false"/>
          <w:color w:val="000000"/>
          <w:sz w:val="22"/>
        </w:rPr>
        <w:t xml:space="preserve">, or (iii) by way of pledge or assignment of a security interest subject to the restrictions of </w:t>
      </w:r>
      <w:r>
        <w:rPr>
          <w:rFonts w:ascii="Times New Roman;sans-serif" w:hAnsi="Times New Roman;sans-serif"/>
          <w:b w:val="false"/>
          <w:color w:val="000000"/>
          <w:sz w:val="22"/>
          <w:u w:val="single"/>
        </w:rPr>
        <w:t>Section 10.6(e)</w:t>
      </w:r>
      <w:r>
        <w:rPr>
          <w:color w:val="000000"/>
        </w:rPr>
        <w:t xml:space="preserve"> </w:t>
      </w:r>
      <w:r>
        <w:rPr>
          <w:rFonts w:ascii="Times New Roman;sans-serif" w:hAnsi="Times New Roman;sans-serif"/>
          <w:b w:val="false"/>
          <w:color w:val="000000"/>
          <w:sz w:val="22"/>
        </w:rPr>
        <w:t>(and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each case with respect to any Facility) any such assignment shall be subject to the following conditions:</w:t>
      </w:r>
    </w:p>
    <w:p>
      <w:pPr>
        <w:pStyle w:val="TextBody"/>
        <w:spacing w:lineRule="auto" w:line="288" w:before="0" w:after="180"/>
        <w:ind w:left="0" w:right="0" w:firstLine="216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p>
    <w:p>
      <w:pPr>
        <w:pStyle w:val="TextBody"/>
        <w:spacing w:lineRule="auto" w:line="288" w:before="0" w:after="180"/>
        <w:ind w:left="0" w:right="0" w:firstLine="288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spacing w:lineRule="auto" w:line="288" w:before="0" w:after="180"/>
        <w:ind w:left="0" w:right="0" w:firstLine="288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sans-serif" w:hAnsi="Times New Roman;sans-serif"/>
          <w:b/>
          <w:i/>
          <w:color w:val="000000"/>
          <w:sz w:val="22"/>
        </w:rPr>
        <w:t>Trade Date</w:t>
      </w:r>
      <w:r>
        <w:rPr>
          <w:color w:val="000000"/>
        </w:rPr>
        <w:t xml:space="preserve">” </w:t>
      </w:r>
      <w:r>
        <w:rPr>
          <w:rFonts w:ascii="Times New Roman;sans-serif" w:hAnsi="Times New Roman;sans-serif"/>
          <w:b w:val="false"/>
          <w:color w:val="000000"/>
          <w:sz w:val="22"/>
        </w:rPr>
        <w:t xml:space="preserve">is specified in the Assignment and Assumption, as of the Trade Date) shall not be less than $2,000,000, in the case of any assignment in respect of the Revolving Facility, or $1,000,000, in the case of any assignment in respect of the Term Loan Facility, unless each of the Administrative Agent and, so long as </w:t>
      </w:r>
      <w:r>
        <w:br w:type="page"/>
      </w:r>
    </w:p>
    <w:p>
      <w:pPr>
        <w:pStyle w:val="TextBody"/>
        <w:spacing w:before="0" w:after="0"/>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60655"/>
                <wp:effectExtent l="0" t="0" r="0" b="0"/>
                <wp:wrapNone/>
                <wp:docPr id="378" name="Frame37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no Default or Event of Default has occurred and is continuing, the Borrower otherwise consents (each such consent not to be unreasonably withheld or delayed).</w:t>
      </w:r>
    </w:p>
    <w:p>
      <w:pPr>
        <w:pStyle w:val="TextBody"/>
        <w:spacing w:lineRule="auto" w:line="288" w:before="0" w:after="180"/>
        <w:ind w:left="0" w:right="0" w:firstLine="2160"/>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No consent shall be required for any assignment except to the extent required by paragraph (b)(i)(B) of this Section and, in addition:</w:t>
      </w:r>
    </w:p>
    <w:p>
      <w:pPr>
        <w:pStyle w:val="TextBody"/>
        <w:spacing w:lineRule="auto" w:line="288" w:before="0" w:after="180"/>
        <w:ind w:left="0" w:right="0" w:firstLine="288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consent of the Borrower (such consent not to be unreasonably withheld or delayed) shall be required unless (1) a Default or an Event of Default has occurred and is continuing at the time of such assignment, or (2) such assignment is to a Lender, an Affiliate of a Lender or an Approved 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be deemed to have consented to any such assignment unless it shall object thereto by written notice to the Administrative Agent within ten (10) Business Days after having received notice thereof;</w:t>
      </w:r>
    </w:p>
    <w:p>
      <w:pPr>
        <w:pStyle w:val="TextBody"/>
        <w:spacing w:lineRule="auto" w:line="288" w:before="0" w:after="180"/>
        <w:ind w:left="0" w:right="0" w:firstLine="288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consent of the Administrative Agent (such consent not to be unreasonably withheld or delayed) shall be required for assignments in respect of (i) the Revolving Facility or any unfunded Commitments with respect to the Term Loan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pStyle w:val="TextBody"/>
        <w:spacing w:lineRule="auto" w:line="288" w:before="0" w:after="180"/>
        <w:ind w:left="0" w:right="0" w:firstLine="288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consent of the Issuing Lender and the Swingline Lender (such consent not to be unreasonably withheld or delayed) shall be required for any assignment in respect of the Revolving Facility.</w:t>
      </w:r>
    </w:p>
    <w:p>
      <w:pPr>
        <w:pStyle w:val="TextBody"/>
        <w:spacing w:lineRule="auto" w:line="288" w:before="0" w:after="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of $3,500;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may, in its sole discretion, elect to waive such processing and recordation fee in the case of any assignment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The assignee, if it is not a Lender, shall deliver to the Administrative Agent any such administrative questionnaire as the Administrative Agent may request.</w:t>
      </w:r>
    </w:p>
    <w:p>
      <w:pPr>
        <w:pStyle w:val="TextBody"/>
        <w:spacing w:lineRule="auto" w:line="28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xml:space="preserve">.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 or (C) unless an Event of Default under </w:t>
      </w:r>
      <w:r>
        <w:rPr>
          <w:rFonts w:ascii="Times New Roman;sans-serif" w:hAnsi="Times New Roman;sans-serif"/>
          <w:b w:val="false"/>
          <w:color w:val="000000"/>
          <w:sz w:val="22"/>
          <w:u w:val="single"/>
        </w:rPr>
        <w:t>Section 8.1(a)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8.1(c)</w:t>
      </w:r>
      <w:r>
        <w:rPr>
          <w:color w:val="000000"/>
        </w:rPr>
        <w:t xml:space="preserve"> </w:t>
      </w:r>
      <w:r>
        <w:rPr>
          <w:rFonts w:ascii="Times New Roman;sans-serif" w:hAnsi="Times New Roman;sans-serif"/>
          <w:b w:val="false"/>
          <w:color w:val="000000"/>
          <w:sz w:val="22"/>
        </w:rPr>
        <w:t xml:space="preserve">(as a result of any failure to comply with </w:t>
      </w:r>
      <w:r>
        <w:rPr>
          <w:rFonts w:ascii="Times New Roman;sans-serif" w:hAnsi="Times New Roman;sans-serif"/>
          <w:b w:val="false"/>
          <w:color w:val="000000"/>
          <w:sz w:val="22"/>
          <w:u w:val="single"/>
        </w:rPr>
        <w:t>Section 7.1(a)</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8.1(f)</w:t>
      </w:r>
      <w:r>
        <w:rPr>
          <w:color w:val="000000"/>
        </w:rPr>
        <w:t xml:space="preserve"> </w:t>
      </w:r>
      <w:r>
        <w:rPr>
          <w:rFonts w:ascii="Times New Roman;sans-serif" w:hAnsi="Times New Roman;sans-serif"/>
          <w:b w:val="false"/>
          <w:color w:val="000000"/>
          <w:sz w:val="22"/>
        </w:rPr>
        <w:t>shall have occurred and be continuing, any Listed Competitor or any Distressed Debt Fund.</w:t>
      </w:r>
    </w:p>
    <w:p>
      <w:pPr>
        <w:pStyle w:val="TextBody"/>
        <w:spacing w:lineRule="auto" w:line="288" w:before="0" w:after="180"/>
        <w:ind w:left="0" w:right="0" w:firstLine="216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No Assignment to Natural Persons</w:t>
      </w:r>
      <w:r>
        <w:rPr>
          <w:rFonts w:ascii="Times New Roman;sans-serif" w:hAnsi="Times New Roman;sans-serif"/>
          <w:b w:val="false"/>
          <w:color w:val="000000"/>
          <w:sz w:val="22"/>
        </w:rPr>
        <w:t>. No such assignment shall be made to a natural Person (or a holding company, investment vehicle or trust established for, or owned and operated for the primary benefit of, a natural Person).</w:t>
      </w:r>
    </w:p>
    <w:p>
      <w:pPr>
        <w:pStyle w:val="TextBody"/>
        <w:spacing w:lineRule="auto" w:line="288" w:before="0" w:after="180"/>
        <w:ind w:left="0" w:right="0" w:firstLine="216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w:t>
      </w:r>
      <w:r>
        <w:br w:type="page"/>
      </w:r>
    </w:p>
    <w:p>
      <w:pPr>
        <w:pStyle w:val="TextBody"/>
        <w:spacing w:before="0" w:after="0"/>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60655"/>
                <wp:effectExtent l="0" t="0" r="0" b="0"/>
                <wp:wrapNone/>
                <wp:docPr id="379" name="Frame37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spacing w:lineRule="auto" w:line="288" w:before="0" w:after="180"/>
        <w:jc w:val="both"/>
        <w:rPr/>
      </w:pPr>
      <w:r>
        <w:rPr>
          <w:rFonts w:ascii="Times New Roman;sans-serif" w:hAnsi="Times New Roman;sans-serif"/>
          <w:b w:val="false"/>
          <w:color w:val="000000"/>
          <w:sz w:val="22"/>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2.19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10.5</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 non- 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sans-serif" w:hAnsi="Times New Roman;sans-serif"/>
          <w:b/>
          <w:i/>
          <w:color w:val="000000"/>
          <w:sz w:val="22"/>
        </w:rPr>
        <w:t>Register</w:t>
      </w:r>
      <w:r>
        <w:rPr>
          <w:color w:val="000000"/>
        </w:rPr>
        <w:t>”</w:t>
      </w:r>
      <w:r>
        <w:rPr>
          <w:rFonts w:ascii="Times New Roman;sans-serif" w:hAnsi="Times New Roman;sans-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xml:space="preserve">. Any Lender may at any time, without the consent of, or notice to, the Borrower or the Administrative Agent, sell participations to any Person (other than (i) a natural Person, (ii) a holding company, investment vehicle or trust established for, or owned and operated for the primary benefit of, a natural Person, (iii) the Borrower or any of the Borrower’s Affiliates or Subsidiaries or (iv) unless an Event of Default under </w:t>
      </w:r>
      <w:r>
        <w:rPr>
          <w:rFonts w:ascii="Times New Roman;sans-serif" w:hAnsi="Times New Roman;sans-serif"/>
          <w:b w:val="false"/>
          <w:color w:val="000000"/>
          <w:sz w:val="22"/>
          <w:u w:val="single"/>
        </w:rPr>
        <w:t>Section 8.1(a)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8.1(c)</w:t>
      </w:r>
      <w:r>
        <w:rPr>
          <w:color w:val="000000"/>
        </w:rPr>
        <w:t xml:space="preserve"> </w:t>
      </w:r>
      <w:r>
        <w:rPr>
          <w:rFonts w:ascii="Times New Roman;sans-serif" w:hAnsi="Times New Roman;sans-serif"/>
          <w:b w:val="false"/>
          <w:color w:val="000000"/>
          <w:sz w:val="22"/>
        </w:rPr>
        <w:t xml:space="preserve">(as a result of any failure to comply with </w:t>
      </w:r>
      <w:r>
        <w:rPr>
          <w:rFonts w:ascii="Times New Roman;sans-serif" w:hAnsi="Times New Roman;sans-serif"/>
          <w:b w:val="false"/>
          <w:color w:val="000000"/>
          <w:sz w:val="22"/>
          <w:u w:val="single"/>
        </w:rPr>
        <w:t>Section 7.1(a)</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8.1(f)</w:t>
      </w:r>
      <w:r>
        <w:rPr>
          <w:color w:val="000000"/>
        </w:rPr>
        <w:t xml:space="preserve"> </w:t>
      </w:r>
      <w:r>
        <w:rPr>
          <w:rFonts w:ascii="Times New Roman;sans-serif" w:hAnsi="Times New Roman;sans-serif"/>
          <w:b w:val="false"/>
          <w:color w:val="000000"/>
          <w:sz w:val="22"/>
        </w:rPr>
        <w:t>or has occurred and is continuing, any Listed Competitor or any Distressed Debt Fund (each, a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Issuing Lender and the other Lenders shall continue </w:t>
      </w:r>
      <w:r>
        <w:br w:type="page"/>
      </w:r>
    </w:p>
    <w:p>
      <w:pPr>
        <w:pStyle w:val="TextBody"/>
        <w:spacing w:before="0" w:after="0"/>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60655"/>
                <wp:effectExtent l="0" t="0" r="0" b="0"/>
                <wp:wrapNone/>
                <wp:docPr id="380" name="Frame37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to deal solely and directly with such Lender in connection with such Lender’s rights and obligations under this Agreement. For the avoidance of doubt, each Lender shall be responsible for the indemnities under </w:t>
      </w:r>
      <w:r>
        <w:rPr>
          <w:rFonts w:ascii="Times New Roman;sans-serif" w:hAnsi="Times New Roman;sans-serif"/>
          <w:b w:val="false"/>
          <w:color w:val="000000"/>
          <w:sz w:val="22"/>
          <w:u w:val="single"/>
        </w:rPr>
        <w:t>Sections 2.20(e)</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9.7</w:t>
      </w:r>
      <w:r>
        <w:rPr>
          <w:color w:val="000000"/>
        </w:rPr>
        <w:t xml:space="preserve"> </w:t>
      </w:r>
      <w:r>
        <w:rPr>
          <w:rFonts w:ascii="Times New Roman;sans-serif" w:hAnsi="Times New Roman;sans-serif"/>
          <w:b w:val="false"/>
          <w:color w:val="000000"/>
          <w:sz w:val="22"/>
        </w:rPr>
        <w:t>with respect to any payments made by such Lender to its Participant(s).</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The Borrower agrees that each Participant shall be entitled to the benefits of </w:t>
      </w:r>
      <w:r>
        <w:rPr>
          <w:rFonts w:ascii="Times New Roman;sans-serif" w:hAnsi="Times New Roman;sans-serif"/>
          <w:b w:val="false"/>
          <w:color w:val="000000"/>
          <w:sz w:val="22"/>
          <w:u w:val="single"/>
        </w:rPr>
        <w:t>Sections 2.19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2.21</w:t>
      </w:r>
      <w:r>
        <w:rPr>
          <w:color w:val="000000"/>
        </w:rPr>
        <w:t xml:space="preserve"> </w:t>
      </w:r>
      <w:r>
        <w:rPr>
          <w:rFonts w:ascii="Times New Roman;sans-serif" w:hAnsi="Times New Roman;sans-serif"/>
          <w:b w:val="false"/>
          <w:color w:val="000000"/>
          <w:sz w:val="22"/>
        </w:rPr>
        <w:t xml:space="preserve">(subject to the requirements and limitations therein, including the requirements under </w:t>
      </w:r>
      <w:r>
        <w:rPr>
          <w:rFonts w:ascii="Times New Roman;sans-serif" w:hAnsi="Times New Roman;sans-serif"/>
          <w:b w:val="false"/>
          <w:color w:val="000000"/>
          <w:sz w:val="22"/>
          <w:u w:val="single"/>
        </w:rPr>
        <w:t>Section 2.20(f)</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2.20(f)</w:t>
      </w:r>
      <w:r>
        <w:rPr>
          <w:color w:val="000000"/>
        </w:rPr>
        <w:t xml:space="preserve"> </w:t>
      </w:r>
      <w:r>
        <w:rPr>
          <w:rFonts w:ascii="Times New Roman;sans-serif" w:hAnsi="Times New Roman;sans-serif"/>
          <w:b w:val="false"/>
          <w:color w:val="000000"/>
          <w:sz w:val="22"/>
        </w:rPr>
        <w:t xml:space="preserve">shall be delivered by such Participant to the Lender granting such participation)) to the same extent as if it were a Lender and had acquired its interest by assignment pursuant to </w:t>
      </w:r>
      <w:r>
        <w:rPr>
          <w:rFonts w:ascii="Times New Roman;sans-serif" w:hAnsi="Times New Roman;sans-serif"/>
          <w:b w:val="false"/>
          <w:color w:val="000000"/>
          <w:sz w:val="22"/>
          <w:u w:val="single"/>
        </w:rPr>
        <w:t>Section 10.6(b)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 agrees to be subject to the provisions of </w:t>
      </w:r>
      <w:r>
        <w:rPr>
          <w:rFonts w:ascii="Times New Roman;sans-serif" w:hAnsi="Times New Roman;sans-serif"/>
          <w:b w:val="false"/>
          <w:color w:val="000000"/>
          <w:sz w:val="22"/>
          <w:u w:val="single"/>
        </w:rPr>
        <w:t>Sections 2.23</w:t>
      </w:r>
      <w:r>
        <w:rPr>
          <w:color w:val="000000"/>
        </w:rPr>
        <w:t xml:space="preserve"> </w:t>
      </w:r>
      <w:r>
        <w:rPr>
          <w:rFonts w:ascii="Times New Roman;sans-serif" w:hAnsi="Times New Roman;sans-serif"/>
          <w:b w:val="false"/>
          <w:color w:val="000000"/>
          <w:sz w:val="22"/>
        </w:rPr>
        <w:t xml:space="preserve">as if it were an assignee under </w:t>
      </w:r>
      <w:r>
        <w:rPr>
          <w:rFonts w:ascii="Times New Roman;sans-serif" w:hAnsi="Times New Roman;sans-serif"/>
          <w:b w:val="false"/>
          <w:color w:val="000000"/>
          <w:sz w:val="22"/>
          <w:u w:val="single"/>
        </w:rPr>
        <w:t>Section 10.6(b)</w:t>
      </w:r>
      <w:r>
        <w:rPr>
          <w:rFonts w:ascii="Times New Roman;sans-serif" w:hAnsi="Times New Roman;sans-serif"/>
          <w:b w:val="false"/>
          <w:color w:val="000000"/>
          <w:sz w:val="22"/>
        </w:rPr>
        <w:t xml:space="preserve">; and (B) shall not be entitled to receive any greater payment under </w:t>
      </w:r>
      <w:r>
        <w:rPr>
          <w:rFonts w:ascii="Times New Roman;sans-serif" w:hAnsi="Times New Roman;sans-serif"/>
          <w:b w:val="false"/>
          <w:color w:val="000000"/>
          <w:sz w:val="22"/>
          <w:u w:val="single"/>
        </w:rPr>
        <w:t>Sections 2.19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2.20</w:t>
      </w:r>
      <w:r>
        <w:rPr>
          <w:rFonts w:ascii="Times New Roman;sans-serif" w:hAnsi="Times New Roman;sans-serif"/>
          <w:b w:val="false"/>
          <w:color w:val="000000"/>
          <w:sz w:val="22"/>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10.7</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agrees to be subject to </w:t>
      </w:r>
      <w:r>
        <w:rPr>
          <w:rFonts w:ascii="Times New Roman;sans-serif" w:hAnsi="Times New Roman;sans-serif"/>
          <w:b w:val="false"/>
          <w:color w:val="000000"/>
          <w:sz w:val="22"/>
          <w:u w:val="single"/>
        </w:rPr>
        <w:t>Section 2.18(k)</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i/>
          <w:color w:val="000000"/>
          <w:sz w:val="22"/>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United States Treasury Regulations Section 1.163-5(b)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xml:space="preserve">. The Borrower, upon receipt by the Borrower of written notice from the relevant Lender, agrees to issue Notes to any Lender requiring Notes to facilitate transactions of the type described in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60655"/>
                <wp:effectExtent l="0" t="0" r="0" b="0"/>
                <wp:wrapNone/>
                <wp:docPr id="381" name="Frame37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Representations and Warranties of Lenders</w:t>
      </w:r>
      <w:r>
        <w:rPr>
          <w:rFonts w:ascii="Times New Roman;sans-serif" w:hAnsi="Times New Roman;sans-serif"/>
          <w:b w:val="false"/>
          <w:color w:val="000000"/>
          <w:sz w:val="22"/>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the disposition of such Commitments and Loans or any interests therein shall at all times remain within its exclusive control).</w:t>
      </w:r>
    </w:p>
    <w:p>
      <w:pPr>
        <w:pStyle w:val="TextBody"/>
        <w:spacing w:lineRule="auto" w:line="288" w:before="0" w:after="180"/>
        <w:ind w:left="0" w:right="0" w:firstLine="720"/>
        <w:rPr/>
      </w:pPr>
      <w:r>
        <w:rPr>
          <w:rFonts w:ascii="Times New Roman;sans-serif" w:hAnsi="Times New Roman;sans-serif"/>
          <w:b/>
          <w:color w:val="000000"/>
          <w:sz w:val="22"/>
        </w:rPr>
        <w:t>10.7</w:t>
      </w:r>
      <w:r>
        <w:rPr>
          <w:rFonts w:ascii="Times New Roman;sans-serif" w:hAnsi="Times New Roman;sans-serif"/>
          <w:b/>
          <w:color w:val="000000"/>
          <w:sz w:val="22"/>
        </w:rPr>
        <w:t>Adjustments; Set-off.</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Except to the extent that this Agreement expressly provides for payments to be allocated to a particular Lender or to the Lenders under a particular Facility, if any Lender (a “</w:t>
      </w:r>
      <w:r>
        <w:rPr>
          <w:rFonts w:ascii="Times New Roman;sans-serif" w:hAnsi="Times New Roman;sans-serif"/>
          <w:b/>
          <w:i/>
          <w:color w:val="000000"/>
          <w:sz w:val="22"/>
        </w:rPr>
        <w:t>Benefitted Lender</w:t>
      </w:r>
      <w:r>
        <w:rPr>
          <w:color w:val="000000"/>
        </w:rPr>
        <w:t>”</w:t>
      </w:r>
      <w:r>
        <w:rPr>
          <w:rFonts w:ascii="Times New Roman;sans-serif" w:hAnsi="Times New Roman;sans-serif"/>
          <w:b w:val="false"/>
          <w:color w:val="000000"/>
          <w:sz w:val="22"/>
        </w:rPr>
        <w:t xml:space="preserve">) shall, at any time after the Loans and other amounts payable hereunder shall immediately become due and payable pursuant to </w:t>
      </w:r>
      <w:r>
        <w:rPr>
          <w:rFonts w:ascii="Times New Roman;sans-serif" w:hAnsi="Times New Roman;sans-serif"/>
          <w:b w:val="false"/>
          <w:color w:val="000000"/>
          <w:sz w:val="22"/>
          <w:u w:val="single"/>
        </w:rPr>
        <w:t>Section 8.2</w:t>
      </w:r>
      <w:r>
        <w:rPr>
          <w:rFonts w:ascii="Times New Roman;sans-serif" w:hAnsi="Times New Roman;sans-serif"/>
          <w:b w:val="false"/>
          <w:color w:val="000000"/>
          <w:sz w:val="22"/>
        </w:rPr>
        <w:t xml:space="preserve">, receive any payment of all or part of the Obligations owing to it, or receive any collateral in respect thereof (whether voluntarily or involuntarily, by set-off, pursuant to events or proceedings of the nature referred to in </w:t>
      </w:r>
      <w:r>
        <w:rPr>
          <w:rFonts w:ascii="Times New Roman;sans-serif" w:hAnsi="Times New Roman;sans-serif"/>
          <w:b w:val="false"/>
          <w:color w:val="000000"/>
          <w:sz w:val="22"/>
          <w:u w:val="single"/>
        </w:rPr>
        <w:t>Section 8.1(f)</w:t>
      </w:r>
      <w:r>
        <w:rPr>
          <w:rFonts w:ascii="Times New Roman;sans-serif" w:hAnsi="Times New Roman;sans-serif"/>
          <w:b w:val="false"/>
          <w:color w:val="000000"/>
          <w:sz w:val="22"/>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all or any portion of such excess payment or benefits is thereafter recovered from such Benefitted Lender, such purchase shall be rescinded, and the purchase price and benefits returned, to the extent of such recovery, but without interest.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Upon (i) the occurrence and during the continuance of any Event of Default and (ii) obtaining the prior written consent of the Administrative Agent, each Lender and each of its Affiliates is hereby authorized at any time and from time to time, without prior notice to any Loan Party, any such notice being expressly waived by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any Loan Party, against any and all of the obligations of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such Loan Party may be contingent or unmatured or are owed to a branch, office or Affiliate of such Lender different from the branch, office or Affiliate holding such deposit or obligated on such 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w:t>
      </w:r>
      <w:r>
        <w:br w:type="page"/>
      </w:r>
    </w:p>
    <w:p>
      <w:pPr>
        <w:pStyle w:val="TextBody"/>
        <w:spacing w:before="0" w:after="0"/>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60655"/>
                <wp:effectExtent l="0" t="0" r="0" b="0"/>
                <wp:wrapNone/>
                <wp:docPr id="382" name="Frame37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Affiliates;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to give such notice shall not affect the validity of such setoff and application. The rights of each Lender and its Affiliates under this </w:t>
      </w:r>
      <w:r>
        <w:rPr>
          <w:rFonts w:ascii="Times New Roman;sans-serif" w:hAnsi="Times New Roman;sans-serif"/>
          <w:b w:val="false"/>
          <w:color w:val="000000"/>
          <w:sz w:val="22"/>
          <w:u w:val="single"/>
        </w:rPr>
        <w:t>Section 10.7</w:t>
      </w:r>
      <w:r>
        <w:rPr>
          <w:color w:val="000000"/>
        </w:rPr>
        <w:t xml:space="preserve"> </w:t>
      </w:r>
      <w:r>
        <w:rPr>
          <w:rFonts w:ascii="Times New Roman;sans-serif" w:hAnsi="Times New Roman;sans-serif"/>
          <w:b w:val="false"/>
          <w:color w:val="000000"/>
          <w:sz w:val="22"/>
        </w:rPr>
        <w:t>are in addition to other rights and remedies (including other rights of set-off) which such Lender or its Affiliates may have.</w:t>
      </w:r>
    </w:p>
    <w:p>
      <w:pPr>
        <w:pStyle w:val="TextBody"/>
        <w:spacing w:lineRule="auto" w:line="288" w:before="0" w:after="18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rPr>
        <w:t>Payments Set Aside</w:t>
      </w:r>
      <w:r>
        <w:rPr>
          <w:rFonts w:ascii="Times New Roman;sans-serif" w:hAnsi="Times New Roman;sans-serif"/>
          <w:b w:val="false"/>
          <w:color w:val="000000"/>
          <w:sz w:val="22"/>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pStyle w:val="TextBody"/>
        <w:spacing w:lineRule="auto" w:line="288" w:before="0" w:after="18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rPr>
        <w:t>Interest Rate Limitation</w:t>
      </w:r>
      <w:r>
        <w:rPr>
          <w:rFonts w:ascii="Times New Roman;sans-serif" w:hAnsi="Times New Roman;sans-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ans-serif" w:hAnsi="Times New Roman;sans-serif"/>
          <w:b/>
          <w:i/>
          <w:color w:val="000000"/>
          <w:sz w:val="22"/>
        </w:rPr>
        <w:t>Maximum Rate</w:t>
      </w:r>
      <w:r>
        <w:rPr>
          <w:color w:val="000000"/>
        </w:rPr>
        <w:t>”</w:t>
      </w:r>
      <w:r>
        <w:rPr>
          <w:rFonts w:ascii="Times New Roman;sans-serif" w:hAnsi="Times New Roman;sans-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spacing w:lineRule="auto" w:line="288" w:before="0" w:after="180"/>
        <w:ind w:left="0" w:right="0" w:firstLine="720"/>
        <w:rPr/>
      </w:pPr>
      <w:r>
        <w:rPr>
          <w:rFonts w:ascii="Times New Roman;sans-serif" w:hAnsi="Times New Roman;sans-serif"/>
          <w:b/>
          <w:color w:val="000000"/>
          <w:sz w:val="22"/>
        </w:rPr>
        <w:t>10.10</w:t>
      </w:r>
      <w:r>
        <w:rPr>
          <w:rFonts w:ascii="Times New Roman;sans-serif" w:hAnsi="Times New Roman;sans-serif"/>
          <w:b/>
          <w:color w:val="000000"/>
          <w:sz w:val="22"/>
        </w:rPr>
        <w:t>Counterparts; Electronic Execution of Assignments.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words “execution,” “signed,” “signature,” and words of like import in any Loan Document or any other written instrument delivered pursuant thereto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spacing w:lineRule="auto" w:line="288" w:before="0" w:after="180"/>
        <w:ind w:left="0" w:right="0" w:firstLine="720"/>
        <w:jc w:val="both"/>
        <w:rPr/>
      </w:pPr>
      <w:r>
        <w:rPr>
          <w:rFonts w:ascii="Times New Roman;sans-serif" w:hAnsi="Times New Roman;sans-serif"/>
          <w:b/>
          <w:color w:val="000000"/>
          <w:sz w:val="22"/>
        </w:rPr>
        <w:t>10.11</w:t>
      </w:r>
      <w:r>
        <w:rPr>
          <w:rFonts w:ascii="Times New Roman;sans-serif" w:hAnsi="Times New Roman;sans-serif"/>
          <w:b/>
          <w:color w:val="000000"/>
          <w:sz w:val="22"/>
        </w:rPr>
        <w:t>Severability</w:t>
      </w:r>
      <w:r>
        <w:rPr>
          <w:rFonts w:ascii="Times New Roman;sans-serif" w:hAnsi="Times New Roman;sans-serif"/>
          <w:b w:val="false"/>
          <w:color w:val="000000"/>
          <w:sz w:val="22"/>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w:t>
      </w:r>
      <w:r>
        <w:br w:type="page"/>
      </w:r>
    </w:p>
    <w:p>
      <w:pPr>
        <w:pStyle w:val="TextBody"/>
        <w:spacing w:before="0" w:after="0"/>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60655"/>
                <wp:effectExtent l="0" t="0" r="0" b="0"/>
                <wp:wrapNone/>
                <wp:docPr id="383" name="Frame37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unenforceability in any jurisdiction shall not invalidate or render unenforceable such provision in any other jurisdiction. Without limiting the foregoing provisions of this </w:t>
      </w:r>
      <w:r>
        <w:rPr>
          <w:rFonts w:ascii="Times New Roman;sans-serif" w:hAnsi="Times New Roman;sans-serif"/>
          <w:b w:val="false"/>
          <w:color w:val="000000"/>
          <w:sz w:val="22"/>
          <w:u w:val="single"/>
        </w:rPr>
        <w:t>Section 10.11</w:t>
      </w:r>
      <w:r>
        <w:rPr>
          <w:rFonts w:ascii="Times New Roman;sans-serif" w:hAnsi="Times New Roman;sans-serif"/>
          <w:b w:val="false"/>
          <w:color w:val="000000"/>
          <w:sz w:val="22"/>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pStyle w:val="TextBody"/>
        <w:spacing w:lineRule="auto" w:line="288" w:before="0" w:after="180"/>
        <w:ind w:left="0" w:right="0" w:firstLine="720"/>
        <w:jc w:val="both"/>
        <w:rPr/>
      </w:pPr>
      <w:r>
        <w:rPr>
          <w:rFonts w:ascii="Times New Roman;sans-serif" w:hAnsi="Times New Roman;sans-serif"/>
          <w:b/>
          <w:color w:val="000000"/>
          <w:sz w:val="22"/>
        </w:rPr>
        <w:t>10.12</w:t>
      </w:r>
      <w:r>
        <w:rPr>
          <w:rFonts w:ascii="Times New Roman;sans-serif" w:hAnsi="Times New Roman;sans-serif"/>
          <w:b/>
          <w:color w:val="000000"/>
          <w:sz w:val="22"/>
        </w:rPr>
        <w:t>Integration</w:t>
      </w:r>
      <w:r>
        <w:rPr>
          <w:rFonts w:ascii="Times New Roman;sans-serif" w:hAnsi="Times New Roman;sans-serif"/>
          <w:b w:val="false"/>
          <w:color w:val="000000"/>
          <w:sz w:val="22"/>
        </w:rPr>
        <w:t>. This Agreement and the other Loan Documents represent the entire agreement of the Borrower, the 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pStyle w:val="TextBody"/>
        <w:spacing w:lineRule="auto" w:line="288" w:before="0" w:after="180"/>
        <w:ind w:left="0" w:right="0" w:firstLine="720"/>
        <w:jc w:val="both"/>
        <w:rPr/>
      </w:pPr>
      <w:r>
        <w:rPr>
          <w:rFonts w:ascii="Times New Roman;sans-serif" w:hAnsi="Times New Roman;sans-serif"/>
          <w:b/>
          <w:color w:val="000000"/>
          <w:sz w:val="22"/>
        </w:rPr>
        <w:t>10.13</w:t>
      </w:r>
      <w:r>
        <w:rPr>
          <w:rFonts w:ascii="Times New Roman;sans-serif" w:hAnsi="Times New Roman;sans-serif"/>
          <w:b/>
          <w:color w:val="000000"/>
          <w:sz w:val="22"/>
        </w:rPr>
        <w:t>GOVERNING LAW</w:t>
      </w:r>
      <w:r>
        <w:rPr>
          <w:rFonts w:ascii="Times New Roman;sans-serif" w:hAnsi="Times New Roman;sans-serif"/>
          <w:b w:val="false"/>
          <w:color w:val="000000"/>
          <w:sz w:val="22"/>
        </w:rPr>
        <w:t xml:space="preserve">. </w:t>
      </w:r>
      <w:r>
        <w:rPr>
          <w:rFonts w:ascii="Times New Roman;sans-serif" w:hAnsi="Times New Roman;sans-serif"/>
          <w:b/>
          <w:color w:val="000000"/>
          <w:sz w:val="22"/>
        </w:rPr>
        <w:t xml:space="preserve">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INTERNAL LAWS (AND NOT THE CONFLICT OF LAW RULES) OF THE STATE OF NEW YORK. </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shall survive the Discharge of Obligations.</w:t>
      </w:r>
    </w:p>
    <w:p>
      <w:pPr>
        <w:pStyle w:val="TextBody"/>
        <w:spacing w:lineRule="auto" w:line="288" w:before="0" w:after="180"/>
        <w:ind w:left="0" w:right="0" w:firstLine="720"/>
        <w:rPr/>
      </w:pPr>
      <w:r>
        <w:rPr>
          <w:rFonts w:ascii="Times New Roman;sans-serif" w:hAnsi="Times New Roman;sans-serif"/>
          <w:b/>
          <w:color w:val="000000"/>
          <w:sz w:val="22"/>
        </w:rPr>
        <w:t>10.14</w:t>
      </w:r>
      <w:r>
        <w:rPr>
          <w:rFonts w:ascii="Times New Roman;sans-serif" w:hAnsi="Times New Roman;sans-serif"/>
          <w:b/>
          <w:color w:val="000000"/>
          <w:sz w:val="22"/>
        </w:rPr>
        <w:t>Submission to Jurisdiction; Waivers. Each party hereto hereby irrevocably and unconditionally:</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Group Member against the Administrative Agent or any Lender or any other Secured Party of any kind, shall be brought only in a state court located in the Borough of Manhattan, or in a federal court sitting in the Borough of Manhattan;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 xml:space="preserve">of this Agreement and that service so made shall be deemed completed upon the </w:t>
      </w:r>
      <w:r>
        <w:br w:type="page"/>
      </w:r>
    </w:p>
    <w:p>
      <w:pPr>
        <w:pStyle w:val="TextBody"/>
        <w:spacing w:before="0" w:after="0"/>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60655"/>
                <wp:effectExtent l="0" t="0" r="0" b="0"/>
                <wp:wrapNone/>
                <wp:docPr id="384" name="Frame37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earlier to occur of the Borrower’s actual receipt thereof or three days after deposit in the U.S. mails, proper postage prepaid;</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color w:val="000000"/>
          <w:sz w:val="22"/>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THE BORROWER HAS REVIEWED THIS WAIVER WITH ITS COUNSEL; and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waives, to the maximum extent not prohibited by law, any right it may have to claim or recover in any legal action or proceeding referred to in this Section any special, exemplary, punitive or consequential damages.</w:t>
      </w:r>
    </w:p>
    <w:p>
      <w:pPr>
        <w:pStyle w:val="TextBody"/>
        <w:spacing w:lineRule="auto" w:line="288" w:before="0" w:after="180"/>
        <w:ind w:left="0" w:right="0" w:firstLine="720"/>
        <w:rPr/>
      </w:pP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Section 10.14</w:t>
      </w:r>
      <w:r>
        <w:rPr>
          <w:color w:val="000000"/>
        </w:rPr>
        <w:t xml:space="preserve"> </w:t>
      </w:r>
      <w:r>
        <w:rPr>
          <w:rFonts w:ascii="Times New Roman;sans-serif" w:hAnsi="Times New Roman;sans-serif"/>
          <w:b w:val="false"/>
          <w:color w:val="000000"/>
          <w:sz w:val="22"/>
        </w:rPr>
        <w:t>shall survive the Discharge of Obligations.</w:t>
      </w:r>
    </w:p>
    <w:p>
      <w:pPr>
        <w:pStyle w:val="TextBody"/>
        <w:spacing w:lineRule="auto" w:line="288" w:before="0" w:after="180"/>
        <w:ind w:left="0" w:right="0" w:firstLine="720"/>
        <w:rPr/>
      </w:pPr>
      <w:r>
        <w:rPr>
          <w:rFonts w:ascii="Times New Roman;sans-serif" w:hAnsi="Times New Roman;sans-serif"/>
          <w:b/>
          <w:color w:val="000000"/>
          <w:sz w:val="22"/>
        </w:rPr>
        <w:t>10.15</w:t>
      </w:r>
      <w:r>
        <w:rPr>
          <w:rFonts w:ascii="Times New Roman;sans-serif" w:hAnsi="Times New Roman;sans-serif"/>
          <w:b/>
          <w:color w:val="000000"/>
          <w:sz w:val="22"/>
        </w:rPr>
        <w:t>Acknowledgements</w:t>
      </w:r>
      <w:r>
        <w:rPr>
          <w:rFonts w:ascii="Times New Roman;sans-serif" w:hAnsi="Times New Roman;sans-serif"/>
          <w:b w:val="false"/>
          <w:color w:val="000000"/>
          <w:sz w:val="22"/>
        </w:rPr>
        <w:t>. The Borrower hereby acknowledges that: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it has been advised by counsel in the negotiation, execution and delivery of this Agreement and the other Loan Documents;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r>
        <w:br w:type="page"/>
      </w:r>
    </w:p>
    <w:p>
      <w:pPr>
        <w:pStyle w:val="TextBody"/>
        <w:spacing w:before="0" w:after="0"/>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60655"/>
                <wp:effectExtent l="0" t="0" r="0" b="0"/>
                <wp:wrapNone/>
                <wp:docPr id="385" name="Frame37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 joint venture is created hereby or by the other Loan Documents or otherwise exists by virtue of the transactions contemplated hereby among the Lenders or among the Group Members and the Lenders.</w:t>
      </w:r>
    </w:p>
    <w:p>
      <w:pPr>
        <w:pStyle w:val="TextBody"/>
        <w:spacing w:lineRule="auto" w:line="288" w:before="0" w:after="180"/>
        <w:ind w:left="0" w:right="0" w:firstLine="720"/>
        <w:rPr/>
      </w:pPr>
      <w:r>
        <w:rPr>
          <w:rFonts w:ascii="Times New Roman;sans-serif" w:hAnsi="Times New Roman;sans-serif"/>
          <w:b/>
          <w:color w:val="000000"/>
          <w:sz w:val="22"/>
        </w:rPr>
        <w:t>10.16</w:t>
      </w:r>
      <w:r>
        <w:rPr>
          <w:rFonts w:ascii="Times New Roman;sans-serif" w:hAnsi="Times New Roman;sans-serif"/>
          <w:b/>
          <w:color w:val="000000"/>
          <w:sz w:val="22"/>
        </w:rPr>
        <w:t>Releases of Guarantees and Liens.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or (2) under the circumstances described in </w:t>
      </w:r>
      <w:r>
        <w:rPr>
          <w:rFonts w:ascii="Times New Roman;sans-serif" w:hAnsi="Times New Roman;sans-serif"/>
          <w:b w:val="false"/>
          <w:color w:val="000000"/>
          <w:sz w:val="22"/>
          <w:u w:val="single"/>
        </w:rPr>
        <w:t>Section 10.16(b)</w:t>
      </w:r>
      <w:r>
        <w:rPr>
          <w:color w:val="000000"/>
        </w:rPr>
        <w:t xml:space="preserve"> </w:t>
      </w:r>
      <w:r>
        <w:rPr>
          <w:rFonts w:ascii="Times New Roman;sans-serif" w:hAnsi="Times New Roman;sans-serif"/>
          <w:b w:val="false"/>
          <w:color w:val="000000"/>
          <w:sz w:val="22"/>
        </w:rPr>
        <w:t>below.</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pStyle w:val="TextBody"/>
        <w:spacing w:lineRule="auto" w:line="288" w:before="0" w:after="180"/>
        <w:ind w:left="0" w:right="0" w:firstLine="720"/>
        <w:jc w:val="both"/>
        <w:rPr/>
      </w:pPr>
      <w:r>
        <w:rPr>
          <w:rFonts w:ascii="Times New Roman;sans-serif" w:hAnsi="Times New Roman;sans-serif"/>
          <w:b/>
          <w:color w:val="000000"/>
          <w:sz w:val="22"/>
        </w:rPr>
        <w:t>10.17</w:t>
      </w:r>
      <w:r>
        <w:rPr>
          <w:rFonts w:ascii="Times New Roman;sans-serif" w:hAnsi="Times New Roman;sans-serif"/>
          <w:b/>
          <w:color w:val="000000"/>
          <w:sz w:val="22"/>
        </w:rPr>
        <w:t>Treatment of Certain Information; Confidentiality</w:t>
      </w:r>
      <w:r>
        <w:rPr>
          <w:rFonts w:ascii="Times New Roman;sans-serif" w:hAnsi="Times New Roman;sans-serif"/>
          <w:b w:val="false"/>
          <w:color w:val="000000"/>
          <w:sz w:val="22"/>
        </w:rPr>
        <w:t xml:space="preserve">. Each of the Administrative Agent and each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any Group Member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w:t>
      </w:r>
      <w:r>
        <w:br w:type="page"/>
      </w:r>
    </w:p>
    <w:p>
      <w:pPr>
        <w:pStyle w:val="TextBody"/>
        <w:spacing w:before="0" w:after="0"/>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60655"/>
                <wp:effectExtent l="0" t="0" r="0" b="0"/>
                <wp:wrapNone/>
                <wp:docPr id="386" name="Frame37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pStyle w:val="TextBody"/>
        <w:spacing w:lineRule="auto" w:line="288" w:before="0" w:after="180"/>
        <w:ind w:left="0" w:right="0" w:firstLine="720"/>
        <w:jc w:val="both"/>
        <w:rPr/>
      </w:pPr>
      <w:r>
        <w:rPr>
          <w:rFonts w:ascii="Times New Roman;sans-serif" w:hAnsi="Times New Roman;sans-serif"/>
          <w:b w:val="false"/>
          <w:color w:val="000000"/>
          <w:sz w:val="22"/>
        </w:rPr>
        <w:t>For purposes of this Section, “</w:t>
      </w:r>
      <w:r>
        <w:rPr>
          <w:rFonts w:ascii="Times New Roman;sans-serif" w:hAnsi="Times New Roman;sans-serif"/>
          <w:b/>
          <w:i/>
          <w:color w:val="000000"/>
          <w:sz w:val="22"/>
        </w:rPr>
        <w:t>Information</w:t>
      </w:r>
      <w:r>
        <w:rPr>
          <w:color w:val="000000"/>
        </w:rPr>
        <w:t xml:space="preserve">” </w:t>
      </w:r>
      <w:r>
        <w:rPr>
          <w:rFonts w:ascii="Times New Roman;sans-serif" w:hAnsi="Times New Roman;sans-serif"/>
          <w:b w:val="false"/>
          <w:color w:val="000000"/>
          <w:sz w:val="22"/>
        </w:rPr>
        <w:t xml:space="preserve">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information received from the Group Members after the date hereof, such information is clearly identified at the time of delivery as confidential or if not so marked, is of a character that a reasonable person would know that such information is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spacing w:lineRule="auto" w:line="288" w:before="0" w:after="180"/>
        <w:ind w:left="0" w:right="0" w:firstLine="720"/>
        <w:jc w:val="both"/>
        <w:rPr/>
      </w:pPr>
      <w:r>
        <w:rPr>
          <w:rFonts w:ascii="Times New Roman;sans-serif" w:hAnsi="Times New Roman;sans-serif"/>
          <w:b/>
          <w:color w:val="000000"/>
          <w:sz w:val="22"/>
        </w:rPr>
        <w:t>10.18</w:t>
      </w:r>
      <w:r>
        <w:rPr>
          <w:rFonts w:ascii="Times New Roman;sans-serif" w:hAnsi="Times New Roman;sans-serif"/>
          <w:b/>
          <w:color w:val="000000"/>
          <w:sz w:val="22"/>
        </w:rPr>
        <w:t>Automatic Debits</w:t>
      </w:r>
      <w:r>
        <w:rPr>
          <w:rFonts w:ascii="Times New Roman;sans-serif" w:hAnsi="Times New Roman;sans-serif"/>
          <w:b w:val="false"/>
          <w:color w:val="000000"/>
          <w:sz w:val="22"/>
        </w:rPr>
        <w:t xml:space="preserve">. With respect to any principal, interest, fee, or any other cost or expense (including attorney costs of the 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Times New Roman;sans-serif" w:hAnsi="Times New Roman;sans-serif"/>
          <w:b w:val="false"/>
          <w:color w:val="000000"/>
          <w:sz w:val="22"/>
          <w:u w:val="single"/>
        </w:rPr>
        <w:t>Section 10.18</w:t>
      </w:r>
      <w:r>
        <w:rPr>
          <w:color w:val="000000"/>
        </w:rPr>
        <w:t xml:space="preserve"> </w:t>
      </w:r>
      <w:r>
        <w:rPr>
          <w:rFonts w:ascii="Times New Roman;sans-serif" w:hAnsi="Times New Roman;sans-serif"/>
          <w:b w:val="false"/>
          <w:color w:val="000000"/>
          <w:sz w:val="22"/>
        </w:rPr>
        <w:t>shall be deemed a set-off.</w:t>
      </w:r>
    </w:p>
    <w:p>
      <w:pPr>
        <w:pStyle w:val="TextBody"/>
        <w:spacing w:lineRule="auto" w:line="288" w:before="0" w:after="180"/>
        <w:ind w:left="0" w:right="0" w:firstLine="720"/>
        <w:jc w:val="both"/>
        <w:rPr/>
      </w:pPr>
      <w:r>
        <w:rPr>
          <w:rFonts w:ascii="Times New Roman;sans-serif" w:hAnsi="Times New Roman;sans-serif"/>
          <w:b/>
          <w:color w:val="000000"/>
          <w:sz w:val="22"/>
        </w:rPr>
        <w:t>10.19</w:t>
      </w:r>
      <w:r>
        <w:rPr>
          <w:rFonts w:ascii="Times New Roman;sans-serif" w:hAnsi="Times New Roman;sans-serif"/>
          <w:b/>
          <w:color w:val="000000"/>
          <w:sz w:val="22"/>
        </w:rPr>
        <w:t>Judgment Currency</w:t>
      </w:r>
      <w:r>
        <w:rPr>
          <w:rFonts w:ascii="Times New Roman;sans-serif" w:hAnsi="Times New Roman;sans-serif"/>
          <w:b w:val="false"/>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Times New Roman;sans-serif" w:hAnsi="Times New Roman;sans-serif"/>
          <w:b/>
          <w:i/>
          <w:color w:val="000000"/>
          <w:sz w:val="22"/>
        </w:rPr>
        <w:t>Judgment Currency</w:t>
      </w:r>
      <w:r>
        <w:rPr>
          <w:color w:val="000000"/>
        </w:rPr>
        <w:t>”</w:t>
      </w:r>
      <w:r>
        <w:rPr>
          <w:rFonts w:ascii="Times New Roman;sans-serif" w:hAnsi="Times New Roman;sans-serif"/>
          <w:b w:val="false"/>
          <w:color w:val="000000"/>
          <w:sz w:val="22"/>
        </w:rPr>
        <w:t>) other than that in which such sum is denominated in accordance with the applicable provisions of this Agreement (the “</w:t>
      </w:r>
      <w:r>
        <w:rPr>
          <w:rFonts w:ascii="Times New Roman;sans-serif" w:hAnsi="Times New Roman;sans-serif"/>
          <w:b/>
          <w:i/>
          <w:color w:val="000000"/>
          <w:sz w:val="22"/>
        </w:rPr>
        <w:t>Agreement Currency</w:t>
      </w:r>
      <w:r>
        <w:rPr>
          <w:color w:val="000000"/>
        </w:rPr>
        <w:t>”</w:t>
      </w:r>
      <w:r>
        <w:rPr>
          <w:rFonts w:ascii="Times New Roman;sans-serif" w:hAnsi="Times New Roman;sans-serif"/>
          <w:b w:val="false"/>
          <w:color w:val="000000"/>
          <w:sz w:val="22"/>
        </w:rPr>
        <w:t xml:space="preserve">),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w:t>
      </w:r>
      <w:r>
        <w:br w:type="page"/>
      </w:r>
    </w:p>
    <w:p>
      <w:pPr>
        <w:pStyle w:val="TextBody"/>
        <w:spacing w:before="0" w:after="0"/>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60655"/>
                <wp:effectExtent l="0" t="0" r="0" b="0"/>
                <wp:wrapNone/>
                <wp:docPr id="387" name="Frame38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pStyle w:val="TextBody"/>
        <w:spacing w:lineRule="auto" w:line="288" w:before="0" w:after="180"/>
        <w:ind w:left="0" w:right="0" w:firstLine="720"/>
        <w:jc w:val="both"/>
        <w:rPr/>
      </w:pPr>
      <w:r>
        <w:rPr>
          <w:rFonts w:ascii="Times New Roman;sans-serif" w:hAnsi="Times New Roman;sans-serif"/>
          <w:b/>
          <w:color w:val="000000"/>
          <w:sz w:val="22"/>
        </w:rPr>
        <w:t>10.20</w:t>
      </w:r>
      <w:r>
        <w:rPr>
          <w:rFonts w:ascii="Times New Roman;sans-serif" w:hAnsi="Times New Roman;sans-serif"/>
          <w:b/>
          <w:color w:val="000000"/>
          <w:sz w:val="22"/>
        </w:rPr>
        <w:t>Patriot Act; Other Regulations</w:t>
      </w:r>
      <w:r>
        <w:rPr>
          <w:rFonts w:ascii="Times New Roman;sans-serif" w:hAnsi="Times New Roman;sans-serif"/>
          <w:b w:val="false"/>
          <w:color w:val="000000"/>
          <w:sz w:val="22"/>
        </w:rPr>
        <w:t>. Each Lender and the Administrative Agent (for itself and not on behalf of any other party) hereby notifies the Borrower and each other Loan Party that, pursuant to the requirements of “know your customer” and anti-money laundering rules and regulations, including the Patriot Act and the Beneficial Ownership Regulation, it is required to obtain, verify and record information that identifies each Loan Party and certain related parties thereto, which information includes the names and addresses and other information that will allow such Lender or the Administrative Agent, as applicable, to identify each Loan Party and certain of their beneficial owners and other officers in accordance with the Patriot Act and the Beneficial Ownership Regulation.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the Lenders in maintaining compliance with “know your customer” requirements under the PATRIOT Act, the Beneficial Ownership Regulation or other applicable anti-money laundering laws.</w:t>
      </w:r>
    </w:p>
    <w:p>
      <w:pPr>
        <w:pStyle w:val="TextBody"/>
        <w:spacing w:lineRule="auto" w:line="288" w:before="0" w:after="180"/>
        <w:ind w:left="0" w:right="0" w:firstLine="720"/>
        <w:jc w:val="both"/>
        <w:rPr/>
      </w:pPr>
      <w:r>
        <w:rPr>
          <w:rFonts w:ascii="Times New Roman;sans-serif" w:hAnsi="Times New Roman;sans-serif"/>
          <w:b/>
          <w:color w:val="000000"/>
          <w:sz w:val="22"/>
        </w:rPr>
        <w:t>10.21</w:t>
      </w:r>
      <w:r>
        <w:rPr>
          <w:rFonts w:ascii="Times New Roman;sans-serif" w:hAnsi="Times New Roman;sans-serif"/>
          <w:b/>
          <w:color w:val="000000"/>
          <w:sz w:val="22"/>
        </w:rPr>
        <w:t>Acknowledgement and Consent to Bail-In</w:t>
      </w:r>
      <w:r>
        <w:rPr>
          <w:rFonts w:ascii="Times New Roman;sans-serif" w:hAnsi="Times New Roman;sans-serif"/>
          <w:b w:val="false"/>
          <w:color w:val="000000"/>
          <w:sz w:val="22"/>
        </w:rPr>
        <w:t>. Notwithstanding any other term of any Loan Document or any other agreement, arrangement or understanding between the parties, each party hereto acknowledges and accepts that any liability of any party to any other party under or in connection with the Loan Documents may be subject to Bail-In Action by the relevant Resolution Authority and acknowledges and accepts to be bound by the effect of:</w:t>
      </w:r>
    </w:p>
    <w:p>
      <w:pPr>
        <w:pStyle w:val="TextBody"/>
        <w:spacing w:lineRule="auto" w:line="288" w:before="0" w:after="18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any Bail-In Action in relation to any such liability, including (without limitation):</w:t>
      </w:r>
    </w:p>
    <w:p>
      <w:pPr>
        <w:pStyle w:val="TextBody"/>
        <w:spacing w:lineRule="auto" w:line="288" w:before="0" w:after="180"/>
        <w:ind w:left="0" w:right="0" w:firstLine="2160"/>
        <w:rPr/>
      </w:pPr>
      <w:r>
        <w:rPr>
          <w:rFonts w:ascii="Times New Roman;sans-serif" w:hAnsi="Times New Roman;sans-serif"/>
          <w:b w:val="false"/>
          <w:color w:val="000000"/>
          <w:sz w:val="22"/>
        </w:rPr>
        <w:t>(i)</w:t>
      </w:r>
      <w:r>
        <w:rPr>
          <w:rFonts w:ascii="Times New Roman;sans-serif" w:hAnsi="Times New Roman;sans-serif"/>
          <w:b w:val="false"/>
          <w:color w:val="000000"/>
          <w:sz w:val="22"/>
        </w:rPr>
        <w:t>a reduction, in full or in part, in the principal amount, or outstanding amount due (including any accrued but unpaid interest) in respect of any such liability;</w:t>
      </w:r>
    </w:p>
    <w:p>
      <w:pPr>
        <w:pStyle w:val="TextBody"/>
        <w:spacing w:lineRule="auto" w:line="288" w:before="0" w:after="180"/>
        <w:ind w:left="0" w:right="0" w:firstLine="2160"/>
        <w:rPr/>
      </w:pPr>
      <w:r>
        <w:rPr>
          <w:rFonts w:ascii="Times New Roman;sans-serif" w:hAnsi="Times New Roman;sans-serif"/>
          <w:b w:val="false"/>
          <w:color w:val="000000"/>
          <w:sz w:val="22"/>
        </w:rPr>
        <w:t>(ii)</w:t>
      </w:r>
      <w:r>
        <w:rPr>
          <w:rFonts w:ascii="Times New Roman;sans-serif" w:hAnsi="Times New Roman;sans-serif"/>
          <w:b w:val="false"/>
          <w:color w:val="000000"/>
          <w:sz w:val="22"/>
        </w:rPr>
        <w:t>a conversion of all, or part of, any such liability into shares or other instruments of ownership that may be issued to, or conferred on, it; and</w:t>
      </w:r>
    </w:p>
    <w:p>
      <w:pPr>
        <w:pStyle w:val="TextBody"/>
        <w:spacing w:lineRule="auto" w:line="288" w:before="0" w:after="180"/>
        <w:ind w:left="0" w:right="0" w:firstLine="2160"/>
        <w:rPr/>
      </w:pPr>
      <w:r>
        <w:rPr>
          <w:rFonts w:ascii="Times New Roman;sans-serif" w:hAnsi="Times New Roman;sans-serif"/>
          <w:b w:val="false"/>
          <w:color w:val="000000"/>
          <w:sz w:val="22"/>
        </w:rPr>
        <w:t>(iii)</w:t>
      </w:r>
      <w:r>
        <w:rPr>
          <w:rFonts w:ascii="Times New Roman;sans-serif" w:hAnsi="Times New Roman;sans-serif"/>
          <w:b w:val="false"/>
          <w:color w:val="000000"/>
          <w:sz w:val="22"/>
        </w:rPr>
        <w:t>a cancellation of any such liability; and</w:t>
      </w:r>
    </w:p>
    <w:p>
      <w:pPr>
        <w:pStyle w:val="TextBody"/>
        <w:spacing w:lineRule="auto" w:line="288" w:before="0" w:after="18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rPr>
        <w:t>a variation of any term of any Finance Document to the extent necessary to give effect to any Bail-In Action in relation to any such liability.</w:t>
      </w:r>
    </w:p>
    <w:p>
      <w:pPr>
        <w:pStyle w:val="TextBody"/>
        <w:spacing w:lineRule="auto" w:line="288" w:before="0" w:after="18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left blank intentionally</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60655"/>
                <wp:effectExtent l="0" t="0" r="0" b="0"/>
                <wp:wrapNone/>
                <wp:docPr id="388" name="Frame38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131</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C0A0A"/>
          <w:sz w:val="22"/>
        </w:rPr>
        <w:t xml:space="preserve">IN WITNESS WHEREOF, </w:t>
      </w:r>
      <w:r>
        <w:rPr>
          <w:rFonts w:ascii="Times New Roman;sans-serif" w:hAnsi="Times New Roman;sans-serif"/>
          <w:b w:val="false"/>
          <w:color w:val="0C0A0A"/>
          <w:sz w:val="22"/>
        </w:rPr>
        <w:t>the parties hereto have caused this Agreement to be duly executed and delivered by their proper and duly authorized officers as of the day and year first above written.</w:t>
      </w:r>
    </w:p>
    <w:tbl>
      <w:tblPr>
        <w:tblW w:w="3831" w:type="dxa"/>
        <w:jc w:val="left"/>
        <w:tblInd w:w="0" w:type="dxa"/>
        <w:tblCellMar>
          <w:top w:w="28" w:type="dxa"/>
          <w:left w:w="28" w:type="dxa"/>
          <w:bottom w:w="28" w:type="dxa"/>
          <w:right w:w="28" w:type="dxa"/>
        </w:tblCellMar>
      </w:tblPr>
      <w:tblGrid>
        <w:gridCol w:w="124"/>
        <w:gridCol w:w="109"/>
        <w:gridCol w:w="109"/>
        <w:gridCol w:w="199"/>
        <w:gridCol w:w="199"/>
        <w:gridCol w:w="199"/>
        <w:gridCol w:w="199"/>
        <w:gridCol w:w="199"/>
        <w:gridCol w:w="199"/>
        <w:gridCol w:w="665"/>
        <w:gridCol w:w="665"/>
        <w:gridCol w:w="9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C0A0A"/>
                <w:sz w:val="22"/>
              </w:rPr>
            </w:pPr>
            <w:r>
              <w:rPr>
                <w:rFonts w:ascii="Times New Roman;sans-serif" w:hAnsi="Times New Roman;sans-serif"/>
                <w:b/>
                <w:color w:val="0C0A0A"/>
                <w:sz w:val="22"/>
              </w:rPr>
              <w:t>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C0A0A"/>
                <w:sz w:val="22"/>
              </w:rPr>
            </w:pPr>
            <w:r>
              <w:rPr>
                <w:rFonts w:ascii="Times New Roman;sans-serif" w:hAnsi="Times New Roman;sans-serif"/>
                <w:b/>
                <w:color w:val="0C0A0A"/>
                <w:sz w:val="22"/>
              </w:rPr>
              <w:t>KALTURA,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 xml:space="preserve">/s/ </w:t>
            </w:r>
            <w:r>
              <w:rPr>
                <w:rFonts w:ascii="Times New Roman;sans-serif" w:hAnsi="Times New Roman;sans-serif"/>
                <w:b w:val="false"/>
                <w:color w:val="0C0A0A"/>
                <w:sz w:val="22"/>
              </w:rPr>
              <w:t>Yaron Garmazi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C0A0A"/>
                <w:sz w:val="22"/>
                <w:u w:val="single"/>
              </w:rPr>
            </w:pPr>
            <w:r>
              <w:rPr>
                <w:rFonts w:ascii="Times New Roman;sans-serif" w:hAnsi="Times New Roman;sans-serif"/>
                <w:b w:val="false"/>
                <w:color w:val="0C0A0A"/>
                <w:sz w:val="22"/>
                <w:u w:val="single"/>
              </w:rPr>
              <w:t>Yaron Garmazi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C0A0A"/>
                <w:sz w:val="22"/>
                <w:u w:val="single"/>
              </w:rPr>
            </w:pPr>
            <w:r>
              <w:rPr>
                <w:rFonts w:ascii="Times New Roman;sans-serif" w:hAnsi="Times New Roman;sans-serif"/>
                <w:b w:val="false"/>
                <w:color w:val="0C0A0A"/>
                <w:sz w:val="22"/>
                <w:u w:val="single"/>
              </w:rPr>
              <w:t>Chief Financial Officer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389" name="Frame3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224" w:type="dxa"/>
        <w:jc w:val="left"/>
        <w:tblInd w:w="0" w:type="dxa"/>
        <w:tblCellMar>
          <w:top w:w="28" w:type="dxa"/>
          <w:left w:w="28" w:type="dxa"/>
          <w:bottom w:w="28" w:type="dxa"/>
          <w:right w:w="28" w:type="dxa"/>
        </w:tblCellMar>
      </w:tblPr>
      <w:tblGrid>
        <w:gridCol w:w="124"/>
        <w:gridCol w:w="109"/>
        <w:gridCol w:w="109"/>
        <w:gridCol w:w="332"/>
        <w:gridCol w:w="332"/>
        <w:gridCol w:w="332"/>
        <w:gridCol w:w="332"/>
        <w:gridCol w:w="332"/>
        <w:gridCol w:w="332"/>
        <w:gridCol w:w="549"/>
        <w:gridCol w:w="549"/>
        <w:gridCol w:w="7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ADMINISTRATIVE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C0A0A"/>
                <w:sz w:val="22"/>
              </w:rPr>
            </w:pPr>
            <w:r>
              <w:rPr>
                <w:rFonts w:ascii="Times New Roman;sans-serif" w:hAnsi="Times New Roman;sans-serif"/>
                <w:b/>
                <w:color w:val="0C0A0A"/>
                <w:sz w:val="22"/>
              </w:rPr>
              <w:t>SILICON VALLEY BANK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 xml:space="preserve">/s/ </w:t>
            </w:r>
            <w:r>
              <w:rPr>
                <w:rFonts w:ascii="Times New Roman;sans-serif" w:hAnsi="Times New Roman;sans-serif"/>
                <w:b w:val="false"/>
                <w:color w:val="0C0A0A"/>
                <w:sz w:val="22"/>
              </w:rPr>
              <w:t>Francis Groccia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C0A0A"/>
                <w:sz w:val="22"/>
              </w:rPr>
            </w:pPr>
            <w:r>
              <w:rPr>
                <w:rFonts w:ascii="Times New Roman;sans-serif" w:hAnsi="Times New Roman;sans-serif"/>
                <w:b w:val="false"/>
                <w:color w:val="0C0A0A"/>
                <w:sz w:val="22"/>
              </w:rPr>
              <w:t>Francis Groccia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18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val="false"/>
                <w:color w:val="0C0A0A"/>
                <w:sz w:val="22"/>
              </w:rPr>
            </w:pPr>
            <w:r>
              <w:rPr>
                <w:rFonts w:ascii="Times New Roman;sans-serif" w:hAnsi="Times New Roman;sans-serif"/>
                <w:b w:val="false"/>
                <w:color w:val="0C0A0A"/>
                <w:sz w:val="22"/>
              </w:rPr>
              <w:t>Director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60655"/>
                <wp:effectExtent l="0" t="0" r="0" b="0"/>
                <wp:wrapNone/>
                <wp:docPr id="390" name="Frame38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tbl>
      <w:tblPr>
        <w:tblW w:w="5484" w:type="dxa"/>
        <w:jc w:val="left"/>
        <w:tblInd w:w="0" w:type="dxa"/>
        <w:tblCellMar>
          <w:top w:w="28" w:type="dxa"/>
          <w:left w:w="28" w:type="dxa"/>
          <w:bottom w:w="28" w:type="dxa"/>
          <w:right w:w="28" w:type="dxa"/>
        </w:tblCellMar>
      </w:tblPr>
      <w:tblGrid>
        <w:gridCol w:w="124"/>
        <w:gridCol w:w="109"/>
        <w:gridCol w:w="109"/>
        <w:gridCol w:w="542"/>
        <w:gridCol w:w="542"/>
        <w:gridCol w:w="542"/>
        <w:gridCol w:w="542"/>
        <w:gridCol w:w="542"/>
        <w:gridCol w:w="542"/>
        <w:gridCol w:w="550"/>
        <w:gridCol w:w="550"/>
        <w:gridCol w:w="7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2"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212121"/>
                <w:sz w:val="22"/>
              </w:rPr>
            </w:pPr>
            <w:r>
              <w:rPr>
                <w:rFonts w:ascii="Times New Roman;sans-serif" w:hAnsi="Times New Roman;sans-serif"/>
                <w:b/>
                <w:color w:val="212121"/>
                <w:sz w:val="22"/>
              </w:rPr>
              <w:t>LENDERS: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2"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C0A0A"/>
                <w:sz w:val="22"/>
              </w:rPr>
            </w:pPr>
            <w:r>
              <w:rPr>
                <w:rFonts w:ascii="Times New Roman;sans-serif" w:hAnsi="Times New Roman;sans-serif"/>
                <w:b/>
                <w:color w:val="0C0A0A"/>
                <w:sz w:val="22"/>
              </w:rPr>
              <w:t>SILICON VALLEY BANK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2"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212121"/>
                <w:sz w:val="22"/>
              </w:rPr>
              <w:t xml:space="preserve">as </w:t>
            </w:r>
            <w:r>
              <w:rPr>
                <w:rFonts w:ascii="Times New Roman;sans-serif" w:hAnsi="Times New Roman;sans-serif"/>
                <w:b w:val="false"/>
                <w:color w:val="0F0F0F"/>
                <w:sz w:val="22"/>
              </w:rPr>
              <w:t>I</w:t>
            </w:r>
            <w:r>
              <w:rPr>
                <w:rFonts w:ascii="Times New Roman;sans-serif" w:hAnsi="Times New Roman;sans-serif"/>
                <w:b w:val="false"/>
                <w:color w:val="383838"/>
                <w:sz w:val="22"/>
              </w:rPr>
              <w:t>ssuing Lender</w:t>
            </w:r>
            <w:r>
              <w:rPr>
                <w:rFonts w:ascii="Times New Roman;sans-serif" w:hAnsi="Times New Roman;sans-serif"/>
                <w:b w:val="false"/>
                <w:color w:val="4F4F4F"/>
                <w:sz w:val="22"/>
              </w:rPr>
              <w:t xml:space="preserve">, </w:t>
            </w:r>
            <w:r>
              <w:rPr>
                <w:rFonts w:ascii="Times New Roman;sans-serif" w:hAnsi="Times New Roman;sans-serif"/>
                <w:b w:val="false"/>
                <w:color w:val="212121"/>
                <w:sz w:val="22"/>
              </w:rPr>
              <w:t>Swingline Lender and 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 xml:space="preserve">/s/ </w:t>
            </w:r>
            <w:r>
              <w:rPr>
                <w:rFonts w:ascii="Times New Roman;sans-serif" w:hAnsi="Times New Roman;sans-serif"/>
                <w:b w:val="false"/>
                <w:color w:val="0C0A0A"/>
                <w:sz w:val="22"/>
              </w:rPr>
              <w:t>Francis Groccia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C0A0A"/>
                <w:sz w:val="22"/>
              </w:rPr>
            </w:pPr>
            <w:r>
              <w:rPr>
                <w:rFonts w:ascii="Times New Roman;sans-serif" w:hAnsi="Times New Roman;sans-serif"/>
                <w:b w:val="false"/>
                <w:color w:val="0C0A0A"/>
                <w:sz w:val="22"/>
              </w:rPr>
              <w:t>Francis Groccia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18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val="false"/>
                <w:color w:val="0C0A0A"/>
                <w:sz w:val="22"/>
              </w:rPr>
            </w:pPr>
            <w:r>
              <w:rPr>
                <w:rFonts w:ascii="Times New Roman;sans-serif" w:hAnsi="Times New Roman;sans-serif"/>
                <w:b w:val="false"/>
                <w:color w:val="0C0A0A"/>
                <w:sz w:val="22"/>
              </w:rPr>
              <w:t>Director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60655"/>
                <wp:effectExtent l="0" t="0" r="0" b="0"/>
                <wp:wrapNone/>
                <wp:docPr id="391" name="Frame38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61" w:before="0" w:after="420"/>
        <w:jc w:val="right"/>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FORM OF GUARANTEE AND COLLATERAL AGREEMENT</w:t>
      </w:r>
    </w:p>
    <w:p>
      <w:pPr>
        <w:pStyle w:val="TextBody"/>
        <w:spacing w:lineRule="auto" w:line="261" w:before="0" w:after="180"/>
        <w:jc w:val="center"/>
        <w:rPr>
          <w:rFonts w:ascii="Times New Roman;sans-serif" w:hAnsi="Times New Roman;sans-serif"/>
          <w:b w:val="false"/>
          <w:i/>
          <w:color w:val="000000"/>
          <w:sz w:val="22"/>
        </w:rPr>
      </w:pPr>
      <w:r>
        <w:rPr>
          <w:rFonts w:ascii="Times New Roman;sans-serif" w:hAnsi="Times New Roman;sans-serif"/>
          <w:b w:val="false"/>
          <w:i/>
          <w:color w:val="000000"/>
          <w:sz w:val="22"/>
        </w:rPr>
        <w:t>(Please see attached form)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60655"/>
                <wp:effectExtent l="0" t="0" r="0" b="0"/>
                <wp:wrapNone/>
                <wp:docPr id="392" name="Frame38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B</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COMPLIANCE CERTIFICATE</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240"/>
        <w:jc w:val="center"/>
        <w:rPr/>
      </w:pPr>
      <w:r>
        <w:rPr>
          <w:rFonts w:ascii="Times New Roman;sans-serif" w:hAnsi="Times New Roman;sans-serif"/>
          <w:b w:val="false"/>
          <w:color w:val="000000"/>
          <w:sz w:val="22"/>
        </w:rPr>
        <w:t xml:space="preserve">Date: </w:t>
      </w:r>
      <w:r>
        <w:rPr>
          <w:color w:val="000000"/>
          <w:u w:val="single"/>
        </w:rPr>
        <w:t>                        </w:t>
      </w:r>
      <w:r>
        <w:rPr>
          <w:color w:val="000000"/>
        </w:rPr>
        <w:t>  </w:t>
      </w:r>
      <w:r>
        <w:rPr>
          <w:color w:val="000000"/>
          <w:u w:val="single"/>
        </w:rPr>
        <w:t>          </w:t>
      </w:r>
      <w:r>
        <w:rPr>
          <w:rFonts w:ascii="Times New Roman;sans-serif" w:hAnsi="Times New Roman;sans-serif"/>
          <w:b w:val="false"/>
          <w:color w:val="000000"/>
          <w:sz w:val="22"/>
        </w:rPr>
        <w:t>, 20</w:t>
      </w:r>
      <w:r>
        <w:rPr>
          <w:color w:val="000000"/>
          <w:u w:val="single"/>
        </w:rPr>
        <w:t>    </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This Compliance Certificate is delivered pursuant to </w:t>
      </w:r>
      <w:r>
        <w:rPr>
          <w:rFonts w:ascii="Times New Roman;sans-serif" w:hAnsi="Times New Roman;sans-serif"/>
          <w:b w:val="false"/>
          <w:color w:val="000000"/>
          <w:sz w:val="22"/>
          <w:u w:val="single"/>
        </w:rPr>
        <w:t>Section 6.2(b)(ii)</w:t>
      </w:r>
      <w:r>
        <w:rPr>
          <w:color w:val="000000"/>
        </w:rPr>
        <w:t xml:space="preserve"> </w:t>
      </w:r>
      <w:r>
        <w:rPr>
          <w:rFonts w:ascii="Times New Roman;sans-serif" w:hAnsi="Times New Roman;sans-serif"/>
          <w:b w:val="false"/>
          <w:color w:val="000000"/>
          <w:sz w:val="22"/>
        </w:rPr>
        <w:t xml:space="preserve">of that certain Credit Agreement, dated as of January 14, 2021, among </w:t>
      </w:r>
      <w:r>
        <w:rPr>
          <w:rFonts w:ascii="Times New Roman;sans-serif" w:hAnsi="Times New Roman;sans-serif"/>
          <w:b/>
          <w:color w:val="000000"/>
          <w:sz w:val="22"/>
        </w:rPr>
        <w:t>KALTURA,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SVB as the Issuing Lender and the Swingline Lender (as amended, restated, amended and restated, supplemented, restructured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Unless otherwise defined herein, terms defined in the Credit Agreement and used herein shall have the meanings given to them in the Credit Agreement.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a duly authorized and acting Responsible Officer of the Borrower, hereby certifies, in his/her capacity as an officer of the Borrower, and not in any personal capacity, as follows:</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I have reviewed and am familiar with the contents of this Compliance Certificate.</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I have reviewed the terms of the Credit Agreement and the other Loan Documents and have made, or caused to be made under my supervision, a review in reasonable detail of the transactions and condition of the Borrower and its respective Subsidiaries during the accounting period covered by the financial statements attached hereto as </w:t>
      </w:r>
      <w:r>
        <w:rPr>
          <w:rFonts w:ascii="Times New Roman;sans-serif" w:hAnsi="Times New Roman;sans-serif"/>
          <w:b w:val="false"/>
          <w:color w:val="000000"/>
          <w:sz w:val="22"/>
          <w:u w:val="single"/>
        </w:rPr>
        <w:t>Attachment 1</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Financial Statements</w:t>
      </w:r>
      <w:r>
        <w:rPr>
          <w:color w:val="000000"/>
        </w:rPr>
        <w:t>”</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Attachment 2</w:t>
      </w:r>
      <w:r>
        <w:rPr>
          <w:rFonts w:ascii="Times New Roman;sans-serif" w:hAnsi="Times New Roman;sans-serif"/>
          <w:b w:val="false"/>
          <w:color w:val="000000"/>
          <w:sz w:val="22"/>
        </w:rPr>
        <w:t>, such review did not disclose the existence during or at the end of the accounting period covered by the Financial Statements, and I have no knowledge of the existence as of the date of this Compliance Certificate, of any condition or event which constitutes a Default or an Event of Default.</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To the extent required to be tested by the Credit Agreement, attached hereto as </w:t>
      </w:r>
      <w:r>
        <w:rPr>
          <w:rFonts w:ascii="Times New Roman;sans-serif" w:hAnsi="Times New Roman;sans-serif"/>
          <w:b w:val="false"/>
          <w:color w:val="000000"/>
          <w:sz w:val="22"/>
          <w:u w:val="single"/>
        </w:rPr>
        <w:t>Attachment 3</w:t>
      </w:r>
      <w:r>
        <w:rPr>
          <w:color w:val="000000"/>
        </w:rPr>
        <w:t xml:space="preserve"> </w:t>
      </w:r>
      <w:r>
        <w:rPr>
          <w:rFonts w:ascii="Times New Roman;sans-serif" w:hAnsi="Times New Roman;sans-serif"/>
          <w:b w:val="false"/>
          <w:color w:val="000000"/>
          <w:sz w:val="22"/>
        </w:rPr>
        <w:t xml:space="preserve">are the computations showing compliance with the covenants set forth in </w:t>
      </w:r>
      <w:r>
        <w:rPr>
          <w:rFonts w:ascii="Times New Roman;sans-serif" w:hAnsi="Times New Roman;sans-serif"/>
          <w:b w:val="false"/>
          <w:color w:val="000000"/>
          <w:sz w:val="22"/>
          <w:u w:val="single"/>
        </w:rPr>
        <w:t>Section 7.1</w:t>
      </w:r>
      <w:r>
        <w:rPr>
          <w:color w:val="000000"/>
        </w:rPr>
        <w:t xml:space="preserve"> </w:t>
      </w:r>
      <w:r>
        <w:rPr>
          <w:rFonts w:ascii="Times New Roman;sans-serif" w:hAnsi="Times New Roman;sans-serif"/>
          <w:b w:val="false"/>
          <w:color w:val="000000"/>
          <w:sz w:val="22"/>
        </w:rPr>
        <w:t>of the Credit Agreement.</w:t>
      </w:r>
    </w:p>
    <w:p>
      <w:pPr>
        <w:pStyle w:val="TextBody"/>
        <w:spacing w:lineRule="auto" w:line="288" w:before="0" w:after="240"/>
        <w:ind w:left="0" w:right="0" w:firstLine="720"/>
        <w:rPr/>
      </w:pPr>
      <w:r>
        <w:rPr>
          <w:rFonts w:ascii="Times New Roman;sans-serif" w:hAnsi="Times New Roman;sans-serif"/>
          <w:b w:val="false"/>
          <w:color w:val="000000"/>
          <w:sz w:val="22"/>
        </w:rPr>
        <w:t xml:space="preserve">[To the extent not previously disclosed to the Administrative Agent, a description of any change in the jurisdiction of organization of any Loan Party is attached hereto as </w:t>
      </w:r>
      <w:r>
        <w:rPr>
          <w:rFonts w:ascii="Times New Roman;sans-serif" w:hAnsi="Times New Roman;sans-serif"/>
          <w:b w:val="false"/>
          <w:color w:val="000000"/>
          <w:sz w:val="22"/>
          <w:u w:val="single"/>
        </w:rPr>
        <w:t>Attachment 4</w:t>
      </w:r>
      <w:r>
        <w:rPr>
          <w:rFonts w:ascii="Times New Roman;sans-serif" w:hAnsi="Times New Roman;sans-serif"/>
          <w:b w:val="false"/>
          <w:color w:val="000000"/>
          <w:sz w:val="22"/>
        </w:rPr>
        <w:t>.]</w:t>
      </w:r>
    </w:p>
    <w:p>
      <w:pPr>
        <w:pStyle w:val="TextBody"/>
        <w:spacing w:lineRule="auto" w:line="288" w:before="0" w:after="240"/>
        <w:ind w:left="0" w:right="0" w:firstLine="720"/>
        <w:rPr/>
      </w:pPr>
      <w:r>
        <w:rPr>
          <w:rFonts w:ascii="Times New Roman;sans-serif" w:hAnsi="Times New Roman;sans-serif"/>
          <w:b w:val="false"/>
          <w:color w:val="000000"/>
          <w:sz w:val="22"/>
        </w:rPr>
        <w:t xml:space="preserve">[To the extent not previously disclosed to the Administrative Agent, attached hereto as </w:t>
      </w:r>
      <w:r>
        <w:rPr>
          <w:rFonts w:ascii="Times New Roman;sans-serif" w:hAnsi="Times New Roman;sans-serif"/>
          <w:b w:val="false"/>
          <w:color w:val="000000"/>
          <w:sz w:val="22"/>
          <w:u w:val="single"/>
        </w:rPr>
        <w:t>Attachment 5</w:t>
      </w:r>
      <w:r>
        <w:rPr>
          <w:color w:val="000000"/>
        </w:rPr>
        <w:t xml:space="preserve"> </w:t>
      </w:r>
      <w:r>
        <w:rPr>
          <w:rFonts w:ascii="Times New Roman;sans-serif" w:hAnsi="Times New Roman;sans-serif"/>
          <w:b w:val="false"/>
          <w:color w:val="000000"/>
          <w:sz w:val="22"/>
        </w:rPr>
        <w:t>is a list of any registered patents, registered trademarks or registered copyrights issued to or acquired by any Loan Party since [the Closing Date][the date of the most recent report delivered].]</w:t>
      </w:r>
    </w:p>
    <w:p>
      <w:pPr>
        <w:pStyle w:val="TextBody"/>
        <w:spacing w:lineRule="auto" w:line="288"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[Remainder of page intentionally left blank; signature page follows]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60655"/>
                <wp:effectExtent l="0" t="0" r="0" b="0"/>
                <wp:wrapNone/>
                <wp:docPr id="393" name="Frame38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I have executed this Compliance Certificate as of the date first written above.</w:t>
      </w:r>
    </w:p>
    <w:tbl>
      <w:tblPr>
        <w:tblW w:w="1904" w:type="dxa"/>
        <w:jc w:val="right"/>
        <w:tblInd w:w="0" w:type="dxa"/>
        <w:tblCellMar>
          <w:top w:w="28" w:type="dxa"/>
          <w:left w:w="28" w:type="dxa"/>
          <w:bottom w:w="28" w:type="dxa"/>
          <w:right w:w="28" w:type="dxa"/>
        </w:tblCellMar>
      </w:tblPr>
      <w:tblGrid>
        <w:gridCol w:w="330"/>
        <w:gridCol w:w="290"/>
        <w:gridCol w:w="290"/>
        <w:gridCol w:w="290"/>
        <w:gridCol w:w="290"/>
        <w:gridCol w:w="414"/>
      </w:tblGrid>
      <w:tr>
        <w:trPr/>
        <w:tc>
          <w:tcPr>
            <w:tcW w:w="3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190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KALTURA, INC.</w:t>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9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60655"/>
                <wp:effectExtent l="0" t="0" r="0" b="0"/>
                <wp:wrapNone/>
                <wp:docPr id="394" name="Frame38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Attachment 1</w:t>
      </w:r>
    </w:p>
    <w:p>
      <w:pPr>
        <w:pStyle w:val="TextBody"/>
        <w:spacing w:lineRule="auto" w:line="288" w:before="0" w:after="720"/>
        <w:jc w:val="right"/>
        <w:rPr>
          <w:rFonts w:ascii="Times New Roman;sans-serif" w:hAnsi="Times New Roman;sans-serif"/>
          <w:b w:val="false"/>
          <w:color w:val="000000"/>
          <w:sz w:val="22"/>
        </w:rPr>
      </w:pPr>
      <w:r>
        <w:rPr>
          <w:rFonts w:ascii="Times New Roman;sans-serif" w:hAnsi="Times New Roman;sans-serif"/>
          <w:b w:val="false"/>
          <w:color w:val="000000"/>
          <w:sz w:val="22"/>
        </w:rPr>
        <w:t>to Compliance Certificate</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[Attach Financial Statements]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60655"/>
                <wp:effectExtent l="0" t="0" r="0" b="0"/>
                <wp:wrapNone/>
                <wp:docPr id="395" name="Frame38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Attachment 2</w: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to Compliance Certificate</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Except as set forth below, no Default or Event of Default has occurred. [If a Default or Event of Default has occurred, the following describes the nature of the Default or Event of Default in reasonable detail and the steps, if any, being taken or contemplated by the Borrower to be taken on account thereof.]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60655"/>
                <wp:effectExtent l="0" t="0" r="0" b="0"/>
                <wp:wrapNone/>
                <wp:docPr id="396" name="Frame38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Attachment 3 to</w: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Compliance Certificate</w:t>
      </w:r>
    </w:p>
    <w:p>
      <w:pPr>
        <w:pStyle w:val="TextBody"/>
        <w:spacing w:lineRule="auto" w:line="288" w:before="0" w:after="72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Compliance Certificate Calculations</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[Set forth Covenant Calculations]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60655"/>
                <wp:effectExtent l="0" t="0" r="0" b="0"/>
                <wp:wrapNone/>
                <wp:docPr id="397" name="Frame39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Attachment 4 to</w: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Compliance Certificate</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[____]</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60655"/>
                <wp:effectExtent l="0" t="0" r="0" b="0"/>
                <wp:wrapNone/>
                <wp:docPr id="398" name="Frame39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Attachment 5 </w: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to Compliance Certificate</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[____]</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60655"/>
                <wp:effectExtent l="0" t="0" r="0" b="0"/>
                <wp:wrapNone/>
                <wp:docPr id="399" name="Frame39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C</w:t>
      </w:r>
    </w:p>
    <w:p>
      <w:pPr>
        <w:pStyle w:val="TextBody"/>
        <w:spacing w:lineRule="auto" w:line="288" w:before="0" w:after="180"/>
        <w:ind w:left="0" w:right="0" w:hanging="2693"/>
        <w:jc w:val="center"/>
        <w:rPr>
          <w:rFonts w:ascii="Times New Roman;sans-serif" w:hAnsi="Times New Roman;sans-serif"/>
          <w:b/>
          <w:color w:val="000000"/>
          <w:sz w:val="22"/>
        </w:rPr>
      </w:pPr>
      <w:r>
        <w:rPr>
          <w:rFonts w:ascii="Times New Roman;sans-serif" w:hAnsi="Times New Roman;sans-serif"/>
          <w:b/>
          <w:color w:val="000000"/>
          <w:sz w:val="22"/>
        </w:rPr>
        <w:t xml:space="preserve">FORM OF [SECRETARY’S][MANAGING MEMBER’S] CERTIFICATE </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This Certificate is delivered pursuant to </w:t>
      </w:r>
      <w:r>
        <w:rPr>
          <w:rFonts w:ascii="Times New Roman;sans-serif" w:hAnsi="Times New Roman;sans-serif"/>
          <w:b w:val="false"/>
          <w:color w:val="000000"/>
          <w:sz w:val="22"/>
          <w:u w:val="single"/>
        </w:rPr>
        <w:t>Section 5.1(e)</w:t>
      </w:r>
      <w:r>
        <w:rPr>
          <w:color w:val="000000"/>
        </w:rPr>
        <w:t xml:space="preserve"> </w:t>
      </w:r>
      <w:r>
        <w:rPr>
          <w:rFonts w:ascii="Times New Roman;sans-serif" w:hAnsi="Times New Roman;sans-serif"/>
          <w:b w:val="false"/>
          <w:color w:val="000000"/>
          <w:sz w:val="22"/>
        </w:rPr>
        <w:t>of that certain Credit Agreement, dated as of January 14, 2021, among Kaltura, Inc., a Delaware corporation (the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SVB as the Issuing Lender and the Swingline Lender (as amended, restated, amended and restated, supplemented, restructured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Unless otherwise defined herein, terms defined in the Credit Agreement and used herein shall have the meanings given to them in the Credit Agreement. The undersigned [Secretary][Director][Managing Member] of [the Borrower][</w:t>
      </w:r>
      <w:r>
        <w:rPr>
          <w:rFonts w:ascii="Times New Roman;sans-serif" w:hAnsi="Times New Roman;sans-serif"/>
          <w:b w:val="false"/>
          <w:i/>
          <w:color w:val="000000"/>
          <w:sz w:val="22"/>
        </w:rPr>
        <w:t>insert the name of the certifying Loan Party</w:t>
      </w:r>
      <w:r>
        <w:rPr>
          <w:rFonts w:ascii="Times New Roman;sans-serif" w:hAnsi="Times New Roman;sans-serif"/>
          <w:b w:val="false"/>
          <w:color w:val="000000"/>
          <w:sz w:val="22"/>
        </w:rPr>
        <w:t>, a [_________] [corporation][limited liability company], the “</w:t>
      </w:r>
      <w:r>
        <w:rPr>
          <w:rFonts w:ascii="Times New Roman;sans-serif" w:hAnsi="Times New Roman;sans-serif"/>
          <w:b/>
          <w:i/>
          <w:color w:val="000000"/>
          <w:sz w:val="22"/>
        </w:rPr>
        <w:t>Certifying Loan Party</w:t>
      </w:r>
      <w:r>
        <w:rPr>
          <w:color w:val="000000"/>
        </w:rPr>
        <w:t>”</w:t>
      </w:r>
      <w:r>
        <w:rPr>
          <w:rFonts w:ascii="Times New Roman;sans-serif" w:hAnsi="Times New Roman;sans-serif"/>
          <w:b w:val="false"/>
          <w:color w:val="000000"/>
          <w:sz w:val="22"/>
        </w:rPr>
        <w:t>)] hereby certifies as follows: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1.The representations and warranties of [the Borrower][the Certifying Loan Party] set forth in each of the Loan Documents to which it is a party or which are contained in any certificate furnished by or on behalf of [the Borrower][the Certifying Loan Party] pursuant to any of the Loan Documents to which it is a party are, (i) to the extent qualified by materiality, true and correct, and (ii) to the extent not qualified by materiality, true and correct in all material respects, in each case, on and as of the date hereof with the same effect as if made on the date hereof, except to the extent such representations and warranties expressly relate to an earlier date, in which case such representations and warranties shall have been true and correct in all material respects as of such earlier date.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2.I am the duly elected and qualified [Secretary][Director][Managing Member] of [the Borrower][the Certifying Loan Party].</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3.No Default or Event of Default has occurred and is continuing as of the date hereof or after giving effect to the Loans to be made on the date hereof and the use of proceeds thereof.</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4.There are no liquidation or dissolution proceedings pending or, to my knowledge, threatened against [the Borrower][the Certifying Loan Party], nor has any other event occurred which could be reasonably likely to materially adversely affect or threaten the continued [corporate][company] existence of [the Borrower][the Certifying Loan </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5.[The Borrower][The Certifying Loan Party] is a [corporation][limited liability company] duly [incorporated][organized], validly existing and in good standing under the laws of the jurisdiction of its organization.</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6.[Attached hereto as </w:t>
      </w:r>
      <w:r>
        <w:rPr>
          <w:rFonts w:ascii="Times New Roman;sans-serif" w:hAnsi="Times New Roman;sans-serif"/>
          <w:b w:val="false"/>
          <w:color w:val="000000"/>
          <w:sz w:val="22"/>
          <w:u w:val="single"/>
        </w:rPr>
        <w:t>Annex 1</w:t>
      </w:r>
      <w:r>
        <w:rPr>
          <w:color w:val="000000"/>
        </w:rPr>
        <w:t xml:space="preserve"> </w:t>
      </w:r>
      <w:r>
        <w:rPr>
          <w:rFonts w:ascii="Times New Roman;sans-serif" w:hAnsi="Times New Roman;sans-serif"/>
          <w:b w:val="false"/>
          <w:color w:val="000000"/>
          <w:sz w:val="22"/>
        </w:rPr>
        <w:t xml:space="preserve">is a true and complete copy of the resolutions duly adopted by the Board of [Directors][Managers] of [the Borrower][the Certifying Loan Party] authorizing the execution, delivery and performance of the Loan Documents to which [the Borrower][the Certifying Loan Party] is a party and all other agreements, documents and instruments to be executed, delivered and performed in connection therewith. Such resolutions have not in any way been amended, modified, revoked or rescinded, and have been in full force and effect since their adoption up to and including the date hereof and are now in full force and effect.][Attached hereto as </w:t>
      </w:r>
      <w:r>
        <w:rPr>
          <w:rFonts w:ascii="Times New Roman;sans-serif" w:hAnsi="Times New Roman;sans-serif"/>
          <w:b w:val="false"/>
          <w:color w:val="000000"/>
          <w:sz w:val="22"/>
          <w:u w:val="single"/>
        </w:rPr>
        <w:t>Annex 1</w:t>
      </w:r>
      <w:r>
        <w:rPr>
          <w:color w:val="000000"/>
        </w:rPr>
        <w:t xml:space="preserve"> </w:t>
      </w:r>
      <w:r>
        <w:rPr>
          <w:rFonts w:ascii="Times New Roman;sans-serif" w:hAnsi="Times New Roman;sans-serif"/>
          <w:b w:val="false"/>
          <w:color w:val="000000"/>
          <w:sz w:val="22"/>
        </w:rPr>
        <w:t xml:space="preserve">is a true and complete copy of the resolutions duly adopted by the shareholders of [name of UK Group Member] authorizing the execution, delivery and performance of the Loan Documents to which [UK Group Member] is a party and all other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60655"/>
                <wp:effectExtent l="0" t="0" r="0" b="0"/>
                <wp:wrapNone/>
                <wp:docPr id="400" name="Frame39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agreements, documents and instruments to be executed, delivered and performed in connection therewith. Such resolutions have not in any way been amended, modified, revoked or rescinded, and have been in full force and effect since their adoption up to and including the date hereof and are now in full force and effect.]</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7.Attached hereto as </w:t>
      </w:r>
      <w:r>
        <w:rPr>
          <w:rFonts w:ascii="Times New Roman;sans-serif" w:hAnsi="Times New Roman;sans-serif"/>
          <w:b w:val="false"/>
          <w:color w:val="000000"/>
          <w:sz w:val="22"/>
          <w:u w:val="single"/>
        </w:rPr>
        <w:t xml:space="preserve">Annex 2 </w:t>
      </w:r>
      <w:r>
        <w:rPr>
          <w:rFonts w:ascii="Times New Roman;sans-serif" w:hAnsi="Times New Roman;sans-serif"/>
          <w:b w:val="false"/>
          <w:color w:val="000000"/>
          <w:sz w:val="22"/>
        </w:rPr>
        <w:t>is a true and complete copy of the [By- Laws][Operating Agreement][articles of association] of [the Borrower][the Certifying Loan Party] as in effect on the date hereof.</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8.Attached hereto as </w:t>
      </w:r>
      <w:r>
        <w:rPr>
          <w:rFonts w:ascii="Times New Roman;sans-serif" w:hAnsi="Times New Roman;sans-serif"/>
          <w:b w:val="false"/>
          <w:color w:val="000000"/>
          <w:sz w:val="22"/>
          <w:u w:val="single"/>
        </w:rPr>
        <w:t>Annex 3</w:t>
      </w:r>
      <w:r>
        <w:rPr>
          <w:color w:val="000000"/>
        </w:rPr>
        <w:t xml:space="preserve"> </w:t>
      </w:r>
      <w:r>
        <w:rPr>
          <w:rFonts w:ascii="Times New Roman;sans-serif" w:hAnsi="Times New Roman;sans-serif"/>
          <w:b w:val="false"/>
          <w:color w:val="000000"/>
          <w:sz w:val="22"/>
        </w:rPr>
        <w:t>is a true and complete copy of the Certificate of [Incorporation][Formation] of [the Borrower][the Certifying Loan Party] as in effect on the date hereof, along with a long-form good-standing certificate for [the Borrower][the Certifying Loan Party] from the jurisdiction of its organization and a certificate of foreign qualification from each jurisdiction where the failure of [the Borrower][the Certifying Loan Party] to be qualified could reasonably be expected to have a Material Adverse Effect.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9.The following persons are now duly elected and qualified officers of [the Borrower][the Certifying Loan Party] holding the offices indicated next to their respective names below, and the signatures appearing opposite their respective names below are the true and genuine signatures of such officers, and each of such officers, acting alone, is duly authorized to execute and deliver on behalf of [the Borrower][the Certifying Loan Party] each of the Loan Documents to which it is a party and any certificate or other document to be delivered by [the Borrower][the Certifying Loan Party] pursuant to the Loan Documents to which it is a party:</w:t>
      </w:r>
    </w:p>
    <w:tbl>
      <w:tblPr>
        <w:tblW w:w="4854" w:type="dxa"/>
        <w:jc w:val="left"/>
        <w:tblInd w:w="0" w:type="dxa"/>
        <w:tblCellMar>
          <w:top w:w="28" w:type="dxa"/>
          <w:left w:w="28" w:type="dxa"/>
          <w:bottom w:w="28" w:type="dxa"/>
          <w:right w:w="28" w:type="dxa"/>
        </w:tblCellMar>
      </w:tblPr>
      <w:tblGrid>
        <w:gridCol w:w="576"/>
        <w:gridCol w:w="506"/>
        <w:gridCol w:w="508"/>
        <w:gridCol w:w="109"/>
        <w:gridCol w:w="109"/>
        <w:gridCol w:w="109"/>
        <w:gridCol w:w="524"/>
        <w:gridCol w:w="524"/>
        <w:gridCol w:w="526"/>
        <w:gridCol w:w="109"/>
        <w:gridCol w:w="109"/>
        <w:gridCol w:w="109"/>
        <w:gridCol w:w="303"/>
        <w:gridCol w:w="303"/>
        <w:gridCol w:w="430"/>
      </w:tblGrid>
      <w:tr>
        <w:trPr/>
        <w:tc>
          <w:tcPr>
            <w:tcW w:w="57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Office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Signature</w:t>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10.Latham &amp; Watkins LLP may rely on this certificate in connection with rendering its legal opinion.</w:t>
      </w:r>
    </w:p>
    <w:p>
      <w:pPr>
        <w:pStyle w:val="TextBody"/>
        <w:spacing w:before="0" w:after="0"/>
        <w:ind w:left="0" w:right="0" w:firstLine="1080"/>
        <w:jc w:val="both"/>
        <w:rPr/>
      </w:pPr>
      <w:r>
        <w:rPr/>
      </w:r>
    </w:p>
    <w:p>
      <w:pPr>
        <w:pStyle w:val="TextBody"/>
        <w:spacing w:before="0" w:after="0"/>
        <w:ind w:left="0" w:right="0" w:firstLine="1080"/>
        <w:jc w:val="both"/>
        <w:rPr/>
      </w:pPr>
      <w:r>
        <w:rPr/>
      </w:r>
    </w:p>
    <w:p>
      <w:pPr>
        <w:pStyle w:val="TextBody"/>
        <w:spacing w:lineRule="auto" w:line="288" w:before="0" w:after="180"/>
        <w:ind w:left="0" w:right="0" w:firstLine="153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60655"/>
                <wp:effectExtent l="0" t="0" r="0" b="0"/>
                <wp:wrapNone/>
                <wp:docPr id="401" name="Frame39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I have hereunto set my hand as of the date set forth below.</w:t>
      </w:r>
    </w:p>
    <w:p>
      <w:pPr>
        <w:pStyle w:val="TextBody"/>
        <w:spacing w:before="0" w:after="0"/>
        <w:jc w:val="both"/>
        <w:rPr/>
      </w:pPr>
      <w:r>
        <w:rPr/>
      </w:r>
    </w:p>
    <w:tbl>
      <w:tblPr>
        <w:tblW w:w="5039" w:type="dxa"/>
        <w:jc w:val="right"/>
        <w:tblInd w:w="0" w:type="dxa"/>
        <w:tblCellMar>
          <w:top w:w="28" w:type="dxa"/>
          <w:left w:w="28" w:type="dxa"/>
          <w:bottom w:w="28" w:type="dxa"/>
          <w:right w:w="28" w:type="dxa"/>
        </w:tblCellMar>
      </w:tblPr>
      <w:tblGrid>
        <w:gridCol w:w="1614"/>
        <w:gridCol w:w="1419"/>
        <w:gridCol w:w="2006"/>
      </w:tblGrid>
      <w:tr>
        <w:trPr/>
        <w:tc>
          <w:tcPr>
            <w:tcW w:w="1614"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___________________________________</w:t>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 xml:space="preserve">[Secretary][Managing Member][Director] </w:t>
            </w:r>
          </w:p>
        </w:tc>
      </w:tr>
    </w:tbl>
    <w:p>
      <w:pPr>
        <w:pStyle w:val="TextBody"/>
        <w:spacing w:before="0" w:after="180"/>
        <w:jc w:val="right"/>
        <w:rPr/>
      </w:pPr>
      <w:r>
        <w:rPr/>
      </w:r>
    </w:p>
    <w:p>
      <w:pPr>
        <w:pStyle w:val="TextBody"/>
        <w:spacing w:lineRule="auto" w:line="288" w:before="0" w:after="60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[___________], in my capacity as the [___________] of [the Borrower][the Certifying Loan Party], do hereby certify in the name and on behalf of [the Borrower][the Certifying Loan Party] that [___________] is the duly elected and qualified [Secretary][Managing Member] of [the Borrower][the Certifying Loan Party] and that the signature appearing above is [her][his] genuine signature.</w:t>
      </w:r>
    </w:p>
    <w:tbl>
      <w:tblPr>
        <w:tblW w:w="7077" w:type="dxa"/>
        <w:jc w:val="left"/>
        <w:tblInd w:w="0" w:type="dxa"/>
        <w:tblCellMar>
          <w:top w:w="28" w:type="dxa"/>
          <w:left w:w="28" w:type="dxa"/>
          <w:bottom w:w="28" w:type="dxa"/>
          <w:right w:w="28" w:type="dxa"/>
        </w:tblCellMar>
      </w:tblPr>
      <w:tblGrid>
        <w:gridCol w:w="646"/>
        <w:gridCol w:w="568"/>
        <w:gridCol w:w="571"/>
        <w:gridCol w:w="109"/>
        <w:gridCol w:w="109"/>
        <w:gridCol w:w="109"/>
        <w:gridCol w:w="1449"/>
        <w:gridCol w:w="1449"/>
        <w:gridCol w:w="2067"/>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67"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 __________________________________</w:t>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___________________________________</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60655"/>
                <wp:effectExtent l="0" t="0" r="0" b="0"/>
                <wp:wrapNone/>
                <wp:docPr id="402" name="Frame39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720"/>
        <w:jc w:val="right"/>
        <w:rPr>
          <w:rFonts w:ascii="Times New Roman;sans-serif" w:hAnsi="Times New Roman;sans-serif"/>
          <w:b w:val="false"/>
          <w:color w:val="000000"/>
          <w:sz w:val="22"/>
        </w:rPr>
      </w:pPr>
      <w:r>
        <w:rPr>
          <w:rFonts w:ascii="Times New Roman;sans-serif" w:hAnsi="Times New Roman;sans-serif"/>
          <w:b w:val="false"/>
          <w:color w:val="000000"/>
          <w:sz w:val="22"/>
        </w:rPr>
        <w:t>ANNEX 1</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RESOLUTIONS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60655"/>
                <wp:effectExtent l="0" t="0" r="0" b="0"/>
                <wp:wrapNone/>
                <wp:docPr id="403" name="Frame39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720"/>
        <w:jc w:val="right"/>
        <w:rPr>
          <w:rFonts w:ascii="Times New Roman;sans-serif" w:hAnsi="Times New Roman;sans-serif"/>
          <w:b w:val="false"/>
          <w:color w:val="000000"/>
          <w:sz w:val="22"/>
        </w:rPr>
      </w:pPr>
      <w:r>
        <w:rPr>
          <w:rFonts w:ascii="Times New Roman;sans-serif" w:hAnsi="Times New Roman;sans-serif"/>
          <w:b w:val="false"/>
          <w:color w:val="000000"/>
          <w:sz w:val="22"/>
        </w:rPr>
        <w:t>ANNEX 2</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[BY-LAWS][OPERATING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60655"/>
                <wp:effectExtent l="0" t="0" r="0" b="0"/>
                <wp:wrapNone/>
                <wp:docPr id="404" name="Frame39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720"/>
        <w:jc w:val="right"/>
        <w:rPr>
          <w:rFonts w:ascii="Times New Roman;sans-serif" w:hAnsi="Times New Roman;sans-serif"/>
          <w:b w:val="false"/>
          <w:color w:val="000000"/>
          <w:sz w:val="22"/>
        </w:rPr>
      </w:pPr>
      <w:r>
        <w:rPr>
          <w:rFonts w:ascii="Times New Roman;sans-serif" w:hAnsi="Times New Roman;sans-serif"/>
          <w:b w:val="false"/>
          <w:color w:val="000000"/>
          <w:sz w:val="22"/>
        </w:rPr>
        <w:t>ANNEX 3</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 xml:space="preserve">[CERTIFICATE OF INCORPORATION][CERTIFICATE OF FORMATION] </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 xml:space="preserve">GOOD-STANDING CERTIFICATE </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[CERTIFICATE(S) OF FOREIGN QUALIFICATION]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60655"/>
                <wp:effectExtent l="0" t="0" r="0" b="0"/>
                <wp:wrapNone/>
                <wp:docPr id="405" name="Frame39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D</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 xml:space="preserve">FORM OF SOLVENCY CERTIFICATE </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300"/>
        <w:jc w:val="center"/>
        <w:rPr>
          <w:rFonts w:ascii="Times New Roman;sans-serif" w:hAnsi="Times New Roman;sans-serif"/>
          <w:b w:val="false"/>
          <w:color w:val="000000"/>
          <w:sz w:val="22"/>
        </w:rPr>
      </w:pPr>
      <w:r>
        <w:rPr>
          <w:rFonts w:ascii="Times New Roman;sans-serif" w:hAnsi="Times New Roman;sans-serif"/>
          <w:b w:val="false"/>
          <w:color w:val="000000"/>
          <w:sz w:val="22"/>
        </w:rPr>
        <w:t>Date: _________ ___, 20____</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To the Administrative Agent,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and each of the Lenders party</w:t>
      </w:r>
    </w:p>
    <w:p>
      <w:pPr>
        <w:pStyle w:val="TextBody"/>
        <w:spacing w:lineRule="auto" w:line="288" w:before="0" w:after="480"/>
        <w:rPr>
          <w:rFonts w:ascii="Times New Roman;sans-serif" w:hAnsi="Times New Roman;sans-serif"/>
          <w:b w:val="false"/>
          <w:color w:val="000000"/>
          <w:sz w:val="22"/>
        </w:rPr>
      </w:pPr>
      <w:r>
        <w:rPr>
          <w:rFonts w:ascii="Times New Roman;sans-serif" w:hAnsi="Times New Roman;sans-serif"/>
          <w:b w:val="false"/>
          <w:color w:val="000000"/>
          <w:sz w:val="22"/>
        </w:rPr>
        <w:t>to the Credit Agreement referred to below:</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 xml:space="preserve">SOLVENCY CERTIFICATE </w:t>
      </w:r>
      <w:r>
        <w:rPr>
          <w:rFonts w:ascii="Times New Roman;sans-serif" w:hAnsi="Times New Roman;sans-serif"/>
          <w:b w:val="false"/>
          <w:color w:val="000000"/>
          <w:sz w:val="22"/>
        </w:rPr>
        <w:t>(this “</w:t>
      </w:r>
      <w:r>
        <w:rPr>
          <w:rFonts w:ascii="Times New Roman;sans-serif" w:hAnsi="Times New Roman;sans-serif"/>
          <w:b/>
          <w:i/>
          <w:color w:val="000000"/>
          <w:sz w:val="22"/>
        </w:rPr>
        <w:t>Certificate</w:t>
      </w:r>
      <w:r>
        <w:rPr>
          <w:color w:val="000000"/>
        </w:rPr>
        <w:t>”</w:t>
      </w:r>
      <w:r>
        <w:rPr>
          <w:rFonts w:ascii="Times New Roman;sans-serif" w:hAnsi="Times New Roman;sans-serif"/>
          <w:b w:val="false"/>
          <w:color w:val="000000"/>
          <w:sz w:val="22"/>
        </w:rPr>
        <w:t xml:space="preserve">) is delivered pursuant to </w:t>
      </w:r>
      <w:r>
        <w:rPr>
          <w:rFonts w:ascii="Times New Roman;sans-serif" w:hAnsi="Times New Roman;sans-serif"/>
          <w:b w:val="false"/>
          <w:color w:val="000000"/>
          <w:sz w:val="22"/>
          <w:u w:val="single"/>
        </w:rPr>
        <w:t>Section 5.1(p)</w:t>
      </w:r>
      <w:r>
        <w:rPr>
          <w:color w:val="000000"/>
        </w:rPr>
        <w:t xml:space="preserve"> </w:t>
      </w:r>
      <w:r>
        <w:rPr>
          <w:rFonts w:ascii="Times New Roman;sans-serif" w:hAnsi="Times New Roman;sans-serif"/>
          <w:b w:val="false"/>
          <w:color w:val="000000"/>
          <w:sz w:val="22"/>
        </w:rPr>
        <w:t>of that certain Credit Agreement, dated as of January 14, 2021, among Kaltura, Inc., a Delaware corporation (the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SVB as the Issuing Lender and the Swingline Lender (as amended, restated, amended and restated, supplemented, restructured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Unless otherwise defined herein, terms defined in the Credit Agreement and used herein shall have the meanings given to them in the Credit Agreement. The undersigned [Treasurer][Chief Financial Officer] of the Borrower, in such capacity only and not in her/his individual capacity, does hereby certify on behalf of each Loan Party as of the date hereof that: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Loan Party is, and immediately after giving effect to the incurrence of all Indebtedness and Obligations being incurred in connection herewith, will be, Solvent. Each UK Group Member (other than any Immaterial Subsidiary) is not unable to pay its debts (including trade debts) within the meaning of the UK Insolvency Act 1986 and has not stopped paying its debts as they fall due and the value of its assets is not less than the value of its liabilities (taking into account its contingent and prospective liabilities). No transfer of property is being made by any Loan Party and no obligation is being incurred by any Loan Party in connection with the transactions contemplated by the Credit Agreement or the other Loan Documents with the intent to hinder, delay, or defraud either present or future creditors of such Loan Party. No Group Member has taken any corporate or other action nor has any application been made or any other steps been taken or legal proceedings been started or (to the best of such Loan Party’s knowledge and belief having made due and proper enquiry with the Group Members) threatened in writing against such Group Member for its winding-up or for the appointment of a liquidator, trustee, receiver, administrative receiver, administrator, examiner or similar officer of it or of any or all of its assets.</w:t>
      </w:r>
    </w:p>
    <w:p>
      <w:pPr>
        <w:pStyle w:val="TextBody"/>
        <w:spacing w:lineRule="auto" w:line="288" w:before="0" w:after="18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406" name="Frame3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represent the foregoing information to be, to the best of my knowledge and belief, true and correct and execute this Certificate as of the date first written above.</w:t>
      </w:r>
    </w:p>
    <w:p>
      <w:pPr>
        <w:pStyle w:val="TextBody"/>
        <w:spacing w:before="0" w:after="0"/>
        <w:rPr/>
      </w:pPr>
      <w:r>
        <w:rPr/>
      </w:r>
    </w:p>
    <w:p>
      <w:pPr>
        <w:pStyle w:val="TextBody"/>
        <w:spacing w:before="0" w:after="0"/>
        <w:rPr/>
      </w:pPr>
      <w:r>
        <w:rPr/>
      </w:r>
    </w:p>
    <w:p>
      <w:pPr>
        <w:pStyle w:val="TextBody"/>
        <w:spacing w:before="0" w:after="0"/>
        <w:rPr/>
      </w:pPr>
      <w:r>
        <w:rPr/>
      </w:r>
    </w:p>
    <w:tbl>
      <w:tblPr>
        <w:tblW w:w="4784" w:type="dxa"/>
        <w:jc w:val="right"/>
        <w:tblInd w:w="0" w:type="dxa"/>
        <w:tblCellMar>
          <w:top w:w="28" w:type="dxa"/>
          <w:left w:w="28" w:type="dxa"/>
          <w:bottom w:w="28" w:type="dxa"/>
          <w:right w:w="28" w:type="dxa"/>
        </w:tblCellMar>
      </w:tblPr>
      <w:tblGrid>
        <w:gridCol w:w="264"/>
        <w:gridCol w:w="232"/>
        <w:gridCol w:w="238"/>
        <w:gridCol w:w="1184"/>
        <w:gridCol w:w="1184"/>
        <w:gridCol w:w="1682"/>
      </w:tblGrid>
      <w:tr>
        <w:trPr/>
        <w:tc>
          <w:tcPr>
            <w:tcW w:w="26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0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[Treasurer][Chief Financial Officer] of:</w:t>
            </w:r>
          </w:p>
          <w:p>
            <w:pPr>
              <w:pStyle w:val="TableContents"/>
              <w:spacing w:lineRule="auto" w:line="288" w:before="0" w:after="0"/>
              <w:jc w:val="left"/>
              <w:rPr/>
            </w:pPr>
            <w:r>
              <w:rPr>
                <w:rFonts w:ascii="Times New Roman;sans-serif" w:hAnsi="Times New Roman;sans-serif"/>
                <w:b/>
                <w:color w:val="000000"/>
                <w:sz w:val="22"/>
              </w:rPr>
              <w:t>KALTURA, INC.</w:t>
            </w:r>
            <w:r>
              <w:rPr>
                <w:rFonts w:ascii="Times New Roman;sans-serif" w:hAnsi="Times New Roman;sans-serif"/>
                <w:b w:val="false"/>
                <w:color w:val="000000"/>
                <w:sz w:val="22"/>
              </w:rPr>
              <w:t>,</w:t>
            </w:r>
          </w:p>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Delaware corporation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407" name="Frame4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D</w:t>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E</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 xml:space="preserve">FORM OF ASSIGNMENT AND ASSUMPTION </w:t>
      </w:r>
    </w:p>
    <w:p>
      <w:pPr>
        <w:pStyle w:val="TextBody"/>
        <w:spacing w:lineRule="auto" w:line="288" w:before="0" w:after="180"/>
        <w:ind w:left="0" w:right="0" w:hanging="1476"/>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180"/>
        <w:ind w:left="0" w:right="0" w:firstLine="720"/>
        <w:jc w:val="both"/>
        <w:rPr/>
      </w:pPr>
      <w:r>
        <w:rPr>
          <w:rFonts w:ascii="Times New Roman;sans-serif" w:hAnsi="Times New Roman;sans-serif"/>
          <w:b w:val="false"/>
          <w:color w:val="000000"/>
          <w:sz w:val="22"/>
        </w:rPr>
        <w:t>This Assignment and Assumption Agreement (the “</w:t>
      </w:r>
      <w:r>
        <w:rPr>
          <w:rFonts w:ascii="Times New Roman;sans-serif" w:hAnsi="Times New Roman;sans-serif"/>
          <w:b/>
          <w:i/>
          <w:color w:val="000000"/>
          <w:sz w:val="22"/>
        </w:rPr>
        <w:t>Assignment Agreement</w:t>
      </w:r>
      <w:r>
        <w:rPr>
          <w:color w:val="000000"/>
        </w:rPr>
        <w:t>”</w:t>
      </w:r>
      <w:r>
        <w:rPr>
          <w:rFonts w:ascii="Times New Roman;sans-serif" w:hAnsi="Times New Roman;sans-serif"/>
          <w:b w:val="false"/>
          <w:color w:val="000000"/>
          <w:sz w:val="22"/>
        </w:rPr>
        <w:t>) is dated as of the Assignment Effective Date set forth below and is entered into by and between the Assignor identified in item 1 below (the “</w:t>
      </w:r>
      <w:r>
        <w:rPr>
          <w:rFonts w:ascii="Times New Roman;sans-serif" w:hAnsi="Times New Roman;sans-serif"/>
          <w:b/>
          <w:i/>
          <w:color w:val="000000"/>
          <w:sz w:val="22"/>
        </w:rPr>
        <w:t>Assignor</w:t>
      </w:r>
      <w:r>
        <w:rPr>
          <w:color w:val="000000"/>
        </w:rPr>
        <w:t>”</w:t>
      </w:r>
      <w:r>
        <w:rPr>
          <w:rFonts w:ascii="Times New Roman;sans-serif" w:hAnsi="Times New Roman;sans-serif"/>
          <w:b w:val="false"/>
          <w:color w:val="000000"/>
          <w:sz w:val="22"/>
        </w:rPr>
        <w:t>) and the Assignee identified in item 2 below (the “</w:t>
      </w:r>
      <w:r>
        <w:rPr>
          <w:rFonts w:ascii="Times New Roman;sans-serif" w:hAnsi="Times New Roman;sans-serif"/>
          <w:b/>
          <w:i/>
          <w:color w:val="000000"/>
          <w:sz w:val="22"/>
        </w:rPr>
        <w:t>Assignee</w:t>
      </w:r>
      <w:r>
        <w:rPr>
          <w:color w:val="000000"/>
        </w:rPr>
        <w:t>”</w:t>
      </w:r>
      <w:r>
        <w:rPr>
          <w:rFonts w:ascii="Times New Roman;sans-serif" w:hAnsi="Times New Roman;sans-serif"/>
          <w:b w:val="false"/>
          <w:color w:val="000000"/>
          <w:sz w:val="22"/>
        </w:rPr>
        <w:t>). Capitalized terms used but not defined herein shall have the meanings given to them in the Credit Agreement identified below (as amended, restated, amended and restated,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xml:space="preserve">), receipt of a copy of which is hereby acknowledged by the Assignee. The Standard Terms and Conditions set forth in </w:t>
      </w:r>
      <w:r>
        <w:rPr>
          <w:rFonts w:ascii="Times New Roman;sans-serif" w:hAnsi="Times New Roman;sans-serif"/>
          <w:b w:val="false"/>
          <w:color w:val="000000"/>
          <w:sz w:val="22"/>
          <w:u w:val="single"/>
        </w:rPr>
        <w:t>Annex 1</w:t>
      </w:r>
      <w:r>
        <w:rPr>
          <w:color w:val="000000"/>
        </w:rPr>
        <w:t xml:space="preserve"> </w:t>
      </w:r>
      <w:r>
        <w:rPr>
          <w:rFonts w:ascii="Times New Roman;sans-serif" w:hAnsi="Times New Roman;sans-serif"/>
          <w:b w:val="false"/>
          <w:color w:val="000000"/>
          <w:sz w:val="22"/>
        </w:rPr>
        <w:t>attached hereto are hereby agreed to and incorporated herein by reference and made a part of this Assignment Agreement as if set forth herein in full.</w:t>
      </w:r>
    </w:p>
    <w:p>
      <w:pPr>
        <w:pStyle w:val="TextBody"/>
        <w:spacing w:lineRule="auto" w:line="288" w:before="0" w:after="180"/>
        <w:ind w:left="0" w:right="0" w:firstLine="720"/>
        <w:jc w:val="both"/>
        <w:rPr/>
      </w:pPr>
      <w:r>
        <w:rPr>
          <w:rFonts w:ascii="Times New Roman;sans-serif" w:hAnsi="Times New Roman;sans-serif"/>
          <w:b w:val="false"/>
          <w:color w:val="000000"/>
          <w:sz w:val="22"/>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Assignment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 of credit deposits,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Times New Roman;sans-serif" w:hAnsi="Times New Roman;sans-serif"/>
          <w:b/>
          <w:i/>
          <w:color w:val="000000"/>
          <w:sz w:val="22"/>
        </w:rPr>
        <w:t>Assigned Interest</w:t>
      </w:r>
      <w:r>
        <w:rPr>
          <w:color w:val="000000"/>
        </w:rPr>
        <w:t>”</w:t>
      </w:r>
      <w:r>
        <w:rPr>
          <w:rFonts w:ascii="Times New Roman;sans-serif" w:hAnsi="Times New Roman;sans-serif"/>
          <w:b w:val="false"/>
          <w:color w:val="000000"/>
          <w:sz w:val="22"/>
        </w:rPr>
        <w:t>). Each such sale and assignment is without recourse to the Assignor and, except as expressly provided in this Assignment Agreement, without representation or warranty by the Assignor.</w:t>
      </w:r>
    </w:p>
    <w:tbl>
      <w:tblPr>
        <w:tblW w:w="9251" w:type="dxa"/>
        <w:jc w:val="left"/>
        <w:tblInd w:w="0" w:type="dxa"/>
        <w:tblCellMar>
          <w:top w:w="28" w:type="dxa"/>
          <w:left w:w="28" w:type="dxa"/>
          <w:bottom w:w="28" w:type="dxa"/>
          <w:right w:w="28" w:type="dxa"/>
        </w:tblCellMar>
      </w:tblPr>
      <w:tblGrid>
        <w:gridCol w:w="124"/>
        <w:gridCol w:w="109"/>
        <w:gridCol w:w="109"/>
        <w:gridCol w:w="1598"/>
        <w:gridCol w:w="1598"/>
        <w:gridCol w:w="1607"/>
        <w:gridCol w:w="640"/>
        <w:gridCol w:w="640"/>
        <w:gridCol w:w="640"/>
        <w:gridCol w:w="640"/>
        <w:gridCol w:w="640"/>
        <w:gridCol w:w="9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48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Assignor:</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48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Assignee:</w:t>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[for Assignee, if applicable, indicate [Affiliate][Approved Fund] of [</w:t>
            </w:r>
            <w:r>
              <w:rPr>
                <w:rFonts w:ascii="Times New Roman;sans-serif" w:hAnsi="Times New Roman;sans-serif"/>
                <w:b w:val="false"/>
                <w:i/>
                <w:color w:val="000000"/>
                <w:sz w:val="22"/>
              </w:rPr>
              <w:t>identify Lender</w:t>
            </w:r>
            <w:r>
              <w:rPr>
                <w:rFonts w:ascii="Times New Roman;sans-serif" w:hAnsi="Times New Roman;sans-serif"/>
                <w:b w:val="false"/>
                <w:color w:val="000000"/>
                <w:sz w:val="22"/>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48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4106" w:type="dxa"/>
            <w:gridSpan w:val="6"/>
            <w:tcBorders/>
            <w:shd w:fill="auto" w:val="clear"/>
            <w:tcMar>
              <w:top w:w="0" w:type="dxa"/>
              <w:left w:w="0" w:type="dxa"/>
              <w:bottom w:w="0" w:type="dxa"/>
              <w:right w:w="0" w:type="dxa"/>
            </w:tcMar>
            <w:vAlign w:val="center"/>
          </w:tcPr>
          <w:p>
            <w:pPr>
              <w:pStyle w:val="TableContents"/>
              <w:spacing w:lineRule="auto" w:line="288" w:before="71"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KALTURA, INC., a Delaware corporation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48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410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08" name="Frame4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463"/>
        <w:gridCol w:w="463"/>
        <w:gridCol w:w="464"/>
        <w:gridCol w:w="1316"/>
        <w:gridCol w:w="1316"/>
        <w:gridCol w:w="1316"/>
        <w:gridCol w:w="1316"/>
        <w:gridCol w:w="1316"/>
        <w:gridCol w:w="18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13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tc>
        <w:tc>
          <w:tcPr>
            <w:tcW w:w="8473" w:type="dxa"/>
            <w:gridSpan w:val="6"/>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Credit Agreement, dated as of January 14, 2021, among the Borrower, the Lenders party thereto, SILICON VALLEY BANK (“SVB”), as Administrative Agent, and SVB as the Issuing Lender and the Swingline Lender</w:t>
            </w:r>
          </w:p>
        </w:tc>
      </w:tr>
    </w:tbl>
    <w:p>
      <w:pPr>
        <w:pStyle w:val="TextBody"/>
        <w:spacing w:lineRule="auto" w:line="288" w:before="0" w:after="180"/>
        <w:ind w:left="0" w:right="0" w:hanging="360"/>
        <w:rPr/>
      </w:pPr>
      <w:r>
        <w:rPr>
          <w:rFonts w:ascii="Times New Roman;sans-serif" w:hAnsi="Times New Roman;sans-serif"/>
          <w:b w:val="false"/>
          <w:color w:val="000000"/>
          <w:sz w:val="20"/>
        </w:rPr>
        <w:t>6.</w:t>
      </w:r>
      <w:r>
        <w:rPr>
          <w:rFonts w:ascii="Times New Roman;sans-serif" w:hAnsi="Times New Roman;sans-serif"/>
          <w:b w:val="false"/>
          <w:color w:val="000000"/>
          <w:sz w:val="22"/>
        </w:rPr>
        <w:t>Assigned Interest[s]:</w:t>
      </w:r>
    </w:p>
    <w:tbl>
      <w:tblPr>
        <w:tblW w:w="10205" w:type="dxa"/>
        <w:jc w:val="left"/>
        <w:tblInd w:w="0" w:type="dxa"/>
        <w:tblCellMar>
          <w:top w:w="28" w:type="dxa"/>
          <w:left w:w="28" w:type="dxa"/>
          <w:bottom w:w="28" w:type="dxa"/>
          <w:right w:w="28" w:type="dxa"/>
        </w:tblCellMar>
      </w:tblPr>
      <w:tblGrid>
        <w:gridCol w:w="348"/>
        <w:gridCol w:w="306"/>
        <w:gridCol w:w="307"/>
        <w:gridCol w:w="320"/>
        <w:gridCol w:w="320"/>
        <w:gridCol w:w="321"/>
        <w:gridCol w:w="350"/>
        <w:gridCol w:w="350"/>
        <w:gridCol w:w="351"/>
        <w:gridCol w:w="775"/>
        <w:gridCol w:w="775"/>
        <w:gridCol w:w="777"/>
        <w:gridCol w:w="616"/>
        <w:gridCol w:w="616"/>
        <w:gridCol w:w="617"/>
        <w:gridCol w:w="642"/>
        <w:gridCol w:w="642"/>
        <w:gridCol w:w="643"/>
        <w:gridCol w:w="328"/>
        <w:gridCol w:w="328"/>
        <w:gridCol w:w="473"/>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Assignor</w:t>
            </w:r>
          </w:p>
        </w:tc>
        <w:tc>
          <w:tcPr>
            <w:tcW w:w="9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Assignee</w:t>
            </w:r>
          </w:p>
        </w:tc>
        <w:tc>
          <w:tcPr>
            <w:tcW w:w="10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1"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Facility</w:t>
            </w:r>
          </w:p>
          <w:p>
            <w:pPr>
              <w:pStyle w:val="TableContents"/>
              <w:spacing w:lineRule="auto" w:line="319" w:before="0" w:after="0"/>
              <w:jc w:val="left"/>
              <w:rPr/>
            </w:pPr>
            <w:r>
              <w:rPr>
                <w:rFonts w:ascii="Times New Roman;sans-serif" w:hAnsi="Times New Roman;sans-serif"/>
                <w:b w:val="false"/>
                <w:color w:val="000000"/>
                <w:sz w:val="22"/>
              </w:rPr>
              <w:t>Assigned</w:t>
            </w:r>
            <w:r>
              <w:rPr>
                <w:rFonts w:ascii="Times New Roman;sans-serif" w:hAnsi="Times New Roman;sans-serif"/>
                <w:b w:val="false"/>
                <w:color w:val="000000"/>
                <w:sz w:val="14"/>
              </w:rPr>
              <w:t>1</w:t>
            </w:r>
          </w:p>
        </w:tc>
        <w:tc>
          <w:tcPr>
            <w:tcW w:w="23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1"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Aggregate</w:t>
            </w:r>
          </w:p>
          <w:p>
            <w:pPr>
              <w:pStyle w:val="TableContents"/>
              <w:spacing w:lineRule="auto" w:line="271" w:before="4" w:after="283"/>
              <w:jc w:val="center"/>
              <w:rPr/>
            </w:pPr>
            <w:r>
              <w:rPr>
                <w:rFonts w:ascii="Times New Roman;sans-serif" w:hAnsi="Times New Roman;sans-serif"/>
                <w:b w:val="false"/>
                <w:color w:val="000000"/>
                <w:sz w:val="22"/>
              </w:rPr>
              <w:t>Amount of Commitment / Loans for all Lenders</w:t>
            </w:r>
            <w:r>
              <w:rPr>
                <w:rFonts w:ascii="Times New Roman;sans-serif" w:hAnsi="Times New Roman;sans-serif"/>
                <w:b w:val="false"/>
                <w:color w:val="000000"/>
                <w:sz w:val="14"/>
              </w:rPr>
              <w:t>2</w:t>
            </w:r>
          </w:p>
        </w:tc>
        <w:tc>
          <w:tcPr>
            <w:tcW w:w="18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1"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Amount of</w:t>
            </w:r>
          </w:p>
          <w:p>
            <w:pPr>
              <w:pStyle w:val="TableContents"/>
              <w:spacing w:lineRule="auto" w:line="268" w:before="6" w:after="283"/>
              <w:jc w:val="center"/>
              <w:rPr/>
            </w:pPr>
            <w:r>
              <w:rPr>
                <w:rFonts w:ascii="Times New Roman;sans-serif" w:hAnsi="Times New Roman;sans-serif"/>
                <w:b w:val="false"/>
                <w:color w:val="000000"/>
                <w:sz w:val="22"/>
              </w:rPr>
              <w:t>Commitment / Loans Assigned</w:t>
            </w:r>
            <w:r>
              <w:rPr>
                <w:rFonts w:ascii="Times New Roman;sans-serif" w:hAnsi="Times New Roman;sans-serif"/>
                <w:b w:val="false"/>
                <w:color w:val="000000"/>
                <w:sz w:val="14"/>
              </w:rPr>
              <w:t>3</w:t>
            </w:r>
          </w:p>
        </w:tc>
        <w:tc>
          <w:tcPr>
            <w:tcW w:w="19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1"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Percentage</w:t>
            </w:r>
          </w:p>
          <w:p>
            <w:pPr>
              <w:pStyle w:val="TableContents"/>
              <w:spacing w:lineRule="auto" w:line="268" w:before="6" w:after="283"/>
              <w:jc w:val="center"/>
              <w:rPr/>
            </w:pPr>
            <w:r>
              <w:rPr>
                <w:rFonts w:ascii="Times New Roman;sans-serif" w:hAnsi="Times New Roman;sans-serif"/>
                <w:b w:val="false"/>
                <w:color w:val="000000"/>
                <w:sz w:val="22"/>
              </w:rPr>
              <w:t>Assigned of Commitment / Loans</w:t>
            </w:r>
            <w:r>
              <w:rPr>
                <w:rFonts w:ascii="Times New Roman;sans-serif" w:hAnsi="Times New Roman;sans-serif"/>
                <w:b w:val="false"/>
                <w:color w:val="000000"/>
                <w:sz w:val="14"/>
              </w:rPr>
              <w:t>4</w:t>
            </w:r>
          </w:p>
        </w:tc>
        <w:tc>
          <w:tcPr>
            <w:tcW w:w="11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1"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CUSIP Number</w:t>
            </w:r>
          </w:p>
        </w:tc>
      </w:tr>
      <w:tr>
        <w:trPr/>
        <w:tc>
          <w:tcPr>
            <w:tcW w:w="96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327" w:type="dxa"/>
            <w:gridSpan w:val="3"/>
            <w:tcBorders>
              <w:top w:val="single" w:sz="8" w:space="0" w:color="000000"/>
              <w:left w:val="single" w:sz="8" w:space="0" w:color="000000"/>
            </w:tcBorders>
            <w:shd w:fill="auto" w:val="clear"/>
            <w:tcMar>
              <w:top w:w="30" w:type="dxa"/>
              <w:left w:w="122"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49" w:type="dxa"/>
            <w:gridSpan w:val="3"/>
            <w:tcBorders>
              <w:top w:val="single" w:sz="8" w:space="0" w:color="000000"/>
              <w:left w:val="single" w:sz="8" w:space="0" w:color="000000"/>
            </w:tcBorders>
            <w:shd w:fill="auto" w:val="clear"/>
            <w:tcMar>
              <w:top w:w="30" w:type="dxa"/>
              <w:left w:w="122"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9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96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327" w:type="dxa"/>
            <w:gridSpan w:val="3"/>
            <w:tcBorders>
              <w:top w:val="single" w:sz="8" w:space="0" w:color="000000"/>
              <w:left w:val="single" w:sz="8" w:space="0" w:color="000000"/>
            </w:tcBorders>
            <w:shd w:fill="auto" w:val="clear"/>
            <w:tcMar>
              <w:top w:w="30" w:type="dxa"/>
              <w:left w:w="122"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49" w:type="dxa"/>
            <w:gridSpan w:val="3"/>
            <w:tcBorders>
              <w:top w:val="single" w:sz="8" w:space="0" w:color="000000"/>
              <w:left w:val="single" w:sz="8" w:space="0" w:color="000000"/>
            </w:tcBorders>
            <w:shd w:fill="auto" w:val="clear"/>
            <w:tcMar>
              <w:top w:w="30" w:type="dxa"/>
              <w:left w:w="122"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9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96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327" w:type="dxa"/>
            <w:gridSpan w:val="3"/>
            <w:tcBorders>
              <w:top w:val="single" w:sz="8" w:space="0" w:color="000000"/>
              <w:left w:val="single" w:sz="8" w:space="0" w:color="000000"/>
              <w:bottom w:val="single" w:sz="8" w:space="0" w:color="000000"/>
            </w:tcBorders>
            <w:shd w:fill="auto" w:val="clear"/>
            <w:tcMar>
              <w:top w:w="30" w:type="dxa"/>
              <w:left w:w="122"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49" w:type="dxa"/>
            <w:gridSpan w:val="3"/>
            <w:tcBorders>
              <w:top w:val="single" w:sz="8" w:space="0" w:color="000000"/>
              <w:left w:val="single" w:sz="8" w:space="0" w:color="000000"/>
              <w:bottom w:val="single" w:sz="8" w:space="0" w:color="000000"/>
            </w:tcBorders>
            <w:shd w:fill="auto" w:val="clear"/>
            <w:tcMar>
              <w:top w:w="30" w:type="dxa"/>
              <w:left w:w="122"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92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9"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rPr/>
      </w:pPr>
      <w:r>
        <w:rPr>
          <w:rFonts w:ascii="Times New Roman;sans-serif" w:hAnsi="Times New Roman;sans-serif"/>
          <w:b w:val="false"/>
          <w:color w:val="000000"/>
          <w:sz w:val="20"/>
        </w:rPr>
        <w:t>[7.</w:t>
      </w:r>
      <w:r>
        <w:rPr>
          <w:rFonts w:ascii="Times New Roman;sans-serif" w:hAnsi="Times New Roman;sans-serif"/>
          <w:b w:val="false"/>
          <w:color w:val="000000"/>
          <w:sz w:val="22"/>
        </w:rPr>
        <w:t>Trade Date: _____________]</w:t>
      </w:r>
      <w:r>
        <w:rPr>
          <w:rFonts w:ascii="Times New Roman;sans-serif" w:hAnsi="Times New Roman;sans-serif"/>
          <w:b w:val="false"/>
          <w:color w:val="000000"/>
          <w:sz w:val="14"/>
        </w:rPr>
        <w:t>5</w:t>
      </w:r>
    </w:p>
    <w:p>
      <w:pPr>
        <w:pStyle w:val="TextBody"/>
        <w:spacing w:lineRule="auto" w:line="288" w:before="0" w:after="240"/>
        <w:jc w:val="both"/>
        <w:rPr/>
      </w:pPr>
      <w:r>
        <w:rPr>
          <w:rFonts w:ascii="Times New Roman;sans-serif" w:hAnsi="Times New Roman;sans-serif"/>
          <w:b w:val="false"/>
          <w:color w:val="000000"/>
          <w:sz w:val="22"/>
        </w:rPr>
        <w:t>Assignment Effective Date:   ___________ ___, 20</w:t>
      </w:r>
      <w:r>
        <w:rPr>
          <w:color w:val="000000"/>
          <w:u w:val="single"/>
        </w:rPr>
        <w:t>   </w:t>
      </w:r>
      <w:r>
        <w:rPr>
          <w:rFonts w:ascii="Times New Roman;sans-serif" w:hAnsi="Times New Roman;sans-serif"/>
          <w:b w:val="false"/>
          <w:color w:val="000000"/>
          <w:sz w:val="22"/>
        </w:rPr>
        <w:t>[TO BE INSERTED BY THE ADMINISTRATIVE AGENT AND WHICH SHALL BE THE ASSIGNMENT EFFECTIVE DATE OF RECORDATION OF TRANSFER IN THE REGISTER THEREFOR.]</w:t>
      </w:r>
    </w:p>
    <w:p>
      <w:pPr>
        <w:pStyle w:val="TextBody"/>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180"/>
        <w:ind w:left="0" w:right="0" w:hanging="630"/>
        <w:rPr/>
      </w:pPr>
      <w:r>
        <w:rPr>
          <w:rFonts w:ascii="Times New Roman;sans-serif" w:hAnsi="Times New Roman;sans-serif"/>
          <w:b w:val="false"/>
          <w:color w:val="000000"/>
          <w:sz w:val="13"/>
        </w:rPr>
        <w:t>1</w:t>
      </w:r>
      <w:r>
        <w:rPr>
          <w:rFonts w:ascii="Times New Roman;sans-serif" w:hAnsi="Times New Roman;sans-serif"/>
          <w:b w:val="false"/>
          <w:color w:val="000000"/>
          <w:sz w:val="20"/>
        </w:rPr>
        <w:t>Fill in the appropriate terminology for the types of facilities under the Credit Agreement that are being assigned under this Assignment Agreement (e.g. “Revolving Facility”, “Term Facility”, etc.)</w:t>
      </w:r>
    </w:p>
    <w:p>
      <w:pPr>
        <w:pStyle w:val="TextBody"/>
        <w:spacing w:lineRule="auto" w:line="288" w:before="0" w:after="180"/>
        <w:ind w:left="0" w:right="0" w:hanging="630"/>
        <w:rPr/>
      </w:pPr>
      <w:r>
        <w:rPr>
          <w:rFonts w:ascii="Times New Roman;sans-serif" w:hAnsi="Times New Roman;sans-serif"/>
          <w:b w:val="false"/>
          <w:color w:val="000000"/>
          <w:sz w:val="13"/>
        </w:rPr>
        <w:t>2</w:t>
      </w:r>
      <w:r>
        <w:rPr>
          <w:rFonts w:ascii="Times New Roman;sans-serif" w:hAnsi="Times New Roman;sans-serif"/>
          <w:b w:val="false"/>
          <w:color w:val="000000"/>
          <w:sz w:val="20"/>
        </w:rPr>
        <w:t>Amount to be adjusted by the counterparties to take into account any payments or prepayments made between the Trade Date and the Assignment Effective Date.</w:t>
      </w:r>
    </w:p>
    <w:p>
      <w:pPr>
        <w:pStyle w:val="TextBody"/>
        <w:spacing w:lineRule="auto" w:line="288" w:before="0" w:after="180"/>
        <w:ind w:left="0" w:right="0" w:hanging="630"/>
        <w:rPr/>
      </w:pPr>
      <w:r>
        <w:rPr>
          <w:rFonts w:ascii="Times New Roman;sans-serif" w:hAnsi="Times New Roman;sans-serif"/>
          <w:b w:val="false"/>
          <w:color w:val="000000"/>
          <w:sz w:val="13"/>
        </w:rPr>
        <w:t>3</w:t>
      </w:r>
      <w:r>
        <w:rPr>
          <w:rFonts w:ascii="Times New Roman;sans-serif" w:hAnsi="Times New Roman;sans-serif"/>
          <w:b w:val="false"/>
          <w:color w:val="000000"/>
          <w:sz w:val="20"/>
        </w:rPr>
        <w:t>Amount to be adjusted by the counterparties to take into account any payments or prepayments made between the Trade Date and the Assignment Effective Date.</w:t>
      </w:r>
    </w:p>
    <w:p>
      <w:pPr>
        <w:pStyle w:val="TextBody"/>
        <w:spacing w:lineRule="auto" w:line="288" w:before="0" w:after="180"/>
        <w:ind w:left="0" w:right="0" w:hanging="630"/>
        <w:rPr/>
      </w:pPr>
      <w:r>
        <w:rPr>
          <w:rFonts w:ascii="Times New Roman;sans-serif" w:hAnsi="Times New Roman;sans-serif"/>
          <w:b w:val="false"/>
          <w:color w:val="000000"/>
          <w:sz w:val="13"/>
        </w:rPr>
        <w:t>4</w:t>
      </w:r>
      <w:r>
        <w:rPr>
          <w:rFonts w:ascii="Times New Roman;sans-serif" w:hAnsi="Times New Roman;sans-serif"/>
          <w:b w:val="false"/>
          <w:color w:val="000000"/>
          <w:sz w:val="20"/>
        </w:rPr>
        <w:t>Set forth, to at least 9 decimals, as a percentage of the applicable Commitment/Loans of all Lenders thereunder.</w:t>
      </w:r>
    </w:p>
    <w:p>
      <w:pPr>
        <w:pStyle w:val="TextBody"/>
        <w:spacing w:lineRule="auto" w:line="288"/>
        <w:ind w:left="0" w:right="0" w:hanging="630"/>
        <w:rPr/>
      </w:pPr>
      <w:r>
        <w:rPr>
          <w:rFonts w:ascii="Times New Roman;sans-serif" w:hAnsi="Times New Roman;sans-serif"/>
          <w:b w:val="false"/>
          <w:color w:val="000000"/>
          <w:sz w:val="13"/>
        </w:rPr>
        <w:t>5</w:t>
      </w:r>
      <w:r>
        <w:rPr>
          <w:rFonts w:ascii="Times New Roman;sans-serif" w:hAnsi="Times New Roman;sans-serif"/>
          <w:b w:val="false"/>
          <w:color w:val="000000"/>
          <w:sz w:val="20"/>
        </w:rPr>
        <w:t>To be completed if the Assignor(s) and the Assignee(s) intend that the minimum assignment amount is to be determined as of the Trade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409" name="Frame4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 terms set forth in this Assignment Agreement are hereby agreed to:</w:t>
      </w:r>
    </w:p>
    <w:tbl>
      <w:tblPr>
        <w:tblW w:w="2562" w:type="dxa"/>
        <w:jc w:val="right"/>
        <w:tblInd w:w="0" w:type="dxa"/>
        <w:tblCellMar>
          <w:top w:w="28" w:type="dxa"/>
          <w:left w:w="28" w:type="dxa"/>
          <w:bottom w:w="28" w:type="dxa"/>
          <w:right w:w="28" w:type="dxa"/>
        </w:tblCellMar>
      </w:tblPr>
      <w:tblGrid>
        <w:gridCol w:w="445"/>
        <w:gridCol w:w="390"/>
        <w:gridCol w:w="390"/>
        <w:gridCol w:w="390"/>
        <w:gridCol w:w="390"/>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256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ASSIGNOR</w:t>
            </w:r>
            <w:r>
              <w:rPr>
                <w:rFonts w:ascii="Times New Roman;sans-serif" w:hAnsi="Times New Roman;sans-serif"/>
                <w:b w:val="false"/>
                <w:color w:val="000000"/>
                <w:sz w:val="14"/>
              </w:rPr>
              <w:t>1</w:t>
            </w:r>
          </w:p>
        </w:tc>
      </w:tr>
      <w:tr>
        <w:trPr/>
        <w:tc>
          <w:tcPr>
            <w:tcW w:w="256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ASSIGNOR] </w:t>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ASSIGNOR</w:t>
            </w:r>
            <w:r>
              <w:rPr>
                <w:rFonts w:ascii="Times New Roman;sans-serif" w:hAnsi="Times New Roman;sans-serif"/>
                <w:b w:val="false"/>
                <w:color w:val="000000"/>
                <w:sz w:val="14"/>
              </w:rPr>
              <w:t>2</w:t>
            </w:r>
          </w:p>
        </w:tc>
      </w:tr>
      <w:tr>
        <w:trPr/>
        <w:tc>
          <w:tcPr>
            <w:tcW w:w="256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ASSIGNOR]</w:t>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spacing w:lineRule="auto" w:line="288" w:before="0" w:after="18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Add additional signature blocks as needed.</w:t>
      </w:r>
    </w:p>
    <w:p>
      <w:pPr>
        <w:pStyle w:val="TextBody"/>
        <w:spacing w:lineRule="auto" w:line="288"/>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Add additional signature blocks as needed.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410" name="Frame4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2"/>
        </w:rPr>
      </w:pPr>
      <w:r>
        <w:rPr>
          <w:rFonts w:ascii="Times New Roman;sans-serif" w:hAnsi="Times New Roman;sans-serif"/>
          <w:b w:val="false"/>
          <w:color w:val="000000"/>
          <w:sz w:val="22"/>
        </w:rPr>
        <w:t>Consented to and Accepted:</w:t>
      </w:r>
    </w:p>
    <w:tbl>
      <w:tblPr>
        <w:tblW w:w="4759" w:type="dxa"/>
        <w:jc w:val="left"/>
        <w:tblInd w:w="0" w:type="dxa"/>
        <w:tblCellMar>
          <w:top w:w="28" w:type="dxa"/>
          <w:left w:w="28" w:type="dxa"/>
          <w:bottom w:w="28" w:type="dxa"/>
          <w:right w:w="28" w:type="dxa"/>
        </w:tblCellMar>
      </w:tblPr>
      <w:tblGrid>
        <w:gridCol w:w="491"/>
        <w:gridCol w:w="432"/>
        <w:gridCol w:w="432"/>
        <w:gridCol w:w="996"/>
        <w:gridCol w:w="996"/>
        <w:gridCol w:w="1412"/>
      </w:tblGrid>
      <w:tr>
        <w:trPr/>
        <w:tc>
          <w:tcPr>
            <w:tcW w:w="491"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r>
      <w:tr>
        <w:trPr/>
        <w:tc>
          <w:tcPr>
            <w:tcW w:w="475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SILICON VALLEY BANK, </w:t>
            </w:r>
          </w:p>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[Consented to:]</w:t>
            </w:r>
            <w:r>
              <w:rPr>
                <w:rFonts w:ascii="Times New Roman;sans-serif" w:hAnsi="Times New Roman;sans-serif"/>
                <w:b w:val="false"/>
                <w:color w:val="000000"/>
                <w:sz w:val="14"/>
              </w:rPr>
              <w:t>3</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RELEVANT PARTY] </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RELEVANT PARTY]</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To be added only if the consent of the Borrower and/or other parties (e.g. Swingline Lender, Issuing Lender) is required by the terms of the Credit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411" name="Frame4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val="false"/>
          <w:color w:val="000000"/>
          <w:sz w:val="22"/>
        </w:rPr>
      </w:pPr>
      <w:r>
        <w:rPr>
          <w:rFonts w:ascii="Times New Roman;sans-serif" w:hAnsi="Times New Roman;sans-serif"/>
          <w:b w:val="false"/>
          <w:color w:val="000000"/>
          <w:sz w:val="22"/>
        </w:rPr>
        <w:t>ANNEX 1</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STANDARD TERMS AND CONDITIONS FOR </w:t>
        <w:br/>
        <w:t>ASSIGNMENT AND ASSUMPTION</w:t>
      </w:r>
    </w:p>
    <w:p>
      <w:pPr>
        <w:pStyle w:val="TextBody"/>
        <w:spacing w:lineRule="auto" w:line="288" w:before="0" w:after="180"/>
        <w:ind w:left="0" w:right="0" w:firstLine="1170"/>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w:t>
      </w:r>
    </w:p>
    <w:p>
      <w:pPr>
        <w:pStyle w:val="TextBody"/>
        <w:spacing w:lineRule="auto" w:line="288" w:before="0" w:after="180"/>
        <w:ind w:left="0" w:right="0" w:firstLine="81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Assignor</w:t>
      </w:r>
      <w:r>
        <w:rPr>
          <w:rFonts w:ascii="Times New Roman;sans-serif" w:hAnsi="Times New Roman;sans-serif"/>
          <w:b w:val="false"/>
          <w:color w:val="000000"/>
          <w:sz w:val="22"/>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Agreement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Loan Party, any of their respective Subsidiaries or Affiliates or any other Person obligated in respect of any Loan Document or (iv) the performance or observance by any Loan Party, any of their respective Subsidiaries or Affiliates or any other Person of any of their respective obligations under any Loan Document or any other instrument or document furnished pursuant hereto or thereto.</w:t>
      </w:r>
    </w:p>
    <w:p>
      <w:pPr>
        <w:pStyle w:val="TextBody"/>
        <w:spacing w:lineRule="auto" w:line="288" w:before="0" w:after="180"/>
        <w:ind w:left="0" w:right="0" w:firstLine="81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Assignee</w:t>
      </w:r>
      <w:r>
        <w:rPr>
          <w:rFonts w:ascii="Times New Roman;sans-serif" w:hAnsi="Times New Roman;sans-serif"/>
          <w:b w:val="false"/>
          <w:color w:val="000000"/>
          <w:sz w:val="22"/>
        </w:rPr>
        <w:t xml:space="preserve">. The Assignee (a) represents and warrants that (i) it has full power and authority, and has taken all action necessary, to execute and deliver this Assignment Agreement and to consummate the transactions contemplated hereby and to become a Lender under the Credit Agreement, (ii) it meets all the requirements to be an Eligible Assignee, including the requirements under Section 10.6(b) of the Credit Agreement (subject to such consents, if any, as may be required under Section 10.6(b)(iii) of the Credit Agreement), (iii) from and after the Assignment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thereof, as applicable, and such other documents and information as it deems appropriate to make its own credit analysis and decision to enter into this Assignment Agreement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Agreement and to purchase the Assigned Interest, and (vii) if it is a Non-U.S. Lender, attached to the Assignment Agreement is any documentation required to be delivered by it pursuant to the terms of the Credit Agreement, duly completed and executed by the Assignee; and (b) agrees that (i) it will, independently and without reliance on any of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spacing w:lineRule="auto" w:line="288" w:before="0" w:after="180"/>
        <w:ind w:left="0" w:right="0" w:firstLine="810"/>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xml:space="preserve">. From and after the Assignment Effective Date, the Administrative Agent shall make all payments in respect of the Assigned Interest (including payments of principal, interest, fees and other amounts) to the Assignor for amounts which have accrued to but excluding the Assignment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412" name="Frame4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2"/>
        </w:rPr>
      </w:pPr>
      <w:r>
        <w:rPr>
          <w:rFonts w:ascii="Times New Roman;sans-serif" w:hAnsi="Times New Roman;sans-serif"/>
          <w:b w:val="false"/>
          <w:color w:val="000000"/>
          <w:sz w:val="22"/>
        </w:rPr>
        <w:t>Effective Date and to the Assignee for amounts which have accrued from and after the Assignment Effective Date.</w:t>
      </w:r>
    </w:p>
    <w:p>
      <w:pPr>
        <w:pStyle w:val="TextBody"/>
        <w:spacing w:lineRule="auto" w:line="288" w:before="0" w:after="180"/>
        <w:ind w:left="0" w:right="0" w:firstLine="810"/>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General Provisions</w:t>
      </w:r>
      <w:r>
        <w:rPr>
          <w:rFonts w:ascii="Times New Roman;sans-serif" w:hAnsi="Times New Roman;sans-serif"/>
          <w:b w:val="false"/>
          <w:color w:val="000000"/>
          <w:sz w:val="22"/>
        </w:rPr>
        <w:t>. This Assignment Agreement shall be binding upon, and inure to the benefit of, the parties hereto and their respective successors and assigns. This Assignment Agreement may be executed in any number of counterparts, which together shall constitute one instrument. Delivery of an executed counterpart of a signature page of this Assignment Agreement by telecopy (or other electronic method of transmission) shall be effective as delivery of a manually executed counterpart of this Assignment Agreement. This Assignment Agreement shall be governed by, and construed and interpreted in accordance with, the internal laws (and not the conflict of law rules) of the State of New York.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413" name="Frame4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F-1</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w:t>
      </w:r>
    </w:p>
    <w:p>
      <w:pPr>
        <w:pStyle w:val="TextBody"/>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(For Foreign Lenders That Are Not Partnerships for U.S. Federal Income Tax Purposes)</w:t>
      </w:r>
    </w:p>
    <w:p>
      <w:pPr>
        <w:pStyle w:val="TextBody"/>
        <w:spacing w:lineRule="auto" w:line="288" w:before="0" w:after="48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Date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Reference is made to that certain Credit Agreement, dated as of January 14, 2021 (as amended,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among Kaltura, Inc., a Delaware corporation(the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collateral agent for such Lenders (in such capacities, together with any successors and assigns in such capacities;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and SVB as the Issuing Lender and the Swingline Lender.</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certificate to be duly executed and delivered by its proper and duly authorized signatory as of the day and year first written above.</w:t>
      </w:r>
    </w:p>
    <w:tbl>
      <w:tblPr>
        <w:tblW w:w="1902" w:type="dxa"/>
        <w:jc w:val="right"/>
        <w:tblInd w:w="0" w:type="dxa"/>
        <w:tblCellMar>
          <w:top w:w="28" w:type="dxa"/>
          <w:left w:w="28" w:type="dxa"/>
          <w:bottom w:w="28" w:type="dxa"/>
          <w:right w:w="28" w:type="dxa"/>
        </w:tblCellMar>
      </w:tblPr>
      <w:tblGrid>
        <w:gridCol w:w="329"/>
        <w:gridCol w:w="290"/>
        <w:gridCol w:w="290"/>
        <w:gridCol w:w="290"/>
        <w:gridCol w:w="290"/>
        <w:gridCol w:w="413"/>
      </w:tblGrid>
      <w:tr>
        <w:trPr/>
        <w:tc>
          <w:tcPr>
            <w:tcW w:w="32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90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Lender] </w:t>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414" name="Frame4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F-2</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w:t>
      </w:r>
    </w:p>
    <w:p>
      <w:pPr>
        <w:pStyle w:val="TextBody"/>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(For Foreign Participants That Are Not Partnerships for U.S. Federal Income Tax Purposes)</w:t>
      </w:r>
    </w:p>
    <w:p>
      <w:pPr>
        <w:pStyle w:val="TextBody"/>
        <w:spacing w:lineRule="auto" w:line="288" w:before="0" w:after="48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Date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Reference is made to that certain Credit Agreement, dated as of January 14, 2021 (as amended,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among Kaltura, Inc., a Delaware corporation(the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collateral agent for such Lenders (in such capacities, together with any successors and assigns in such capacities;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and SVB as the Issuing Lender and the Swingline Lender.</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certificate to be duly executed and delivered by its proper and duly authorized signatory as of the day and year first written above.</w:t>
      </w:r>
    </w:p>
    <w:tbl>
      <w:tblPr>
        <w:tblW w:w="2233" w:type="dxa"/>
        <w:jc w:val="right"/>
        <w:tblInd w:w="0" w:type="dxa"/>
        <w:tblCellMar>
          <w:top w:w="28" w:type="dxa"/>
          <w:left w:w="28" w:type="dxa"/>
          <w:bottom w:w="28" w:type="dxa"/>
          <w:right w:w="28" w:type="dxa"/>
        </w:tblCellMar>
      </w:tblPr>
      <w:tblGrid>
        <w:gridCol w:w="386"/>
        <w:gridCol w:w="340"/>
        <w:gridCol w:w="340"/>
        <w:gridCol w:w="340"/>
        <w:gridCol w:w="340"/>
        <w:gridCol w:w="487"/>
      </w:tblGrid>
      <w:tr>
        <w:trPr/>
        <w:tc>
          <w:tcPr>
            <w:tcW w:w="38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r>
      <w:tr>
        <w:trPr/>
        <w:tc>
          <w:tcPr>
            <w:tcW w:w="22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Participant] </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1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415" name="Frame4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F-3</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w:t>
      </w:r>
    </w:p>
    <w:p>
      <w:pPr>
        <w:pStyle w:val="TextBody"/>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(For Foreign Participants That Are Partnerships for U.S. Federal Income Tax Purposes)</w:t>
      </w:r>
    </w:p>
    <w:p>
      <w:pPr>
        <w:pStyle w:val="TextBody"/>
        <w:spacing w:lineRule="auto" w:line="288" w:before="0" w:after="48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Date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Reference is made to that certain Credit Agreement, dated as of January 14, 2021 (as amended,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among Kaltura, Inc., a Delaware corporation(the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collateral agent for such Lenders (in such capacities, together with any successors and assigns in such capacities;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and SVB as the Issuing Lender and the Swingline Lender.</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certificate to be duly executed and delivered by its proper and duly authorized signatory as of the day and year first written above.</w:t>
      </w:r>
    </w:p>
    <w:tbl>
      <w:tblPr>
        <w:tblW w:w="2174" w:type="dxa"/>
        <w:jc w:val="right"/>
        <w:tblInd w:w="0" w:type="dxa"/>
        <w:tblCellMar>
          <w:top w:w="28" w:type="dxa"/>
          <w:left w:w="28" w:type="dxa"/>
          <w:bottom w:w="28" w:type="dxa"/>
          <w:right w:w="28" w:type="dxa"/>
        </w:tblCellMar>
      </w:tblPr>
      <w:tblGrid>
        <w:gridCol w:w="376"/>
        <w:gridCol w:w="331"/>
        <w:gridCol w:w="331"/>
        <w:gridCol w:w="331"/>
        <w:gridCol w:w="331"/>
        <w:gridCol w:w="474"/>
      </w:tblGrid>
      <w:tr>
        <w:trPr/>
        <w:tc>
          <w:tcPr>
            <w:tcW w:w="37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217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tc>
      </w:tr>
      <w:tr>
        <w:trPr/>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1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416" name="Frame4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F-4</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U.S. TAX COMPLIANCE CERTIFICATE</w:t>
      </w:r>
    </w:p>
    <w:p>
      <w:pPr>
        <w:pStyle w:val="TextBody"/>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(For Foreign Lenders That Are Partnerships for U.S. Federal Income Tax Purposes)</w:t>
      </w:r>
    </w:p>
    <w:p>
      <w:pPr>
        <w:pStyle w:val="TextBody"/>
        <w:spacing w:lineRule="auto" w:line="288" w:before="0" w:after="48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Date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Reference is made to that certain Credit Agreement, dated as of January 14, 2021 (as amended,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among Kaltura, Inc., a Delaware corporation(the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collateral agent for such Lenders (in such capacities, together with any successors and assigns in such capacities;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and SVB as the Issuing Lender and the Swingline Lender.</w:t>
      </w:r>
    </w:p>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certificate to be duly executed and delivered by its proper and duly authorized signatory as of the day and year first written above.</w:t>
      </w:r>
    </w:p>
    <w:tbl>
      <w:tblPr>
        <w:tblW w:w="1902" w:type="dxa"/>
        <w:jc w:val="right"/>
        <w:tblInd w:w="0" w:type="dxa"/>
        <w:tblCellMar>
          <w:top w:w="28" w:type="dxa"/>
          <w:left w:w="28" w:type="dxa"/>
          <w:bottom w:w="28" w:type="dxa"/>
          <w:right w:w="28" w:type="dxa"/>
        </w:tblCellMar>
      </w:tblPr>
      <w:tblGrid>
        <w:gridCol w:w="329"/>
        <w:gridCol w:w="290"/>
        <w:gridCol w:w="290"/>
        <w:gridCol w:w="290"/>
        <w:gridCol w:w="290"/>
        <w:gridCol w:w="413"/>
      </w:tblGrid>
      <w:tr>
        <w:trPr/>
        <w:tc>
          <w:tcPr>
            <w:tcW w:w="32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90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Lender] </w:t>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417" name="Frame4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G</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418" name="Frame4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2"/>
        </w:rPr>
      </w:pPr>
      <w:r>
        <w:rPr>
          <w:rFonts w:ascii="Times New Roman;sans-serif" w:hAnsi="Times New Roman;sans-serif"/>
          <w:b/>
          <w:color w:val="000000"/>
          <w:sz w:val="22"/>
        </w:rPr>
        <w:t>EXHIBIT H-1</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REVOLVING LOAN NOTE</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THIS REVOLVING LOAN NOTE AND THE OBLIGATIONS REPRESENTED HEREBY MAY NOT BE TRANSFERRED EXCEPT IN COMPLIANCE WITH THE TERMS AND PROVISIONS OF THE CREDIT AGREEMENT REFERRED TO BELOW. TRANSFERS OF THIS REVOLVING LOAN NOTE AND THE OBLIGATIONS REPRESENTED HEREBY MUST BE RECORDED IN THE REVOLVING LOAN REGISTER MAINTAINED BY THE ADMINISTRATIVE AGENT PURSUANT TO THE TERMS OF SUCH CREDIT AGREEMENT.</w:t>
      </w:r>
    </w:p>
    <w:tbl>
      <w:tblPr>
        <w:tblW w:w="3795" w:type="dxa"/>
        <w:jc w:val="left"/>
        <w:tblInd w:w="0" w:type="dxa"/>
        <w:tblCellMar>
          <w:top w:w="28" w:type="dxa"/>
          <w:left w:w="28" w:type="dxa"/>
          <w:bottom w:w="28" w:type="dxa"/>
          <w:right w:w="28" w:type="dxa"/>
        </w:tblCellMar>
      </w:tblPr>
      <w:tblGrid>
        <w:gridCol w:w="554"/>
        <w:gridCol w:w="487"/>
        <w:gridCol w:w="489"/>
        <w:gridCol w:w="663"/>
        <w:gridCol w:w="663"/>
        <w:gridCol w:w="939"/>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tc>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Santa Clara, California</w:t>
            </w:r>
          </w:p>
          <w:p>
            <w:pPr>
              <w:pStyle w:val="TableContents"/>
              <w:spacing w:lineRule="auto" w:line="288" w:before="0" w:after="0"/>
              <w:jc w:val="righ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 20[</w:t>
            </w:r>
            <w:r>
              <w:rPr>
                <w:color w:val="000000"/>
                <w:u w:val="single"/>
              </w:rPr>
              <w:t>     </w:t>
            </w:r>
            <w:r>
              <w:rPr>
                <w:rFonts w:ascii="Times New Roman;sans-serif" w:hAnsi="Times New Roman;sans-serif"/>
                <w:b w:val="false"/>
                <w:color w:val="000000"/>
                <w:sz w:val="22"/>
              </w:rPr>
              <w:t>]</w:t>
            </w:r>
          </w:p>
        </w:tc>
      </w:tr>
    </w:tbl>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FOR VALUE RECEIVED, the undersigned, KALTURA, INC., a Delaware corporation (the </w:t>
      </w:r>
      <w:r>
        <w:rPr>
          <w:color w:val="000000"/>
        </w:rPr>
        <w:t>“</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hereby unconditionally promises to pay to [________] (the “</w:t>
      </w:r>
      <w:r>
        <w:rPr>
          <w:rFonts w:ascii="Times New Roman;sans-serif" w:hAnsi="Times New Roman;sans-serif"/>
          <w:b/>
          <w:i/>
          <w:color w:val="000000"/>
          <w:sz w:val="22"/>
        </w:rPr>
        <w:t>Lender</w:t>
      </w:r>
      <w:r>
        <w:rPr>
          <w:color w:val="000000"/>
        </w:rPr>
        <w:t>”</w:t>
      </w:r>
      <w:r>
        <w:rPr>
          <w:rFonts w:ascii="Times New Roman;sans-serif" w:hAnsi="Times New Roman;sans-serif"/>
          <w:b w:val="false"/>
          <w:color w:val="000000"/>
          <w:sz w:val="22"/>
        </w:rPr>
        <w:t>) or its registered assigns at the Funding Office specified in the Credit Agreement (as hereinafter defined) in Dollars and in immediately available funds, on the Revolving Termination Date the principal amount of (a) [________] ($[________]), or, if less, (b) the aggregate unpaid principal amount of all Revolving Loans made by the Lender to the Borrower pursuant to Section 2.4 of the Credit Agreement referred to below. The Borrower further agrees to pay interest in like money at such office on the unpaid principal amount hereof from time to time outstanding at the rates and on the dates specified in the Credit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The holder of this Revolving Loan Note (this “</w:t>
      </w:r>
      <w:r>
        <w:rPr>
          <w:rFonts w:ascii="Times New Roman;sans-serif" w:hAnsi="Times New Roman;sans-serif"/>
          <w:b/>
          <w:i/>
          <w:color w:val="000000"/>
          <w:sz w:val="22"/>
        </w:rPr>
        <w:t>Note</w:t>
      </w:r>
      <w:r>
        <w:rPr>
          <w:color w:val="000000"/>
        </w:rPr>
        <w:t>”</w:t>
      </w:r>
      <w:r>
        <w:rPr>
          <w:rFonts w:ascii="Times New Roman;sans-serif" w:hAnsi="Times New Roman;sans-serif"/>
          <w:b w:val="false"/>
          <w:color w:val="000000"/>
          <w:sz w:val="22"/>
        </w:rPr>
        <w:t xml:space="preserve">) is authorized to indorse on the schedules annexed hereto and made a part hereof or on a continuation thereof which shall be attached hereto and made a part hereof the date, Type and amount of each Revolving Loan made pursuant to the Credit Agreement and the date and amount of each payment or prepayment of principal thereof, each continuation thereof, each conversion of all or a portion thereof to another Type and, in the case of Eurodollar Loans, the length of each Interest Period with respect thereto. Each such indorsement shall constitute </w:t>
      </w:r>
      <w:r>
        <w:rPr>
          <w:rFonts w:ascii="Times New Roman;sans-serif" w:hAnsi="Times New Roman;sans-serif"/>
          <w:b w:val="false"/>
          <w:color w:val="000000"/>
          <w:sz w:val="22"/>
          <w:u w:val="single"/>
        </w:rPr>
        <w:t>prima</w:t>
      </w:r>
      <w:r>
        <w:rPr>
          <w:color w:val="000000"/>
        </w:rPr>
        <w:t xml:space="preserve"> </w:t>
      </w:r>
      <w:r>
        <w:rPr>
          <w:rFonts w:ascii="Times New Roman;sans-serif" w:hAnsi="Times New Roman;sans-serif"/>
          <w:b w:val="false"/>
          <w:color w:val="000000"/>
          <w:sz w:val="22"/>
          <w:u w:val="single"/>
        </w:rPr>
        <w:t>facie</w:t>
      </w:r>
      <w:r>
        <w:rPr>
          <w:color w:val="000000"/>
        </w:rPr>
        <w:t xml:space="preserve"> </w:t>
      </w:r>
      <w:r>
        <w:rPr>
          <w:rFonts w:ascii="Times New Roman;sans-serif" w:hAnsi="Times New Roman;sans-serif"/>
          <w:b w:val="false"/>
          <w:color w:val="000000"/>
          <w:sz w:val="22"/>
        </w:rPr>
        <w:t>evidence of the accuracy of the information indorsed. The failure to make any such indorsement or any error in any such indorsement shall not affect the obligations of the Borrower in respect of any Revolving Loan.</w:t>
      </w:r>
    </w:p>
    <w:p>
      <w:pPr>
        <w:pStyle w:val="TextBody"/>
        <w:spacing w:lineRule="auto" w:line="288" w:before="0" w:after="180"/>
        <w:ind w:left="0" w:right="0" w:firstLine="720"/>
        <w:jc w:val="both"/>
        <w:rPr/>
      </w:pPr>
      <w:r>
        <w:rPr>
          <w:rFonts w:ascii="Times New Roman;sans-serif" w:hAnsi="Times New Roman;sans-serif"/>
          <w:b w:val="false"/>
          <w:color w:val="000000"/>
          <w:sz w:val="22"/>
        </w:rPr>
        <w:t>This Note (a) is one of the Revolving Loan Notes referred to in the Credit Agreement, dated as of January 14, 2021, among the Borrower,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SVB as the Issuing Lender and the Swingline Lender (as amended, restated, amended and restated,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occurrence and during the continuance of any one or more Events of Default, all principal and all accrued interest then remaining unpaid on this Note shall become, or may be declared to be, immediately due and payable, all as provided in the Credit Agreement.All parties now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19" name="Frame4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hereafter liable with respect to this Note, whether maker, principal, surety, guarantor, endorser or otherwise, hereby waive presentment, demand, protest and all other notices of any kind.</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NOTWITHSTANDING ANYTHING TO THE CONTRARY CONTAINED HEREIN OR IN THE CREDIT AGREEMENT, THIS NOTE MAY NOT BE TRANSFERRED EXCEPT PURSUANT TO AND IN ACCORDANCE WITH THE REGISTRATION AND OTHER PROVISIONS OF SECTION 10.6 OF THE CREDIT AGREEMENT.</w:t>
      </w:r>
    </w:p>
    <w:p>
      <w:pPr>
        <w:pStyle w:val="TextBody"/>
        <w:spacing w:lineRule="auto" w:line="288" w:before="0" w:after="18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THIS NOTE SHALL BE GOVERNED BY, AND CONSTRUED AND INTERPRETED IN ACCORDANCE WITH, THE INTERNAL LAWS (AND NOT THE CONFLICT OF LAW RULES) OF THE STATE OF NEW YORK.</w:t>
      </w:r>
    </w:p>
    <w:p>
      <w:pPr>
        <w:pStyle w:val="TextBody"/>
        <w:spacing w:before="0" w:after="0"/>
        <w:jc w:val="both"/>
        <w:rPr/>
      </w:pPr>
      <w:r>
        <w:rPr/>
      </w:r>
    </w:p>
    <w:p>
      <w:pPr>
        <w:pStyle w:val="TextBody"/>
        <w:spacing w:before="0" w:after="0"/>
        <w:jc w:val="both"/>
        <w:rPr/>
      </w:pPr>
      <w:r>
        <w:rPr/>
      </w:r>
    </w:p>
    <w:tbl>
      <w:tblPr>
        <w:tblW w:w="1845" w:type="dxa"/>
        <w:jc w:val="right"/>
        <w:tblInd w:w="0" w:type="dxa"/>
        <w:tblCellMar>
          <w:top w:w="28" w:type="dxa"/>
          <w:left w:w="28" w:type="dxa"/>
          <w:bottom w:w="28" w:type="dxa"/>
          <w:right w:w="28" w:type="dxa"/>
        </w:tblCellMar>
      </w:tblPr>
      <w:tblGrid>
        <w:gridCol w:w="320"/>
        <w:gridCol w:w="281"/>
        <w:gridCol w:w="281"/>
        <w:gridCol w:w="281"/>
        <w:gridCol w:w="281"/>
        <w:gridCol w:w="401"/>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184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KALTURA, INC</w:t>
            </w:r>
          </w:p>
        </w:tc>
      </w:tr>
      <w:tr>
        <w:trPr/>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6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H-2</w:t>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20" name="Frame4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SWINGLINE LOAN NOTE</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THIS SWINGLINE LOAN NOTE AND THE OBLIGATIONS REPRESENTED HEREBY MAY NOT BE TRANSFERRED EXCEPT IN COMPLIANCE WITH THE TERMS AND PROVISIONS OF THE CREDIT AGREEMENT REFERRED TO BELOW. TRANSFERS OF THIS SWINGLINE LOAN NOTE AND THE OBLIGATIONS REPRESENTED HEREBY MUST BE RECORDED IN THE REVOLVING LOAN REGISTER MAINTAINED BY THE ADMINISTRATIVE AGENT PURSUANT TO THE TERMS OF SUCH CREDIT AGREEMENT.</w:t>
      </w:r>
    </w:p>
    <w:tbl>
      <w:tblPr>
        <w:tblW w:w="3795" w:type="dxa"/>
        <w:jc w:val="left"/>
        <w:tblInd w:w="0" w:type="dxa"/>
        <w:tblCellMar>
          <w:top w:w="28" w:type="dxa"/>
          <w:left w:w="28" w:type="dxa"/>
          <w:bottom w:w="28" w:type="dxa"/>
          <w:right w:w="28" w:type="dxa"/>
        </w:tblCellMar>
      </w:tblPr>
      <w:tblGrid>
        <w:gridCol w:w="554"/>
        <w:gridCol w:w="487"/>
        <w:gridCol w:w="489"/>
        <w:gridCol w:w="663"/>
        <w:gridCol w:w="663"/>
        <w:gridCol w:w="939"/>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tc>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Santa Clara, California</w:t>
            </w:r>
          </w:p>
          <w:p>
            <w:pPr>
              <w:pStyle w:val="TableContents"/>
              <w:spacing w:lineRule="auto" w:line="288" w:before="0" w:after="0"/>
              <w:jc w:val="righ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 20[</w:t>
            </w:r>
            <w:r>
              <w:rPr>
                <w:color w:val="000000"/>
                <w:u w:val="single"/>
              </w:rPr>
              <w:t>     </w:t>
            </w:r>
            <w:r>
              <w:rPr>
                <w:rFonts w:ascii="Times New Roman;sans-serif" w:hAnsi="Times New Roman;sans-serif"/>
                <w:b w:val="false"/>
                <w:color w:val="000000"/>
                <w:sz w:val="22"/>
              </w:rPr>
              <w:t>]</w:t>
            </w:r>
          </w:p>
        </w:tc>
      </w:tr>
    </w:tbl>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FOR VALUE RECEIVED, the undersigned, KALTURA, INC., a Delaware corporation (the </w:t>
      </w:r>
      <w:r>
        <w:rPr>
          <w:color w:val="000000"/>
        </w:rPr>
        <w:t>“</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hereby unconditionally promises to pay to SILICON VALLEY BANK (the “</w:t>
      </w:r>
      <w:r>
        <w:rPr>
          <w:rFonts w:ascii="Times New Roman;sans-serif" w:hAnsi="Times New Roman;sans-serif"/>
          <w:b/>
          <w:i/>
          <w:color w:val="000000"/>
          <w:sz w:val="22"/>
        </w:rPr>
        <w:t>Lender</w:t>
      </w:r>
      <w:r>
        <w:rPr>
          <w:color w:val="000000"/>
        </w:rPr>
        <w:t>”</w:t>
      </w:r>
      <w:r>
        <w:rPr>
          <w:rFonts w:ascii="Times New Roman;sans-serif" w:hAnsi="Times New Roman;sans-serif"/>
          <w:b w:val="false"/>
          <w:color w:val="000000"/>
          <w:sz w:val="22"/>
        </w:rPr>
        <w:t>) or its registered assigns at the Funding Office specified in the Credit Agreement (as hereinafter defined) in Dollars and in immediately available funds, on the Revolving Termination Date, the principal amount of (a) [</w:t>
      </w:r>
      <w:r>
        <w:rPr>
          <w:color w:val="000000"/>
          <w:u w:val="single"/>
        </w:rPr>
        <w:t>                     </w:t>
      </w:r>
      <w:r>
        <w:rPr>
          <w:rFonts w:ascii="Times New Roman;sans-serif" w:hAnsi="Times New Roman;sans-serif"/>
          <w:b w:val="false"/>
          <w:color w:val="000000"/>
          <w:sz w:val="22"/>
        </w:rPr>
        <w:t>] ($[</w:t>
      </w:r>
      <w:r>
        <w:rPr>
          <w:color w:val="000000"/>
          <w:u w:val="single"/>
        </w:rPr>
        <w:t>                 </w:t>
      </w:r>
      <w:r>
        <w:rPr>
          <w:rFonts w:ascii="Times New Roman;sans-serif" w:hAnsi="Times New Roman;sans-serif"/>
          <w:b w:val="false"/>
          <w:color w:val="000000"/>
          <w:sz w:val="22"/>
        </w:rPr>
        <w:t>]), or, if less, (b) the aggregate unpaid principal amount of all Swingline Loans made by the Lender to the Borrower pursuant to Section 2.6 of the Credit Agreement referred to below. The Borrower further agrees to pay interest in like money at such office on the unpaid principal amount hereof from time to time outstanding at the rates and on the dates specified in the Credit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The holder of this Swingline Loan Note (this “</w:t>
      </w:r>
      <w:r>
        <w:rPr>
          <w:rFonts w:ascii="Times New Roman;sans-serif" w:hAnsi="Times New Roman;sans-serif"/>
          <w:b/>
          <w:i/>
          <w:color w:val="000000"/>
          <w:sz w:val="22"/>
        </w:rPr>
        <w:t>Note</w:t>
      </w:r>
      <w:r>
        <w:rPr>
          <w:color w:val="000000"/>
        </w:rPr>
        <w:t>”</w:t>
      </w:r>
      <w:r>
        <w:rPr>
          <w:rFonts w:ascii="Times New Roman;sans-serif" w:hAnsi="Times New Roman;sans-serif"/>
          <w:b w:val="false"/>
          <w:color w:val="000000"/>
          <w:sz w:val="22"/>
        </w:rPr>
        <w:t xml:space="preserve">) is authorized to indorse on the schedules annexed hereto and made a part hereof or on a continuation thereof which shall be attached hereto and made a part hereof the date and amount of each Swingline Loan made pursuant to the Credit Agreement and the date and amount of each payment or prepayment of principal thereof. Each such indorsement shall constitute </w:t>
      </w:r>
      <w:r>
        <w:rPr>
          <w:rFonts w:ascii="Times New Roman;sans-serif" w:hAnsi="Times New Roman;sans-serif"/>
          <w:b w:val="false"/>
          <w:color w:val="000000"/>
          <w:sz w:val="22"/>
          <w:u w:val="single"/>
        </w:rPr>
        <w:t>prima</w:t>
      </w:r>
      <w:r>
        <w:rPr>
          <w:color w:val="000000"/>
        </w:rPr>
        <w:t xml:space="preserve"> </w:t>
      </w:r>
      <w:r>
        <w:rPr>
          <w:rFonts w:ascii="Times New Roman;sans-serif" w:hAnsi="Times New Roman;sans-serif"/>
          <w:b w:val="false"/>
          <w:color w:val="000000"/>
          <w:sz w:val="22"/>
          <w:u w:val="single"/>
        </w:rPr>
        <w:t>facie</w:t>
      </w:r>
      <w:r>
        <w:rPr>
          <w:color w:val="000000"/>
        </w:rPr>
        <w:t xml:space="preserve"> </w:t>
      </w:r>
      <w:r>
        <w:rPr>
          <w:rFonts w:ascii="Times New Roman;sans-serif" w:hAnsi="Times New Roman;sans-serif"/>
          <w:b w:val="false"/>
          <w:color w:val="000000"/>
          <w:sz w:val="22"/>
        </w:rPr>
        <w:t>evidence of the accuracy of the information indorsed. The failure to make any such indorsement or any error in any such indorsement shall not affect the obligations of the Borrower in respect of any Swingline Loan.</w:t>
      </w:r>
    </w:p>
    <w:p>
      <w:pPr>
        <w:pStyle w:val="TextBody"/>
        <w:spacing w:lineRule="auto" w:line="288" w:before="0" w:after="180"/>
        <w:ind w:left="0" w:right="0" w:firstLine="720"/>
        <w:rPr/>
      </w:pPr>
      <w:r>
        <w:rPr>
          <w:rFonts w:ascii="Times New Roman;sans-serif" w:hAnsi="Times New Roman;sans-serif"/>
          <w:b w:val="false"/>
          <w:color w:val="000000"/>
          <w:sz w:val="22"/>
        </w:rPr>
        <w:t>This Note (a) is the Swingline Loan Note referred to in the Credit Agreement, dated as of January 14, 2021, among the Borrower,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SVB as the Issuing Lender and the Swingline Lender (as amended, restated, amended and restated,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Upon the occurrence and during the continuance of any one or more Events of Default, all principal and all accrued interest then remaining unpaid on this Note shall become, or may be declared to be, immediately due and payable, all as provided in the Credit Agreement.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parties now and hereafter liable with respect to this Note, whether maker, principal, surety, guarantor, indorser or otherwise, hereby waive presentment, demand, protest and all other notices of </w:t>
      </w:r>
      <w:r>
        <w:br w:type="page"/>
      </w:r>
    </w:p>
    <w:p>
      <w:pPr>
        <w:pStyle w:val="TextBody"/>
        <w:spacing w:before="0" w:after="0"/>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260"/>
                <wp:effectExtent l="0" t="0" r="0" b="0"/>
                <wp:wrapNone/>
                <wp:docPr id="421" name="Frame4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any kind.Unless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NOTWITHSTANDING ANYTHING TO THE CONTRARY CONTAINED HEREIN OR IN THE CREDIT AGREEMENT, THIS NOTE MAY NOT BE TRANSFERRED EXCEPT PURSUANT TO AND IN ACCORDANCE WITH THE REGISTRATION AND OTHER PROVISIONS OF SECTION 10.6 OF THE CREDIT AGREEMENT.</w:t>
      </w:r>
    </w:p>
    <w:p>
      <w:pPr>
        <w:pStyle w:val="TextBody"/>
        <w:spacing w:lineRule="auto" w:line="288" w:before="0" w:after="48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THIS NOTE SHALL BE GOVERNED BY, AND CONSTRUED AND INTERPRETED IN ACCORDANCE WITH, THE INTERNAL LAWS (AND NOT THE CONFLICT OF LAW RULES) OF THE STATE OF NEW YORK.</w:t>
      </w:r>
    </w:p>
    <w:tbl>
      <w:tblPr>
        <w:tblW w:w="1845" w:type="dxa"/>
        <w:jc w:val="right"/>
        <w:tblInd w:w="0" w:type="dxa"/>
        <w:tblCellMar>
          <w:top w:w="28" w:type="dxa"/>
          <w:left w:w="28" w:type="dxa"/>
          <w:bottom w:w="28" w:type="dxa"/>
          <w:right w:w="28" w:type="dxa"/>
        </w:tblCellMar>
      </w:tblPr>
      <w:tblGrid>
        <w:gridCol w:w="320"/>
        <w:gridCol w:w="281"/>
        <w:gridCol w:w="281"/>
        <w:gridCol w:w="281"/>
        <w:gridCol w:w="281"/>
        <w:gridCol w:w="401"/>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184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KALTURA, INC</w:t>
            </w:r>
          </w:p>
        </w:tc>
      </w:tr>
      <w:tr>
        <w:trPr/>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6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1" w:before="76"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H-3</w:t>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422" name="Frame4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 xml:space="preserve">FORM OF TERM LOAN NOTE </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THIS TERM LOAN NOTE AND THE OBLIGATIONS REPRESENTED HEREBY MAY NOT BE TRANSFERRED EXCEPT IN COMPLIANCE WITH THE TERMS AND PROVISIONS OF THE CREDIT AGREEMENT REFERRED TO BELOW. TRANSFERS OF THIS TERM LOAN NOTE AND THE OBLIGATIONS REPRESENTED HEREBY MUST BE RECORDED IN THE TERM LOAN REGISTER MAINTAINED BY THE ADMINISTRATIVE AGENT PURSUANT TO THE TERMS OF SUCH CREDIT AGREEMENT.</w:t>
      </w:r>
    </w:p>
    <w:tbl>
      <w:tblPr>
        <w:tblW w:w="3975" w:type="dxa"/>
        <w:jc w:val="left"/>
        <w:tblInd w:w="0" w:type="dxa"/>
        <w:tblCellMar>
          <w:top w:w="28" w:type="dxa"/>
          <w:left w:w="28" w:type="dxa"/>
          <w:bottom w:w="28" w:type="dxa"/>
          <w:right w:w="28" w:type="dxa"/>
        </w:tblCellMar>
      </w:tblPr>
      <w:tblGrid>
        <w:gridCol w:w="620"/>
        <w:gridCol w:w="545"/>
        <w:gridCol w:w="545"/>
        <w:gridCol w:w="661"/>
        <w:gridCol w:w="661"/>
        <w:gridCol w:w="943"/>
      </w:tblGrid>
      <w:tr>
        <w:trPr/>
        <w:tc>
          <w:tcPr>
            <w:tcW w:w="62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tc>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Santa Clara, California</w:t>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[___] [__]. 20[__]</w:t>
            </w:r>
          </w:p>
        </w:tc>
      </w:tr>
    </w:tbl>
    <w:p>
      <w:pPr>
        <w:pStyle w:val="TextBody"/>
        <w:spacing w:lineRule="auto" w:line="288" w:before="0" w:after="180"/>
        <w:ind w:left="0" w:right="0" w:firstLine="720"/>
        <w:jc w:val="both"/>
        <w:rPr/>
      </w:pPr>
      <w:r>
        <w:rPr>
          <w:rFonts w:ascii="Times New Roman;sans-serif" w:hAnsi="Times New Roman;sans-serif"/>
          <w:b w:val="false"/>
          <w:color w:val="000000"/>
          <w:sz w:val="22"/>
        </w:rPr>
        <w:t xml:space="preserve">FOR VALUE RECEIVED, the undersigned, KALTURA, INC., a Delaware corporation (the </w:t>
      </w:r>
      <w:r>
        <w:rPr>
          <w:color w:val="000000"/>
        </w:rPr>
        <w:t>“</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hereby unconditionally promises to pay to [_______] (the “</w:t>
      </w:r>
      <w:r>
        <w:rPr>
          <w:rFonts w:ascii="Times New Roman;sans-serif" w:hAnsi="Times New Roman;sans-serif"/>
          <w:b/>
          <w:i/>
          <w:color w:val="000000"/>
          <w:sz w:val="22"/>
        </w:rPr>
        <w:t>Lender</w:t>
      </w:r>
      <w:r>
        <w:rPr>
          <w:color w:val="000000"/>
        </w:rPr>
        <w:t>”</w:t>
      </w:r>
      <w:r>
        <w:rPr>
          <w:rFonts w:ascii="Times New Roman;sans-serif" w:hAnsi="Times New Roman;sans-serif"/>
          <w:b w:val="false"/>
          <w:color w:val="000000"/>
          <w:sz w:val="22"/>
        </w:rPr>
        <w:t>)or its registered assigns at the Funding Office specified in the Credit Agreement (as hereinafter defined) in Dollars and in immediately available funds, the principal amount of (a) [_______] ($[_______]), or, if less, (b) the aggregate unpaid principal amount of the Term Loans made by the Lender pursuant to the Credit Agreement referred to below. The principal amount hereof shall be paid in the amounts and on the dates specified in Section 2.3 of the Credit Agreement. The Borrower further agrees to pay interest in like money at such office on the unpaid principal amount hereof from time to time outstanding at the rates and on the dates specified in the Credit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The holder of this Term Loan Note (this “</w:t>
      </w:r>
      <w:r>
        <w:rPr>
          <w:rFonts w:ascii="Times New Roman;sans-serif" w:hAnsi="Times New Roman;sans-serif"/>
          <w:b/>
          <w:i/>
          <w:color w:val="000000"/>
          <w:sz w:val="22"/>
        </w:rPr>
        <w:t>Note</w:t>
      </w:r>
      <w:r>
        <w:rPr>
          <w:color w:val="000000"/>
        </w:rPr>
        <w:t>”</w:t>
      </w:r>
      <w:r>
        <w:rPr>
          <w:rFonts w:ascii="Times New Roman;sans-serif" w:hAnsi="Times New Roman;sans-serif"/>
          <w:b w:val="false"/>
          <w:color w:val="000000"/>
          <w:sz w:val="22"/>
        </w:rPr>
        <w:t xml:space="preserve">) is authorized to indorse on the schedules annexed hereto and made a part hereof or on a continuation thereof which shall be attached hereto and made a part hereof the date, Type and amount of the Term Loan and the date and amount of each payment or prepayment of principal with respect thereto, each conversion of all or a portion thereof to another Type, each continuation of all or a portion thereof as the same Type and, in the case of Eurodollar Loans, the length of each Interest Period with respect thereto. Each such indorsement shall constitute </w:t>
      </w:r>
      <w:r>
        <w:rPr>
          <w:rFonts w:ascii="Times New Roman;sans-serif" w:hAnsi="Times New Roman;sans-serif"/>
          <w:b w:val="false"/>
          <w:i/>
          <w:color w:val="000000"/>
          <w:sz w:val="22"/>
        </w:rPr>
        <w:t xml:space="preserve">prima facie </w:t>
      </w:r>
      <w:r>
        <w:rPr>
          <w:rFonts w:ascii="Times New Roman;sans-serif" w:hAnsi="Times New Roman;sans-serif"/>
          <w:b w:val="false"/>
          <w:color w:val="000000"/>
          <w:sz w:val="22"/>
        </w:rPr>
        <w:t>evidence of the accuracy of the information indorsed. The failure to make any such indorsement or any error in any such indorsement shall not affect the obligations of the Borrower in respect of the Term Loan.</w:t>
      </w:r>
    </w:p>
    <w:p>
      <w:pPr>
        <w:pStyle w:val="TextBody"/>
        <w:spacing w:lineRule="auto" w:line="288" w:before="0" w:after="180"/>
        <w:ind w:left="0" w:right="0" w:firstLine="720"/>
        <w:jc w:val="both"/>
        <w:rPr/>
      </w:pPr>
      <w:r>
        <w:rPr>
          <w:rFonts w:ascii="Times New Roman;sans-serif" w:hAnsi="Times New Roman;sans-serif"/>
          <w:b w:val="false"/>
          <w:color w:val="000000"/>
          <w:sz w:val="22"/>
        </w:rPr>
        <w:t>This Note (a) is one of the Term Loan Notes referred to in the Credit Agreement, dated as of January 14, 2021, among the Borrower, the Lenders party thereto, Silicon Valley Bank (“</w:t>
      </w:r>
      <w:r>
        <w:rPr>
          <w:rFonts w:ascii="Times New Roman;sans-serif" w:hAnsi="Times New Roman;sans-serif"/>
          <w:b/>
          <w:i/>
          <w:color w:val="000000"/>
          <w:sz w:val="22"/>
        </w:rPr>
        <w:t>SVB</w:t>
      </w:r>
      <w:r>
        <w:rPr>
          <w:color w:val="000000"/>
        </w:rPr>
        <w:t>”</w:t>
      </w:r>
      <w:r>
        <w:rPr>
          <w:rFonts w:ascii="Times New Roman;sans-serif" w:hAnsi="Times New Roman;sans-serif"/>
          <w:b w:val="false"/>
          <w:color w:val="000000"/>
          <w:sz w:val="22"/>
        </w:rPr>
        <w:t>), as Administrative Agent, and SVB as the Issuing Lender and the Swingline Lender (as amended, restated, amended and restated, supplemented or otherwise modified from time to time, the “</w:t>
      </w:r>
      <w:r>
        <w:rPr>
          <w:rFonts w:ascii="Times New Roman;sans-serif" w:hAnsi="Times New Roman;sans-serif"/>
          <w:b/>
          <w:i/>
          <w:color w:val="000000"/>
          <w:sz w:val="22"/>
        </w:rPr>
        <w:t>Credit Agreement</w:t>
      </w:r>
      <w:r>
        <w:rPr>
          <w:color w:val="000000"/>
        </w:rPr>
        <w:t>”</w:t>
      </w:r>
      <w:r>
        <w:rPr>
          <w:rFonts w:ascii="Times New Roman;sans-serif" w:hAnsi="Times New Roman;sans-serif"/>
          <w:b w:val="false"/>
          <w:color w:val="000000"/>
          <w:sz w:val="22"/>
        </w:rPr>
        <w: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Upon the occurrence and during the continuance of any one or more Events of Default, all principal and all accrued interest then remaining unpaid on this Note shall become, or may be declared to be, immediately due and payable, all as provided in the Credit Agreement.</w:t>
      </w:r>
      <w:r>
        <w:br w:type="page"/>
      </w:r>
    </w:p>
    <w:p>
      <w:pPr>
        <w:pStyle w:val="TextBody"/>
        <w:spacing w:lineRule="auto" w:line="261" w:before="76"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H-3</w:t>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423" name="Frame4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parties now and hereafter liable with respect to this Note, whether maker, principal, surety, guarantor, indorser or otherwise, hereby waive presentment, demand, protest and all other notices of any kind.</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spacing w:lineRule="auto" w:line="288" w:before="0" w:after="18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NOTWITHSTANDING ANYTHING TO THE CONTRARY CONTAINED HEREIN OR IN THE CREDIT AGREEMENT, THIS NOTE MAY NOT BE TRANSFERRED EXCEPT PURSUANT TO AND IN ACCORDANCE WITH THE REGISTRATION AND OTHER PROVISIONS OF SECTION 10.6 OF THE CREDIT AGREEMENT.</w:t>
      </w:r>
    </w:p>
    <w:p>
      <w:pPr>
        <w:pStyle w:val="TextBody"/>
        <w:spacing w:lineRule="auto" w:line="288" w:before="0" w:after="48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THIS NOTE SHALL BE GOVERNED BY, AND CONSTRUED AND INTERPRETED IN ACCORDANCE WITH, THE INTERNAL LAWS (AND NOT THE CONFLICT OF LAW RULES) OF THE STATE OF NEW YORK.</w:t>
      </w:r>
    </w:p>
    <w:tbl>
      <w:tblPr>
        <w:tblW w:w="1904" w:type="dxa"/>
        <w:jc w:val="right"/>
        <w:tblInd w:w="0" w:type="dxa"/>
        <w:tblCellMar>
          <w:top w:w="28" w:type="dxa"/>
          <w:left w:w="28" w:type="dxa"/>
          <w:bottom w:w="28" w:type="dxa"/>
          <w:right w:w="28" w:type="dxa"/>
        </w:tblCellMar>
      </w:tblPr>
      <w:tblGrid>
        <w:gridCol w:w="330"/>
        <w:gridCol w:w="290"/>
        <w:gridCol w:w="290"/>
        <w:gridCol w:w="290"/>
        <w:gridCol w:w="290"/>
        <w:gridCol w:w="414"/>
      </w:tblGrid>
      <w:tr>
        <w:trPr/>
        <w:tc>
          <w:tcPr>
            <w:tcW w:w="3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190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C0A0A"/>
                <w:sz w:val="22"/>
              </w:rPr>
            </w:pPr>
            <w:r>
              <w:rPr>
                <w:rFonts w:ascii="Times New Roman;sans-serif" w:hAnsi="Times New Roman;sans-serif"/>
                <w:b/>
                <w:color w:val="0C0A0A"/>
                <w:sz w:val="22"/>
              </w:rPr>
              <w:t>KALTURA, INC.</w:t>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99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center"/>
        <w:rPr/>
      </w:pPr>
      <w:r>
        <w:rPr/>
      </w:r>
      <w:r>
        <w:br w:type="page"/>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I</w:t>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260"/>
                <wp:effectExtent l="0" t="0" r="0" b="0"/>
                <wp:wrapNone/>
                <wp:docPr id="424" name="Frame4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9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FORM OF BORROWING BASE CERTIFICATE</w:t>
      </w:r>
    </w:p>
    <w:p>
      <w:pPr>
        <w:pStyle w:val="TextBody"/>
        <w:spacing w:lineRule="auto" w:line="288" w:before="0" w:after="180"/>
        <w:jc w:val="center"/>
        <w:rPr>
          <w:rFonts w:ascii="Times New Roman;sans-serif" w:hAnsi="Times New Roman;sans-serif"/>
          <w:b w:val="false"/>
          <w:i/>
          <w:color w:val="000000"/>
          <w:sz w:val="22"/>
        </w:rPr>
      </w:pPr>
      <w:r>
        <w:rPr>
          <w:rFonts w:ascii="Times New Roman;sans-serif" w:hAnsi="Times New Roman;sans-serif"/>
          <w:b w:val="false"/>
          <w:i/>
          <w:color w:val="000000"/>
          <w:sz w:val="22"/>
        </w:rPr>
        <w:t>(Please see attached form)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1" w:before="76"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J</w:t>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425" name="Frame4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1" w:after="283"/>
        <w:jc w:val="center"/>
        <w:rPr>
          <w:rFonts w:ascii="Times New Roman;sans-serif" w:hAnsi="Times New Roman;sans-serif"/>
          <w:b/>
          <w:color w:val="000000"/>
          <w:sz w:val="22"/>
        </w:rPr>
      </w:pPr>
      <w:r>
        <w:rPr>
          <w:rFonts w:ascii="Times New Roman;sans-serif" w:hAnsi="Times New Roman;sans-serif"/>
          <w:b/>
          <w:color w:val="000000"/>
          <w:sz w:val="22"/>
        </w:rPr>
        <w:t>FORM OF COLLATERAL INFORMATION CERTIFICATE</w:t>
      </w:r>
    </w:p>
    <w:p>
      <w:pPr>
        <w:pStyle w:val="TextBody"/>
        <w:spacing w:before="0" w:after="0"/>
        <w:rPr/>
      </w:pPr>
      <w:r>
        <w:rPr/>
      </w:r>
    </w:p>
    <w:p>
      <w:pPr>
        <w:pStyle w:val="TextBody"/>
        <w:spacing w:before="0" w:after="0"/>
        <w:rPr/>
      </w:pPr>
      <w:r>
        <w:rPr/>
      </w:r>
    </w:p>
    <w:p>
      <w:pPr>
        <w:pStyle w:val="TextBody"/>
        <w:spacing w:lineRule="auto" w:line="132" w:before="6"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(Please see attached form)</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260"/>
                <wp:effectExtent l="0" t="0" r="0" b="0"/>
                <wp:wrapNone/>
                <wp:docPr id="426" name="Frame4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720"/>
        <w:jc w:val="right"/>
        <w:rPr>
          <w:rFonts w:ascii="Times New Roman;sans-serif" w:hAnsi="Times New Roman;sans-serif"/>
          <w:b/>
          <w:color w:val="000000"/>
          <w:sz w:val="22"/>
        </w:rPr>
      </w:pPr>
      <w:r>
        <w:rPr>
          <w:rFonts w:ascii="Times New Roman;sans-serif" w:hAnsi="Times New Roman;sans-serif"/>
          <w:b/>
          <w:color w:val="000000"/>
          <w:sz w:val="22"/>
        </w:rPr>
        <w:t>EXHIBIT K</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NOTICE OF BORROWING</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KALTURA, INC.</w:t>
      </w:r>
    </w:p>
    <w:tbl>
      <w:tblPr>
        <w:tblW w:w="987" w:type="dxa"/>
        <w:jc w:val="right"/>
        <w:tblInd w:w="0" w:type="dxa"/>
        <w:tblCellMar>
          <w:top w:w="28" w:type="dxa"/>
          <w:left w:w="28" w:type="dxa"/>
          <w:bottom w:w="28" w:type="dxa"/>
          <w:right w:w="28" w:type="dxa"/>
        </w:tblCellMar>
      </w:tblPr>
      <w:tblGrid>
        <w:gridCol w:w="222"/>
        <w:gridCol w:w="196"/>
        <w:gridCol w:w="197"/>
        <w:gridCol w:w="109"/>
        <w:gridCol w:w="109"/>
        <w:gridCol w:w="154"/>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826" w:type="dxa"/>
        <w:jc w:val="left"/>
        <w:tblInd w:w="0" w:type="dxa"/>
        <w:tblCellMar>
          <w:top w:w="28" w:type="dxa"/>
          <w:left w:w="28" w:type="dxa"/>
          <w:bottom w:w="28" w:type="dxa"/>
          <w:right w:w="28" w:type="dxa"/>
        </w:tblCellMar>
      </w:tblPr>
      <w:tblGrid>
        <w:gridCol w:w="157"/>
        <w:gridCol w:w="137"/>
        <w:gridCol w:w="140"/>
        <w:gridCol w:w="109"/>
        <w:gridCol w:w="109"/>
        <w:gridCol w:w="109"/>
        <w:gridCol w:w="1189"/>
        <w:gridCol w:w="1189"/>
        <w:gridCol w:w="1687"/>
      </w:tblGrid>
      <w:tr>
        <w:trPr/>
        <w:tc>
          <w:tcPr>
            <w:tcW w:w="15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SILICON VALLEY BANK</w:t>
            </w:r>
          </w:p>
        </w:tc>
      </w:tr>
      <w:tr>
        <w:trPr/>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3003 Tasman Drive</w:t>
            </w:r>
          </w:p>
        </w:tc>
      </w:tr>
      <w:tr>
        <w:trPr/>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 Clara, CA 95054</w:t>
            </w:r>
          </w:p>
        </w:tc>
      </w:tr>
      <w:tr>
        <w:trPr/>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 Corporate Services Department</w:t>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RE:    Credit Agreement, dated as of January 14, 2021 (as amended, modified, supplemented or restated from time to time, the “Credit Agreement”), by and among Kaltura, Inc., a Delaware corporation (the “Borrower”), the Lenders party thereto, Silicon Valley Bank (“SVB”), as administrative agent and collateral agent for such Lenders (in such capacities, together with any successors and assigns in such capacities; the “Administrative Agent”), and SVB as the Issuing Lender and the Swingline Lender. Capitalized terms used but not otherwise defined herein shall have the respective meanings given to such terms in the Credit Agreement.</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undersigned refers to the Credit Agreement and hereby gives you irrevocable notice, pursuant to Section [2.2] [2.5] [2.7(a)] of the Credit Agreement, of the borrowing of a [Term Loan][Revolving Loan][Swingline Loan].</w:t>
      </w:r>
    </w:p>
    <w:p>
      <w:pPr>
        <w:pStyle w:val="TextBody"/>
        <w:spacing w:lineRule="auto" w:line="288" w:before="0" w:after="240"/>
        <w:ind w:left="0" w:right="0" w:firstLine="720"/>
        <w:rPr/>
      </w:pPr>
      <w:r>
        <w:rPr>
          <w:rFonts w:ascii="Times New Roman;sans-serif" w:hAnsi="Times New Roman;sans-serif"/>
          <w:b w:val="false"/>
          <w:color w:val="000000"/>
          <w:sz w:val="22"/>
        </w:rPr>
        <w:t>1.</w:t>
      </w:r>
      <w:r>
        <w:rPr>
          <w:rFonts w:ascii="Times New Roman;sans-serif" w:hAnsi="Times New Roman;sans-serif"/>
          <w:b w:val="false"/>
          <w:color w:val="000000"/>
          <w:sz w:val="22"/>
        </w:rPr>
        <w:t>The requested Borrowing Date, which shall be a Business Day, is _________________.</w:t>
      </w:r>
    </w:p>
    <w:p>
      <w:pPr>
        <w:pStyle w:val="TextBody"/>
        <w:spacing w:lineRule="auto" w:line="288" w:before="0" w:after="240"/>
        <w:ind w:left="0" w:right="0" w:firstLine="720"/>
        <w:rPr/>
      </w:pPr>
      <w:r>
        <w:rPr>
          <w:rFonts w:ascii="Times New Roman;sans-serif" w:hAnsi="Times New Roman;sans-serif"/>
          <w:b w:val="false"/>
          <w:color w:val="000000"/>
          <w:sz w:val="22"/>
        </w:rPr>
        <w:t>2.</w:t>
      </w:r>
      <w:r>
        <w:rPr>
          <w:rFonts w:ascii="Times New Roman;sans-serif" w:hAnsi="Times New Roman;sans-serif"/>
          <w:b w:val="false"/>
          <w:color w:val="000000"/>
          <w:sz w:val="22"/>
        </w:rPr>
        <w:t>The aggregate amount of the requested Loan is $_________________.</w:t>
      </w:r>
    </w:p>
    <w:p>
      <w:pPr>
        <w:pStyle w:val="TextBody"/>
        <w:spacing w:lineRule="auto" w:line="288" w:before="0" w:after="240"/>
        <w:ind w:left="0" w:right="0" w:firstLine="720"/>
        <w:rPr/>
      </w:pPr>
      <w:r>
        <w:rPr>
          <w:rFonts w:ascii="Times New Roman;sans-serif" w:hAnsi="Times New Roman;sans-serif"/>
          <w:b w:val="false"/>
          <w:color w:val="000000"/>
          <w:sz w:val="22"/>
        </w:rPr>
        <w:t>3.</w:t>
      </w:r>
      <w:r>
        <w:rPr>
          <w:rFonts w:ascii="Times New Roman;sans-serif" w:hAnsi="Times New Roman;sans-serif"/>
          <w:b w:val="false"/>
          <w:color w:val="000000"/>
          <w:sz w:val="22"/>
        </w:rPr>
        <w:t>The requested Loan shall consist of $_____________ Eurodollar Loans of ABR Loans and $___________ of</w:t>
      </w:r>
    </w:p>
    <w:p>
      <w:pPr>
        <w:pStyle w:val="TextBody"/>
        <w:spacing w:lineRule="auto" w:line="288" w:before="0" w:after="240"/>
        <w:ind w:left="0" w:right="0" w:firstLine="720"/>
        <w:rPr/>
      </w:pPr>
      <w:r>
        <w:rPr>
          <w:rFonts w:ascii="Times New Roman;sans-serif" w:hAnsi="Times New Roman;sans-serif"/>
          <w:b w:val="false"/>
          <w:color w:val="000000"/>
          <w:sz w:val="22"/>
        </w:rPr>
        <w:t>4.</w:t>
      </w:r>
      <w:r>
        <w:rPr>
          <w:rFonts w:ascii="Times New Roman;sans-serif" w:hAnsi="Times New Roman;sans-serif"/>
          <w:b w:val="false"/>
          <w:color w:val="000000"/>
          <w:sz w:val="22"/>
        </w:rPr>
        <w:t>The duration of the Interest Period for the Eurodollar Loans included in the requested Loan shall be ________________ [one][three][six] months.</w:t>
      </w:r>
    </w:p>
    <w:p>
      <w:pPr>
        <w:pStyle w:val="TextBody"/>
        <w:spacing w:lineRule="auto" w:line="288" w:before="0" w:after="240"/>
        <w:ind w:left="0" w:right="0" w:firstLine="720"/>
        <w:rPr/>
      </w:pPr>
      <w:r>
        <w:rPr>
          <w:rFonts w:ascii="Times New Roman;sans-serif" w:hAnsi="Times New Roman;sans-serif"/>
          <w:b w:val="false"/>
          <w:color w:val="000000"/>
          <w:sz w:val="22"/>
        </w:rPr>
        <w:t>5.</w:t>
      </w:r>
      <w:r>
        <w:rPr>
          <w:rFonts w:ascii="Times New Roman;sans-serif" w:hAnsi="Times New Roman;sans-serif"/>
          <w:b w:val="false"/>
          <w:color w:val="000000"/>
          <w:sz w:val="22"/>
        </w:rPr>
        <w:t>[Insert instructions for remittance of the proceeds of the applicable Loans to be borrowed]</w:t>
      </w:r>
    </w:p>
    <w:p>
      <w:pPr>
        <w:pStyle w:val="TextBody"/>
        <w:spacing w:lineRule="auto" w:line="288" w:before="0" w:after="240"/>
        <w:ind w:left="0" w:right="0" w:firstLine="720"/>
        <w:rPr/>
      </w:pPr>
      <w:r>
        <w:rPr>
          <w:rFonts w:ascii="Times New Roman;sans-serif" w:hAnsi="Times New Roman;sans-serif"/>
          <w:b w:val="false"/>
          <w:color w:val="000000"/>
          <w:sz w:val="22"/>
        </w:rPr>
        <w:t>6.</w:t>
      </w:r>
      <w:r>
        <w:rPr>
          <w:rFonts w:ascii="Times New Roman;sans-serif" w:hAnsi="Times New Roman;sans-serif"/>
          <w:b w:val="false"/>
          <w:color w:val="000000"/>
          <w:sz w:val="22"/>
        </w:rPr>
        <w:t>The undersigned, in his/her capacity as a Responsible Officer of the Borrower and not in his/her individual capacity, hereby certifies that the following statements are true on the date hereof, and will be true on the date of the proposed Loan before and after giving effect thereto, and to the application of the proceeds therefrom, as applicable:</w:t>
      </w:r>
    </w:p>
    <w:p>
      <w:pPr>
        <w:pStyle w:val="TextBody"/>
        <w:spacing w:lineRule="auto" w:line="288"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representation and warranty of each Loan Party contained in or pursuant to any Loan Document (i) to the extent qualified by materiality, is true and correct, and (ii) to the extent not qualified by materiality, is true and correct in all material respects, in each case, on and as of the date </w:t>
      </w:r>
      <w:r>
        <w:br w:type="page"/>
      </w:r>
    </w:p>
    <w:p>
      <w:pPr>
        <w:pStyle w:val="TextBody"/>
        <w:spacing w:before="0" w:after="0"/>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260"/>
                <wp:effectExtent l="0" t="0" r="0" b="0"/>
                <wp:wrapNone/>
                <wp:docPr id="427" name="Frame4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hereof as if made on and as of the date hereof, except to the extent such representations and warranties expressly relate to an earlier date, in which case such representations and warranties shall have been true and correct in all material respects as of such earlier date; [and]</w:t>
      </w:r>
    </w:p>
    <w:p>
      <w:pPr>
        <w:pStyle w:val="TextBody"/>
        <w:spacing w:lineRule="auto" w:line="288"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no Default or Event of Default exists or will occur after giving effect to the extensions of credit requested herein [; and]</w:t>
      </w:r>
    </w:p>
    <w:p>
      <w:pPr>
        <w:pStyle w:val="TextBody"/>
        <w:spacing w:lineRule="auto" w:line="288" w:before="0" w:after="240"/>
        <w:ind w:left="0" w:right="0" w:firstLine="720"/>
        <w:rPr/>
      </w:pPr>
      <w:r>
        <w:rPr>
          <w:rFonts w:ascii="Times New Roman;sans-serif" w:hAnsi="Times New Roman;sans-serif"/>
          <w:b w:val="false"/>
          <w:color w:val="000000"/>
          <w:sz w:val="22"/>
        </w:rPr>
        <w:t>[(c)</w:t>
      </w:r>
      <w:r>
        <w:rPr>
          <w:color w:val="000000"/>
        </w:rPr>
        <w:t xml:space="preserve"> </w:t>
      </w:r>
      <w:r>
        <w:rPr>
          <w:rFonts w:ascii="Times New Roman;sans-serif" w:hAnsi="Times New Roman;sans-serif"/>
          <w:b w:val="false"/>
          <w:color w:val="000000"/>
          <w:sz w:val="22"/>
        </w:rPr>
        <w:t>after giving effect to such Revolving Extension of Credit, the availability and borrowing limitations specified in Section 2.4 of the Credit Agreement will be satisfied.]</w:t>
      </w:r>
    </w:p>
    <w:p>
      <w:pPr>
        <w:pStyle w:val="TextBody"/>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260"/>
                <wp:effectExtent l="0" t="0" r="0" b="0"/>
                <wp:wrapNone/>
                <wp:docPr id="428" name="Frame4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notice to be duly executed and delivered by its proper and duly authorized officer as of the day and year first written above.</w:t>
      </w:r>
    </w:p>
    <w:tbl>
      <w:tblPr>
        <w:tblW w:w="1605" w:type="dxa"/>
        <w:jc w:val="right"/>
        <w:tblInd w:w="0" w:type="dxa"/>
        <w:tblCellMar>
          <w:top w:w="28" w:type="dxa"/>
          <w:left w:w="28" w:type="dxa"/>
          <w:bottom w:w="28" w:type="dxa"/>
          <w:right w:w="28" w:type="dxa"/>
        </w:tblCellMar>
      </w:tblPr>
      <w:tblGrid>
        <w:gridCol w:w="278"/>
        <w:gridCol w:w="244"/>
        <w:gridCol w:w="244"/>
        <w:gridCol w:w="244"/>
        <w:gridCol w:w="244"/>
        <w:gridCol w:w="351"/>
      </w:tblGrid>
      <w:tr>
        <w:trPr/>
        <w:tc>
          <w:tcPr>
            <w:tcW w:w="2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60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KALTURA, INC.</w:t>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8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1" w:before="31" w:after="283"/>
        <w:rPr>
          <w:rFonts w:ascii="Times New Roman;sans-serif" w:hAnsi="Times New Roman;sans-serif"/>
          <w:b w:val="false"/>
          <w:i/>
          <w:color w:val="000000"/>
          <w:sz w:val="22"/>
        </w:rPr>
      </w:pPr>
      <w:r>
        <w:rPr>
          <w:rFonts w:ascii="Times New Roman;sans-serif" w:hAnsi="Times New Roman;sans-serif"/>
          <w:b w:val="false"/>
          <w:i/>
          <w:color w:val="000000"/>
          <w:sz w:val="22"/>
        </w:rPr>
        <w:t>For internal Bank use only</w:t>
      </w:r>
    </w:p>
    <w:p>
      <w:pPr>
        <w:pStyle w:val="TextBody"/>
        <w:spacing w:before="19" w:after="283"/>
        <w:rPr/>
      </w:pPr>
      <w:r>
        <w:rPr/>
      </w:r>
    </w:p>
    <w:tbl>
      <w:tblPr>
        <w:tblW w:w="6837" w:type="dxa"/>
        <w:jc w:val="left"/>
        <w:tblInd w:w="0" w:type="dxa"/>
        <w:tblCellMar>
          <w:top w:w="28" w:type="dxa"/>
          <w:left w:w="28" w:type="dxa"/>
          <w:bottom w:w="28" w:type="dxa"/>
          <w:right w:w="28" w:type="dxa"/>
        </w:tblCellMar>
      </w:tblPr>
      <w:tblGrid>
        <w:gridCol w:w="662"/>
        <w:gridCol w:w="583"/>
        <w:gridCol w:w="585"/>
        <w:gridCol w:w="524"/>
        <w:gridCol w:w="524"/>
        <w:gridCol w:w="526"/>
        <w:gridCol w:w="664"/>
        <w:gridCol w:w="664"/>
        <w:gridCol w:w="666"/>
        <w:gridCol w:w="421"/>
        <w:gridCol w:w="421"/>
        <w:gridCol w:w="597"/>
      </w:tblGrid>
      <w:tr>
        <w:trPr/>
        <w:tc>
          <w:tcPr>
            <w:tcW w:w="66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Pricing</w:t>
            </w:r>
          </w:p>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Rate</w:t>
            </w:r>
          </w:p>
        </w:tc>
        <w:tc>
          <w:tcPr>
            <w:tcW w:w="19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Variance</w:t>
            </w:r>
          </w:p>
        </w:tc>
        <w:tc>
          <w:tcPr>
            <w:tcW w:w="14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Maturity Date</w:t>
            </w:r>
          </w:p>
        </w:tc>
      </w:tr>
      <w:tr>
        <w:trPr/>
        <w:tc>
          <w:tcPr>
            <w:tcW w:w="183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w:t>
            </w:r>
          </w:p>
        </w:tc>
        <w:tc>
          <w:tcPr>
            <w:tcW w:w="1439"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260"/>
                <wp:effectExtent l="0" t="0" r="0" b="0"/>
                <wp:wrapNone/>
                <wp:docPr id="429" name="Frame4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1" w:before="80" w:after="720"/>
        <w:jc w:val="right"/>
        <w:rPr>
          <w:rFonts w:ascii="Times New Roman;sans-serif" w:hAnsi="Times New Roman;sans-serif"/>
          <w:b/>
          <w:color w:val="000000"/>
          <w:sz w:val="22"/>
        </w:rPr>
      </w:pPr>
      <w:r>
        <w:rPr>
          <w:rFonts w:ascii="Times New Roman;sans-serif" w:hAnsi="Times New Roman;sans-serif"/>
          <w:b/>
          <w:color w:val="000000"/>
          <w:sz w:val="22"/>
        </w:rPr>
        <w:t>EXHIBIT L</w:t>
      </w:r>
    </w:p>
    <w:p>
      <w:pPr>
        <w:pStyle w:val="TextBody"/>
        <w:spacing w:lineRule="auto" w:line="556" w:before="0" w:after="240"/>
        <w:jc w:val="center"/>
        <w:rPr>
          <w:rFonts w:ascii="Times New Roman;sans-serif" w:hAnsi="Times New Roman;sans-serif"/>
          <w:b/>
          <w:color w:val="000000"/>
          <w:sz w:val="22"/>
        </w:rPr>
      </w:pPr>
      <w:r>
        <w:rPr>
          <w:rFonts w:ascii="Times New Roman;sans-serif" w:hAnsi="Times New Roman;sans-serif"/>
          <w:b/>
          <w:color w:val="000000"/>
          <w:sz w:val="22"/>
        </w:rPr>
        <w:t>FORM OF NOTICE OF CONVERSION/CONTINUATION</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KALTURA, INC.</w:t>
      </w:r>
    </w:p>
    <w:tbl>
      <w:tblPr>
        <w:tblW w:w="987" w:type="dxa"/>
        <w:jc w:val="right"/>
        <w:tblInd w:w="0" w:type="dxa"/>
        <w:tblCellMar>
          <w:top w:w="28" w:type="dxa"/>
          <w:left w:w="28" w:type="dxa"/>
          <w:bottom w:w="28" w:type="dxa"/>
          <w:right w:w="28" w:type="dxa"/>
        </w:tblCellMar>
      </w:tblPr>
      <w:tblGrid>
        <w:gridCol w:w="222"/>
        <w:gridCol w:w="196"/>
        <w:gridCol w:w="197"/>
        <w:gridCol w:w="109"/>
        <w:gridCol w:w="109"/>
        <w:gridCol w:w="154"/>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38"/>
        <w:gridCol w:w="121"/>
        <w:gridCol w:w="123"/>
        <w:gridCol w:w="109"/>
        <w:gridCol w:w="109"/>
        <w:gridCol w:w="109"/>
        <w:gridCol w:w="3080"/>
        <w:gridCol w:w="2651"/>
        <w:gridCol w:w="3765"/>
      </w:tblGrid>
      <w:tr>
        <w:trPr/>
        <w:tc>
          <w:tcPr>
            <w:tcW w:w="13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3765" w:type="dxa"/>
            <w:tcBorders/>
            <w:shd w:fill="auto" w:val="clear"/>
            <w:vAlign w:val="center"/>
          </w:tcPr>
          <w:p>
            <w:pPr>
              <w:pStyle w:val="TableContents"/>
              <w:spacing w:before="0" w:after="283"/>
              <w:rPr>
                <w:sz w:val="4"/>
                <w:szCs w:val="4"/>
              </w:rPr>
            </w:pPr>
            <w:r>
              <w:rPr>
                <w:sz w:val="4"/>
                <w:szCs w:val="4"/>
              </w:rPr>
            </w:r>
          </w:p>
        </w:tc>
      </w:tr>
      <w:tr>
        <w:trPr/>
        <w:tc>
          <w:tcPr>
            <w:tcW w:w="3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SILICON VALLEY BANK</w:t>
            </w:r>
          </w:p>
        </w:tc>
      </w:tr>
      <w:tr>
        <w:trPr/>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3003 Tasman Drive</w:t>
            </w:r>
          </w:p>
        </w:tc>
      </w:tr>
      <w:tr>
        <w:trPr/>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 Clara, CA 95054</w:t>
            </w:r>
          </w:p>
        </w:tc>
      </w:tr>
      <w:tr>
        <w:trPr/>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w:t>
            </w:r>
          </w:p>
        </w:tc>
      </w:tr>
      <w:tr>
        <w:trPr/>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Credit Agreement, dated as of January 14, 2021 (as amended, modified, supplemented or restated from time to time, the “</w:t>
            </w:r>
            <w:r>
              <w:rPr>
                <w:rFonts w:ascii="Times New Roman;sans-serif" w:hAnsi="Times New Roman;sans-serif"/>
                <w:b/>
                <w:color w:val="000000"/>
                <w:sz w:val="22"/>
              </w:rPr>
              <w:t>Credit Agreement</w:t>
            </w:r>
            <w:r>
              <w:rPr>
                <w:color w:val="000000"/>
              </w:rPr>
              <w:t>”</w:t>
            </w:r>
            <w:r>
              <w:rPr>
                <w:rFonts w:ascii="Times New Roman;sans-serif" w:hAnsi="Times New Roman;sans-serif"/>
                <w:b w:val="false"/>
                <w:color w:val="000000"/>
                <w:sz w:val="22"/>
              </w:rPr>
              <w:t>), by and among Kaltura, Inc., a Delaware corporation (the “</w:t>
            </w:r>
            <w:r>
              <w:rPr>
                <w:rFonts w:ascii="Times New Roman;sans-serif" w:hAnsi="Times New Roman;sans-serif"/>
                <w:b/>
                <w:color w:val="000000"/>
                <w:sz w:val="22"/>
              </w:rPr>
              <w:t>Borrower</w:t>
            </w:r>
            <w:r>
              <w:rPr>
                <w:color w:val="000000"/>
              </w:rPr>
              <w:t>”</w:t>
            </w:r>
            <w:r>
              <w:rPr>
                <w:rFonts w:ascii="Times New Roman;sans-serif" w:hAnsi="Times New Roman;sans-serif"/>
                <w:b w:val="false"/>
                <w:color w:val="000000"/>
                <w:sz w:val="22"/>
              </w:rPr>
              <w:t>), the Lenders party thereto, Silicon Valley Bank (“</w:t>
            </w:r>
            <w:r>
              <w:rPr>
                <w:rFonts w:ascii="Times New Roman;sans-serif" w:hAnsi="Times New Roman;sans-serif"/>
                <w:b/>
                <w:color w:val="000000"/>
                <w:sz w:val="22"/>
              </w:rPr>
              <w:t>SVB</w:t>
            </w:r>
            <w:r>
              <w:rPr>
                <w:color w:val="000000"/>
              </w:rPr>
              <w:t>”</w:t>
            </w:r>
            <w:r>
              <w:rPr>
                <w:rFonts w:ascii="Times New Roman;sans-serif" w:hAnsi="Times New Roman;sans-serif"/>
                <w:b w:val="false"/>
                <w:color w:val="000000"/>
                <w:sz w:val="22"/>
              </w:rPr>
              <w:t>), as administrative agent and collateral agent for such Lenders (in such capacities, together with any successors and assigns in such capacities; the “</w:t>
            </w:r>
            <w:r>
              <w:rPr>
                <w:rFonts w:ascii="Times New Roman;sans-serif" w:hAnsi="Times New Roman;sans-serif"/>
                <w:b/>
                <w:color w:val="000000"/>
                <w:sz w:val="22"/>
              </w:rPr>
              <w:t>Administrative</w:t>
            </w:r>
            <w:r>
              <w:rPr>
                <w:color w:val="000000"/>
              </w:rPr>
              <w:t xml:space="preserve"> </w:t>
            </w:r>
            <w:r>
              <w:rPr>
                <w:rFonts w:ascii="Times New Roman;sans-serif" w:hAnsi="Times New Roman;sans-serif"/>
                <w:b/>
                <w:color w:val="000000"/>
                <w:sz w:val="22"/>
              </w:rPr>
              <w:t>Agent</w:t>
            </w:r>
            <w:r>
              <w:rPr>
                <w:color w:val="000000"/>
              </w:rPr>
              <w:t>”</w:t>
            </w:r>
            <w:r>
              <w:rPr>
                <w:rFonts w:ascii="Times New Roman;sans-serif" w:hAnsi="Times New Roman;sans-serif"/>
                <w:b w:val="false"/>
                <w:color w:val="000000"/>
                <w:sz w:val="22"/>
              </w:rPr>
              <w:t>), and SVB as the Issuing Lender and the Swingline Lender. Capitalized terms used but not otherwise defined herein shall have the respective meanings given to such terms in the Credit Agreement.</w:t>
            </w:r>
          </w:p>
        </w:tc>
      </w:tr>
    </w:tbl>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in his/her capacity as a Responsible Officer of the Borrower and not in his/her individual capacity, refers to the Credit Agreement and hereby gives you irrevocable notice pursuant to Section [2.13(a)] [2.13(b)] of the Credit Agreement, of the [conversion] [continuation] of the Loans specified herein, that:</w:t>
      </w:r>
    </w:p>
    <w:p>
      <w:pPr>
        <w:pStyle w:val="TextBody"/>
        <w:spacing w:lineRule="auto" w:line="288" w:before="0" w:after="240"/>
        <w:ind w:left="0" w:right="0" w:firstLine="720"/>
        <w:rPr/>
      </w:pPr>
      <w:r>
        <w:rPr>
          <w:rFonts w:ascii="Times New Roman;sans-serif" w:hAnsi="Times New Roman;sans-serif"/>
          <w:b w:val="false"/>
          <w:color w:val="000000"/>
          <w:sz w:val="20"/>
        </w:rPr>
        <w:t>1.</w:t>
      </w:r>
      <w:r>
        <w:rPr>
          <w:rFonts w:ascii="Times New Roman;sans-serif" w:hAnsi="Times New Roman;sans-serif"/>
          <w:b w:val="false"/>
          <w:color w:val="000000"/>
          <w:sz w:val="22"/>
        </w:rPr>
        <w:t xml:space="preserve">The date of the [conversion] [continuation] is </w:t>
      </w:r>
      <w:r>
        <w:rPr>
          <w:rFonts w:ascii="Times New Roman;sans-serif" w:hAnsi="Times New Roman;sans-serif"/>
          <w:b w:val="false"/>
          <w:color w:val="000000"/>
          <w:sz w:val="22"/>
          <w:u w:val="single"/>
        </w:rPr>
        <w:t>_______________________</w:t>
      </w:r>
      <w:r>
        <w:rPr>
          <w:rFonts w:ascii="Times New Roman;sans-serif" w:hAnsi="Times New Roman;sans-serif"/>
          <w:b w:val="false"/>
          <w:color w:val="000000"/>
          <w:sz w:val="22"/>
        </w:rPr>
        <w:t>.</w:t>
      </w:r>
    </w:p>
    <w:p>
      <w:pPr>
        <w:pStyle w:val="TextBody"/>
        <w:spacing w:lineRule="auto" w:line="288" w:before="0" w:after="240"/>
        <w:ind w:left="0" w:right="0" w:firstLine="720"/>
        <w:rPr/>
      </w:pPr>
      <w:r>
        <w:rPr>
          <w:rFonts w:ascii="Times New Roman;sans-serif" w:hAnsi="Times New Roman;sans-serif"/>
          <w:b w:val="false"/>
          <w:color w:val="000000"/>
          <w:sz w:val="20"/>
        </w:rPr>
        <w:t>2.</w:t>
      </w:r>
      <w:r>
        <w:rPr>
          <w:rFonts w:ascii="Times New Roman;sans-serif" w:hAnsi="Times New Roman;sans-serif"/>
          <w:b w:val="false"/>
          <w:color w:val="000000"/>
          <w:sz w:val="22"/>
        </w:rPr>
        <w:t>The aggregate amount of the proposed Loans to be [converted] [continued] is $</w:t>
      </w:r>
      <w:r>
        <w:rPr>
          <w:color w:val="000000"/>
          <w:u w:val="single"/>
        </w:rPr>
        <w:t xml:space="preserve"> </w:t>
      </w:r>
      <w:r>
        <w:rPr>
          <w:rFonts w:ascii="Times New Roman;sans-serif" w:hAnsi="Times New Roman;sans-serif"/>
          <w:b w:val="false"/>
          <w:color w:val="000000"/>
          <w:sz w:val="22"/>
          <w:u w:val="single"/>
        </w:rPr>
        <w:t>_______________________</w:t>
      </w:r>
    </w:p>
    <w:p>
      <w:pPr>
        <w:pStyle w:val="TextBody"/>
        <w:spacing w:lineRule="auto" w:line="288" w:before="0" w:after="240"/>
        <w:ind w:left="0" w:right="0" w:firstLine="720"/>
        <w:rPr/>
      </w:pPr>
      <w:r>
        <w:rPr>
          <w:rFonts w:ascii="Times New Roman;sans-serif" w:hAnsi="Times New Roman;sans-serif"/>
          <w:b w:val="false"/>
          <w:color w:val="000000"/>
          <w:sz w:val="20"/>
        </w:rPr>
        <w:t>3.</w:t>
      </w:r>
      <w:r>
        <w:rPr>
          <w:rFonts w:ascii="Times New Roman;sans-serif" w:hAnsi="Times New Roman;sans-serif"/>
          <w:b w:val="false"/>
          <w:color w:val="000000"/>
          <w:sz w:val="22"/>
        </w:rPr>
        <w:t>The Loans are to be [converted into] [continued as] [Eurodollar] [ABR] Loans.</w:t>
      </w:r>
    </w:p>
    <w:p>
      <w:pPr>
        <w:pStyle w:val="TextBody"/>
        <w:spacing w:lineRule="auto" w:line="288" w:before="0" w:after="240"/>
        <w:ind w:left="0" w:right="0" w:firstLine="720"/>
        <w:rPr/>
      </w:pPr>
      <w:r>
        <w:rPr>
          <w:rFonts w:ascii="Times New Roman;sans-serif" w:hAnsi="Times New Roman;sans-serif"/>
          <w:b w:val="false"/>
          <w:color w:val="000000"/>
          <w:sz w:val="20"/>
        </w:rPr>
        <w:t>4.</w:t>
      </w:r>
      <w:r>
        <w:rPr>
          <w:rFonts w:ascii="Times New Roman;sans-serif" w:hAnsi="Times New Roman;sans-serif"/>
          <w:b w:val="false"/>
          <w:color w:val="000000"/>
          <w:sz w:val="22"/>
        </w:rPr>
        <w:t>The duration of the Interest Period for the Eurodollar Loans included in the [conversion] [continuation] shall be [one][three][six] months.</w:t>
      </w:r>
    </w:p>
    <w:p>
      <w:pPr>
        <w:pStyle w:val="TextBody"/>
        <w:spacing w:lineRule="auto" w:line="288" w:before="0" w:after="240"/>
        <w:ind w:left="0" w:right="0" w:firstLine="720"/>
        <w:rPr/>
      </w:pPr>
      <w:r>
        <w:rPr>
          <w:rFonts w:ascii="Times New Roman;sans-serif" w:hAnsi="Times New Roman;sans-serif"/>
          <w:b w:val="false"/>
          <w:color w:val="000000"/>
          <w:sz w:val="20"/>
        </w:rPr>
        <w:t>5.</w:t>
      </w:r>
      <w:r>
        <w:rPr>
          <w:rFonts w:ascii="Times New Roman;sans-serif" w:hAnsi="Times New Roman;sans-serif"/>
          <w:b w:val="false"/>
          <w:color w:val="000000"/>
          <w:sz w:val="22"/>
        </w:rPr>
        <w:t>The undersigned on behalf of the Borrower, hereby certifies that the following statements are true on the date hereof, and will be true on the date of the proposed [conversion] [continuation], before and after giving effect thereto and to the application of the proceeds therefrom:</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Default or Event of Default exists or shall occur after giving effect to the [conversion] [continuation] requested to be made on such date.</w:t>
      </w:r>
    </w:p>
    <w:p>
      <w:pPr>
        <w:pStyle w:val="TextBody"/>
        <w:spacing w:lineRule="auto" w:line="288" w:before="0" w:after="240"/>
        <w:ind w:left="0" w:right="0" w:firstLine="72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430" name="Frame4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notice to be duly executed and delivered by its proper and duly authorized officer as of the day and year first written above.</w:t>
      </w:r>
    </w:p>
    <w:tbl>
      <w:tblPr>
        <w:tblW w:w="1605" w:type="dxa"/>
        <w:jc w:val="right"/>
        <w:tblInd w:w="0" w:type="dxa"/>
        <w:tblCellMar>
          <w:top w:w="28" w:type="dxa"/>
          <w:left w:w="28" w:type="dxa"/>
          <w:bottom w:w="28" w:type="dxa"/>
          <w:right w:w="28" w:type="dxa"/>
        </w:tblCellMar>
      </w:tblPr>
      <w:tblGrid>
        <w:gridCol w:w="278"/>
        <w:gridCol w:w="244"/>
        <w:gridCol w:w="244"/>
        <w:gridCol w:w="244"/>
        <w:gridCol w:w="244"/>
        <w:gridCol w:w="351"/>
      </w:tblGrid>
      <w:tr>
        <w:trPr/>
        <w:tc>
          <w:tcPr>
            <w:tcW w:w="2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60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KALTURA, INC.</w:t>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8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1" w:before="31" w:after="283"/>
        <w:rPr>
          <w:rFonts w:ascii="Times New Roman;sans-serif" w:hAnsi="Times New Roman;sans-serif"/>
          <w:b w:val="false"/>
          <w:i/>
          <w:color w:val="000000"/>
          <w:sz w:val="22"/>
        </w:rPr>
      </w:pPr>
      <w:r>
        <w:rPr>
          <w:rFonts w:ascii="Times New Roman;sans-serif" w:hAnsi="Times New Roman;sans-serif"/>
          <w:b w:val="false"/>
          <w:i/>
          <w:color w:val="000000"/>
          <w:sz w:val="22"/>
        </w:rPr>
        <w:t>For internal Bank use only</w:t>
      </w:r>
    </w:p>
    <w:p>
      <w:pPr>
        <w:pStyle w:val="TextBody"/>
        <w:spacing w:before="19" w:after="283"/>
        <w:rPr/>
      </w:pPr>
      <w:r>
        <w:rPr/>
      </w:r>
    </w:p>
    <w:tbl>
      <w:tblPr>
        <w:tblW w:w="6837" w:type="dxa"/>
        <w:jc w:val="left"/>
        <w:tblInd w:w="0" w:type="dxa"/>
        <w:tblCellMar>
          <w:top w:w="28" w:type="dxa"/>
          <w:left w:w="28" w:type="dxa"/>
          <w:bottom w:w="28" w:type="dxa"/>
          <w:right w:w="28" w:type="dxa"/>
        </w:tblCellMar>
      </w:tblPr>
      <w:tblGrid>
        <w:gridCol w:w="662"/>
        <w:gridCol w:w="583"/>
        <w:gridCol w:w="585"/>
        <w:gridCol w:w="524"/>
        <w:gridCol w:w="524"/>
        <w:gridCol w:w="526"/>
        <w:gridCol w:w="664"/>
        <w:gridCol w:w="664"/>
        <w:gridCol w:w="666"/>
        <w:gridCol w:w="421"/>
        <w:gridCol w:w="421"/>
        <w:gridCol w:w="597"/>
      </w:tblGrid>
      <w:tr>
        <w:trPr/>
        <w:tc>
          <w:tcPr>
            <w:tcW w:w="66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Pricing</w:t>
            </w:r>
          </w:p>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Rate</w:t>
            </w:r>
          </w:p>
        </w:tc>
        <w:tc>
          <w:tcPr>
            <w:tcW w:w="19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Eurodollar Variance</w:t>
            </w:r>
          </w:p>
        </w:tc>
        <w:tc>
          <w:tcPr>
            <w:tcW w:w="14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Maturity Date</w:t>
            </w:r>
          </w:p>
        </w:tc>
      </w:tr>
      <w:tr>
        <w:trPr/>
        <w:tc>
          <w:tcPr>
            <w:tcW w:w="183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w:t>
            </w:r>
          </w:p>
        </w:tc>
        <w:tc>
          <w:tcPr>
            <w:tcW w:w="1439"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10.2</w:t>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431" name="Frame4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i/>
          <w:color w:val="000000"/>
          <w:sz w:val="20"/>
        </w:rPr>
      </w:pPr>
      <w:r>
        <w:rPr>
          <w:rFonts w:ascii="Times New Roman;sans-serif" w:hAnsi="Times New Roman;sans-serif"/>
          <w:b/>
          <w:i/>
          <w:color w:val="000000"/>
          <w:sz w:val="20"/>
        </w:rPr>
        <w:t>Execution Version</w:t>
      </w:r>
    </w:p>
    <w:p>
      <w:pPr>
        <w:pStyle w:val="TextBody"/>
        <w:spacing w:before="0" w:after="200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0"/>
        <w:jc w:val="center"/>
        <w:rPr/>
      </w:pPr>
      <w:r>
        <w:rPr>
          <w:rFonts w:ascii="Times New Roman;sans-serif" w:hAnsi="Times New Roman;sans-serif"/>
          <w:b/>
          <w:color w:val="101010"/>
          <w:sz w:val="32"/>
        </w:rPr>
        <w:t>G</w:t>
      </w:r>
      <w:r>
        <w:rPr>
          <w:rFonts w:ascii="Times New Roman;sans-serif" w:hAnsi="Times New Roman;sans-serif"/>
          <w:b/>
          <w:color w:val="1F1F1F"/>
          <w:sz w:val="22"/>
        </w:rPr>
        <w:t>U</w:t>
      </w:r>
      <w:r>
        <w:rPr>
          <w:rFonts w:ascii="Times New Roman;sans-serif" w:hAnsi="Times New Roman;sans-serif"/>
          <w:b/>
          <w:color w:val="101010"/>
          <w:sz w:val="22"/>
        </w:rPr>
        <w:t xml:space="preserve">ARANTEE AND </w:t>
      </w:r>
      <w:r>
        <w:rPr>
          <w:rFonts w:ascii="Times New Roman;sans-serif" w:hAnsi="Times New Roman;sans-serif"/>
          <w:b/>
          <w:color w:val="101010"/>
          <w:sz w:val="32"/>
        </w:rPr>
        <w:t>C</w:t>
      </w:r>
      <w:r>
        <w:rPr>
          <w:rFonts w:ascii="Times New Roman;sans-serif" w:hAnsi="Times New Roman;sans-serif"/>
          <w:b/>
          <w:color w:val="101010"/>
          <w:sz w:val="22"/>
        </w:rPr>
        <w:t xml:space="preserve">OLLATERAL </w:t>
      </w:r>
      <w:r>
        <w:rPr>
          <w:rFonts w:ascii="Times New Roman;sans-serif" w:hAnsi="Times New Roman;sans-serif"/>
          <w:b/>
          <w:color w:val="101010"/>
          <w:sz w:val="32"/>
        </w:rPr>
        <w:t>A</w:t>
      </w:r>
      <w:r>
        <w:rPr>
          <w:rFonts w:ascii="Times New Roman;sans-serif" w:hAnsi="Times New Roman;sans-serif"/>
          <w:b/>
          <w:color w:val="101010"/>
          <w:sz w:val="22"/>
        </w:rPr>
        <w:t>GREEMENT</w:t>
      </w:r>
    </w:p>
    <w:p>
      <w:pPr>
        <w:pStyle w:val="TextBody"/>
        <w:spacing w:lineRule="auto" w:line="288" w:before="0" w:after="600"/>
        <w:jc w:val="center"/>
        <w:rPr/>
      </w:pPr>
      <w:r>
        <w:rPr>
          <w:rFonts w:ascii="Times New Roman;sans-serif" w:hAnsi="Times New Roman;sans-serif"/>
          <w:b w:val="false"/>
          <w:color w:val="101010"/>
          <w:sz w:val="22"/>
        </w:rPr>
        <w:t>Dated a</w:t>
      </w:r>
      <w:r>
        <w:rPr>
          <w:rFonts w:ascii="Times New Roman;sans-serif" w:hAnsi="Times New Roman;sans-serif"/>
          <w:b w:val="false"/>
          <w:color w:val="1F1F1F"/>
          <w:sz w:val="22"/>
        </w:rPr>
        <w:t xml:space="preserve">s </w:t>
      </w:r>
      <w:r>
        <w:rPr>
          <w:rFonts w:ascii="Times New Roman;sans-serif" w:hAnsi="Times New Roman;sans-serif"/>
          <w:b w:val="false"/>
          <w:color w:val="101010"/>
          <w:sz w:val="22"/>
        </w:rPr>
        <w:t>of Janu</w:t>
      </w:r>
      <w:r>
        <w:rPr>
          <w:rFonts w:ascii="Times New Roman;sans-serif" w:hAnsi="Times New Roman;sans-serif"/>
          <w:b w:val="false"/>
          <w:color w:val="1F1F1F"/>
          <w:sz w:val="22"/>
        </w:rPr>
        <w:t>a</w:t>
      </w:r>
      <w:r>
        <w:rPr>
          <w:rFonts w:ascii="Times New Roman;sans-serif" w:hAnsi="Times New Roman;sans-serif"/>
          <w:b w:val="false"/>
          <w:color w:val="101010"/>
          <w:sz w:val="22"/>
        </w:rPr>
        <w:t>ry 14</w:t>
      </w:r>
      <w:r>
        <w:rPr>
          <w:rFonts w:ascii="Times New Roman;sans-serif" w:hAnsi="Times New Roman;sans-serif"/>
          <w:b w:val="false"/>
          <w:color w:val="1F1F1F"/>
          <w:sz w:val="22"/>
        </w:rPr>
        <w:t xml:space="preserve">, </w:t>
      </w:r>
      <w:r>
        <w:rPr>
          <w:rFonts w:ascii="Times New Roman;sans-serif" w:hAnsi="Times New Roman;sans-serif"/>
          <w:b w:val="false"/>
          <w:color w:val="101010"/>
          <w:sz w:val="22"/>
        </w:rPr>
        <w:t xml:space="preserve">2021 </w:t>
      </w:r>
    </w:p>
    <w:p>
      <w:pPr>
        <w:pStyle w:val="TextBody"/>
        <w:spacing w:lineRule="auto" w:line="288" w:before="0" w:after="600"/>
        <w:jc w:val="center"/>
        <w:rPr/>
      </w:pPr>
      <w:r>
        <w:rPr>
          <w:rFonts w:ascii="Times New Roman;sans-serif" w:hAnsi="Times New Roman;sans-serif"/>
          <w:b w:val="false"/>
          <w:color w:val="101010"/>
          <w:sz w:val="22"/>
        </w:rPr>
        <w:t>made b</w:t>
      </w:r>
      <w:r>
        <w:rPr>
          <w:rFonts w:ascii="Times New Roman;sans-serif" w:hAnsi="Times New Roman;sans-serif"/>
          <w:b w:val="false"/>
          <w:color w:val="1F1F1F"/>
          <w:sz w:val="22"/>
        </w:rPr>
        <w:t>y</w:t>
      </w:r>
    </w:p>
    <w:p>
      <w:pPr>
        <w:pStyle w:val="TextBody"/>
        <w:spacing w:lineRule="auto" w:line="288" w:before="0" w:after="180"/>
        <w:jc w:val="center"/>
        <w:rPr/>
      </w:pPr>
      <w:r>
        <w:rPr>
          <w:rFonts w:ascii="Times New Roman;sans-serif" w:hAnsi="Times New Roman;sans-serif"/>
          <w:b/>
          <w:color w:val="101010"/>
          <w:sz w:val="22"/>
        </w:rPr>
        <w:t>KALTURA, INC</w:t>
      </w:r>
      <w:r>
        <w:rPr>
          <w:rFonts w:ascii="Times New Roman;sans-serif" w:hAnsi="Times New Roman;sans-serif"/>
          <w:b/>
          <w:color w:val="000000"/>
          <w:sz w:val="22"/>
        </w:rPr>
        <w:t>.</w:t>
      </w:r>
      <w:r>
        <w:rPr>
          <w:rFonts w:ascii="Times New Roman;sans-serif" w:hAnsi="Times New Roman;sans-serif"/>
          <w:b/>
          <w:color w:val="101010"/>
          <w:sz w:val="22"/>
        </w:rPr>
        <w:t>,</w:t>
      </w:r>
    </w:p>
    <w:p>
      <w:pPr>
        <w:pStyle w:val="TextBody"/>
        <w:spacing w:lineRule="auto" w:line="288" w:before="0" w:after="400"/>
        <w:jc w:val="center"/>
        <w:rPr/>
      </w:pPr>
      <w:r>
        <w:rPr>
          <w:rFonts w:ascii="Times New Roman;sans-serif" w:hAnsi="Times New Roman;sans-serif"/>
          <w:b w:val="false"/>
          <w:color w:val="101010"/>
          <w:sz w:val="22"/>
        </w:rPr>
        <w:t>a</w:t>
      </w:r>
      <w:r>
        <w:rPr>
          <w:rFonts w:ascii="Times New Roman;sans-serif" w:hAnsi="Times New Roman;sans-serif"/>
          <w:b w:val="false"/>
          <w:color w:val="1F1F1F"/>
          <w:sz w:val="22"/>
        </w:rPr>
        <w:t xml:space="preserve">s </w:t>
      </w:r>
      <w:r>
        <w:rPr>
          <w:rFonts w:ascii="Times New Roman;sans-serif" w:hAnsi="Times New Roman;sans-serif"/>
          <w:b w:val="false"/>
          <w:color w:val="101010"/>
          <w:sz w:val="22"/>
        </w:rPr>
        <w:t>the Borrower</w:t>
      </w:r>
      <w:r>
        <w:rPr>
          <w:rFonts w:ascii="Times New Roman;sans-serif" w:hAnsi="Times New Roman;sans-serif"/>
          <w:b w:val="false"/>
          <w:color w:val="1F1F1F"/>
          <w:sz w:val="22"/>
        </w:rPr>
        <w:t>,</w:t>
      </w:r>
    </w:p>
    <w:p>
      <w:pPr>
        <w:pStyle w:val="TextBody"/>
        <w:spacing w:lineRule="auto" w:line="288" w:before="0" w:after="400"/>
        <w:jc w:val="center"/>
        <w:rPr/>
      </w:pPr>
      <w:r>
        <w:rPr>
          <w:rFonts w:ascii="Times New Roman;sans-serif" w:hAnsi="Times New Roman;sans-serif"/>
          <w:b w:val="false"/>
          <w:color w:val="101010"/>
          <w:sz w:val="22"/>
        </w:rPr>
        <w:t>and the other Grantors referred to herein</w:t>
      </w:r>
      <w:r>
        <w:rPr>
          <w:rFonts w:ascii="Times New Roman;sans-serif" w:hAnsi="Times New Roman;sans-serif"/>
          <w:b w:val="false"/>
          <w:color w:val="1F1F1F"/>
          <w:sz w:val="22"/>
        </w:rPr>
        <w:t>,</w:t>
      </w:r>
    </w:p>
    <w:p>
      <w:pPr>
        <w:pStyle w:val="TextBody"/>
        <w:spacing w:lineRule="auto" w:line="288" w:before="0" w:after="400"/>
        <w:jc w:val="center"/>
        <w:rPr/>
      </w:pPr>
      <w:r>
        <w:rPr>
          <w:rFonts w:ascii="Times New Roman;sans-serif" w:hAnsi="Times New Roman;sans-serif"/>
          <w:b w:val="false"/>
          <w:color w:val="101010"/>
          <w:sz w:val="22"/>
        </w:rPr>
        <w:t>in fa</w:t>
      </w:r>
      <w:r>
        <w:rPr>
          <w:rFonts w:ascii="Times New Roman;sans-serif" w:hAnsi="Times New Roman;sans-serif"/>
          <w:b w:val="false"/>
          <w:color w:val="1F1F1F"/>
          <w:sz w:val="22"/>
        </w:rPr>
        <w:t>v</w:t>
      </w:r>
      <w:r>
        <w:rPr>
          <w:rFonts w:ascii="Times New Roman;sans-serif" w:hAnsi="Times New Roman;sans-serif"/>
          <w:b w:val="false"/>
          <w:color w:val="101010"/>
          <w:sz w:val="22"/>
        </w:rPr>
        <w:t>or of</w:t>
      </w:r>
    </w:p>
    <w:p>
      <w:pPr>
        <w:pStyle w:val="TextBody"/>
        <w:spacing w:lineRule="auto" w:line="288" w:before="0" w:after="0"/>
        <w:jc w:val="center"/>
        <w:rPr/>
      </w:pPr>
      <w:r>
        <w:rPr>
          <w:rFonts w:ascii="Times New Roman;sans-serif" w:hAnsi="Times New Roman;sans-serif"/>
          <w:b/>
          <w:color w:val="101010"/>
          <w:sz w:val="22"/>
        </w:rPr>
        <w:t>SILICON VALLEY BANK</w:t>
      </w:r>
      <w:r>
        <w:rPr>
          <w:rFonts w:ascii="Times New Roman;sans-serif" w:hAnsi="Times New Roman;sans-serif"/>
          <w:b/>
          <w:color w:val="1F1F1F"/>
          <w:sz w:val="22"/>
        </w:rPr>
        <w:t>,</w:t>
      </w:r>
    </w:p>
    <w:p>
      <w:pPr>
        <w:pStyle w:val="TextBody"/>
        <w:spacing w:lineRule="auto" w:line="288" w:before="0" w:after="1000"/>
        <w:jc w:val="center"/>
        <w:rPr/>
      </w:pPr>
      <w:r>
        <w:rPr>
          <w:rFonts w:ascii="Times New Roman;sans-serif" w:hAnsi="Times New Roman;sans-serif"/>
          <w:b w:val="false"/>
          <w:color w:val="101010"/>
          <w:sz w:val="22"/>
        </w:rPr>
        <w:t>as Administrati</w:t>
      </w:r>
      <w:r>
        <w:rPr>
          <w:rFonts w:ascii="Times New Roman;sans-serif" w:hAnsi="Times New Roman;sans-serif"/>
          <w:b w:val="false"/>
          <w:color w:val="1F1F1F"/>
          <w:sz w:val="22"/>
        </w:rPr>
        <w:t>v</w:t>
      </w:r>
      <w:r>
        <w:rPr>
          <w:rFonts w:ascii="Times New Roman;sans-serif" w:hAnsi="Times New Roman;sans-serif"/>
          <w:b w:val="false"/>
          <w:color w:val="101010"/>
          <w:sz w:val="22"/>
        </w:rPr>
        <w:t>e Agent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pPr>
      <w:r>
        <w:rPr>
          <w:rFonts w:ascii="Times New Roman;sans-serif" w:hAnsi="Times New Roman;sans-serif"/>
          <w:b/>
          <w:color w:val="0E0E0E"/>
          <w:sz w:val="22"/>
        </w:rPr>
        <w:t>T</w:t>
      </w:r>
      <w:r>
        <w:rPr>
          <w:rFonts w:ascii="Times New Roman;sans-serif" w:hAnsi="Times New Roman;sans-serif"/>
          <w:b/>
          <w:color w:val="0E0E0E"/>
          <w:sz w:val="22"/>
        </w:rPr>
        <w:t>A</w:t>
      </w:r>
      <w:r>
        <w:rPr>
          <w:rFonts w:ascii="Times New Roman;sans-serif" w:hAnsi="Times New Roman;sans-serif"/>
          <w:b/>
          <w:color w:val="000000"/>
          <w:sz w:val="22"/>
        </w:rPr>
        <w:t>B</w:t>
      </w:r>
      <w:r>
        <w:rPr>
          <w:rFonts w:ascii="Times New Roman;sans-serif" w:hAnsi="Times New Roman;sans-serif"/>
          <w:b/>
          <w:color w:val="0E0E0E"/>
          <w:sz w:val="22"/>
        </w:rPr>
        <w:t xml:space="preserve">LE </w:t>
      </w:r>
      <w:r>
        <w:rPr>
          <w:rFonts w:ascii="Times New Roman;sans-serif" w:hAnsi="Times New Roman;sans-serif"/>
          <w:b/>
          <w:color w:val="000000"/>
          <w:sz w:val="22"/>
        </w:rPr>
        <w:t>O</w:t>
      </w:r>
      <w:r>
        <w:rPr>
          <w:rFonts w:ascii="Times New Roman;sans-serif" w:hAnsi="Times New Roman;sans-serif"/>
          <w:b/>
          <w:color w:val="0E0E0E"/>
          <w:sz w:val="22"/>
        </w:rPr>
        <w:t>F C</w:t>
      </w:r>
      <w:r>
        <w:rPr>
          <w:rFonts w:ascii="Times New Roman;sans-serif" w:hAnsi="Times New Roman;sans-serif"/>
          <w:b/>
          <w:color w:val="000000"/>
          <w:sz w:val="22"/>
        </w:rPr>
        <w:t>O</w:t>
      </w:r>
      <w:r>
        <w:rPr>
          <w:rFonts w:ascii="Times New Roman;sans-serif" w:hAnsi="Times New Roman;sans-serif"/>
          <w:b/>
          <w:color w:val="0E0E0E"/>
          <w:sz w:val="22"/>
        </w:rPr>
        <w:t>NTENTS</w:t>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260"/>
                <wp:effectExtent l="0" t="0" r="0" b="0"/>
                <wp:wrapNone/>
                <wp:docPr id="432" name="Frame4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spacing w:before="0" w:after="0"/>
                        <w:rPr/>
                      </w:pPr>
                      <w:r>
                        <w:rPr/>
                      </w:r>
                    </w:p>
                  </w:txbxContent>
                </v:textbox>
              </v:rect>
            </w:pict>
          </mc:Fallback>
        </mc:AlternateContent>
      </w:r>
    </w:p>
    <w:tbl>
      <w:tblPr>
        <w:tblW w:w="9536" w:type="dxa"/>
        <w:jc w:val="left"/>
        <w:tblInd w:w="0" w:type="dxa"/>
        <w:tblCellMar>
          <w:top w:w="28" w:type="dxa"/>
          <w:left w:w="28" w:type="dxa"/>
          <w:bottom w:w="28" w:type="dxa"/>
          <w:right w:w="28" w:type="dxa"/>
        </w:tblCellMar>
      </w:tblPr>
      <w:tblGrid>
        <w:gridCol w:w="241"/>
        <w:gridCol w:w="211"/>
        <w:gridCol w:w="211"/>
        <w:gridCol w:w="211"/>
        <w:gridCol w:w="211"/>
        <w:gridCol w:w="216"/>
        <w:gridCol w:w="2542"/>
        <w:gridCol w:w="2542"/>
        <w:gridCol w:w="2550"/>
        <w:gridCol w:w="176"/>
        <w:gridCol w:w="176"/>
        <w:gridCol w:w="249"/>
      </w:tblGrid>
      <w:tr>
        <w:trPr/>
        <w:tc>
          <w:tcPr>
            <w:tcW w:w="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542" w:type="dxa"/>
            <w:tcBorders/>
            <w:shd w:fill="auto" w:val="clear"/>
            <w:vAlign w:val="center"/>
          </w:tcPr>
          <w:p>
            <w:pPr>
              <w:pStyle w:val="TableContents"/>
              <w:spacing w:before="0" w:after="283"/>
              <w:rPr>
                <w:sz w:val="4"/>
                <w:szCs w:val="4"/>
              </w:rPr>
            </w:pPr>
            <w:r>
              <w:rPr>
                <w:sz w:val="4"/>
                <w:szCs w:val="4"/>
              </w:rPr>
            </w:r>
          </w:p>
        </w:tc>
        <w:tc>
          <w:tcPr>
            <w:tcW w:w="2542"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c>
      </w:tr>
      <w:tr>
        <w:trPr/>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DEFINED TERMS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Definitions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Definitional Provisions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GUARANTEE</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Guarantee</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 of Contribution</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Subrogation</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Amendments, etc</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Guarantee Absolute and Unconditional; Guarantor Waivers; Guarantor Consents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Reinstatement.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Keepwell</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Guarantee Limitation</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GRANT OF SECURITY INTEREST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Grant of Security Interests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Grantors Remains Liable</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Perfection and Priority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w:t>
            </w:r>
          </w:p>
        </w:tc>
      </w:tr>
      <w:tr>
        <w:trPr/>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No Other Liens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Perfected Liens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Jurisdiction of Organization; Chief Executive Office and Locations of Books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Inventory and Equipment.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Pledged Collateral</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Accounts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Receivables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4.10</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Instruments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Letter of Credit Rights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Commercial Tort Claims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w:t>
            </w:r>
          </w:p>
        </w:tc>
      </w:tr>
      <w:tr>
        <w:trPr/>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COVENANTS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Delivery of Instruments, Certificated Securities and Chattel Paper</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Insurance</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Perfected Security Interest; Further Documentation</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Changes in Locations, Name, Etc</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Instruments; Investment Property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Securities Accounts; Deposit Accounts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5.10</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Defense of Collateral</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5.11</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Preservation of Collateral</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5.12</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Laws, Etc</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5.13</w:t>
            </w:r>
          </w:p>
        </w:tc>
        <w:tc>
          <w:tcPr>
            <w:tcW w:w="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r>
    </w:tbl>
    <w:p>
      <w:pPr>
        <w:pStyle w:val="TextBody"/>
        <w:spacing w:lineRule="auto" w:line="288" w:before="0" w:after="0"/>
        <w:jc w:val="center"/>
        <w:rPr/>
      </w:pPr>
      <w:r>
        <w:br w:type="page"/>
      </w:r>
      <w:r>
        <w:rPr>
          <w:rFonts w:ascii="Times New Roman;sans-serif" w:hAnsi="Times New Roman;sans-serif"/>
          <w:b/>
          <w:color w:val="0E0E0E"/>
          <w:sz w:val="22"/>
        </w:rPr>
        <w:t>T</w:t>
      </w:r>
      <w:r>
        <w:rPr>
          <w:rFonts w:ascii="Times New Roman;sans-serif" w:hAnsi="Times New Roman;sans-serif"/>
          <w:b/>
          <w:color w:val="0E0E0E"/>
          <w:sz w:val="22"/>
        </w:rPr>
        <w:t>A</w:t>
      </w:r>
      <w:r>
        <w:rPr>
          <w:rFonts w:ascii="Times New Roman;sans-serif" w:hAnsi="Times New Roman;sans-serif"/>
          <w:b/>
          <w:color w:val="000000"/>
          <w:sz w:val="22"/>
        </w:rPr>
        <w:t>B</w:t>
      </w:r>
      <w:r>
        <w:rPr>
          <w:rFonts w:ascii="Times New Roman;sans-serif" w:hAnsi="Times New Roman;sans-serif"/>
          <w:b/>
          <w:color w:val="0E0E0E"/>
          <w:sz w:val="22"/>
        </w:rPr>
        <w:t xml:space="preserve">LE </w:t>
      </w:r>
      <w:r>
        <w:rPr>
          <w:rFonts w:ascii="Times New Roman;sans-serif" w:hAnsi="Times New Roman;sans-serif"/>
          <w:b/>
          <w:color w:val="000000"/>
          <w:sz w:val="22"/>
        </w:rPr>
        <w:t>O</w:t>
      </w:r>
      <w:r>
        <w:rPr>
          <w:rFonts w:ascii="Times New Roman;sans-serif" w:hAnsi="Times New Roman;sans-serif"/>
          <w:b/>
          <w:color w:val="0E0E0E"/>
          <w:sz w:val="22"/>
        </w:rPr>
        <w:t>F C</w:t>
      </w:r>
      <w:r>
        <w:rPr>
          <w:rFonts w:ascii="Times New Roman;sans-serif" w:hAnsi="Times New Roman;sans-serif"/>
          <w:b/>
          <w:color w:val="000000"/>
          <w:sz w:val="22"/>
        </w:rPr>
        <w:t>O</w:t>
      </w:r>
      <w:r>
        <w:rPr>
          <w:rFonts w:ascii="Times New Roman;sans-serif" w:hAnsi="Times New Roman;sans-serif"/>
          <w:b/>
          <w:color w:val="0E0E0E"/>
          <w:sz w:val="22"/>
        </w:rPr>
        <w:t>NTENTS</w:t>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60655"/>
                <wp:effectExtent l="0" t="0" r="0" b="0"/>
                <wp:wrapNone/>
                <wp:docPr id="433" name="Frame4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7693" w:type="dxa"/>
        <w:jc w:val="left"/>
        <w:tblInd w:w="0" w:type="dxa"/>
        <w:tblCellMar>
          <w:top w:w="28" w:type="dxa"/>
          <w:left w:w="28" w:type="dxa"/>
          <w:bottom w:w="28" w:type="dxa"/>
          <w:right w:w="28" w:type="dxa"/>
        </w:tblCellMar>
      </w:tblPr>
      <w:tblGrid>
        <w:gridCol w:w="294"/>
        <w:gridCol w:w="258"/>
        <w:gridCol w:w="259"/>
        <w:gridCol w:w="162"/>
        <w:gridCol w:w="162"/>
        <w:gridCol w:w="167"/>
        <w:gridCol w:w="1929"/>
        <w:gridCol w:w="1929"/>
        <w:gridCol w:w="1932"/>
        <w:gridCol w:w="176"/>
        <w:gridCol w:w="176"/>
        <w:gridCol w:w="249"/>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5.14</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Location of Collateral</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5.15</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Records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5.16</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5.17</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Liens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5.18</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Expenses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5.19</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5.20</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Chattel Paper</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5.21</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Commercial Tort Claims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5.22</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Letter-of-Credit Rights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5.23</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Shareholder Agreements and Other Agreements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5.24</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Government Receivables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w:t>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REMEDIAL PROVISIONS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Matters Relating to Receivables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Communications with Obligors; Grantors Remain Liable</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Property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Proceeds to be Turned Over To Administrative Agent...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Application of Proceeds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Code and Other Remedies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Waiver</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 License</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Deficiency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w:t>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Agent's Appointment as Attorney-in-Fact, etc</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7.2</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Duty of Administrative Agent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Authority of Administrative Agent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w:t>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MISCELLANEOUS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Amendments in Writing</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8.2</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Waiver by Course of Conduct; Cumulative Remedies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Enforcement Expenses; Indemnification</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Successors and Assigns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Set Off</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Counterparts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8.8</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8.9</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Headings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8.10</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Integration</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8.11</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GOVERNING LAW</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8.12</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Submission to Jurisdiction; Waivers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8.13</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8.14</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Grantors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8.15</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Releases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8.16</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WAIVER OF JURY TRIAL</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8.17</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Patriot Act</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8.18</w:t>
            </w:r>
          </w:p>
        </w:tc>
        <w:tc>
          <w:tcPr>
            <w:tcW w:w="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Security Limitations</w:t>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w:t>
            </w:r>
          </w:p>
        </w:tc>
      </w:tr>
    </w:tbl>
    <w:p>
      <w:pPr>
        <w:pStyle w:val="TextBody"/>
        <w:spacing w:lineRule="auto" w:line="288" w:before="0" w:after="0"/>
        <w:jc w:val="center"/>
        <w:rPr/>
      </w:pPr>
      <w:r>
        <w:br w:type="page"/>
      </w:r>
      <w:r>
        <w:rPr>
          <w:rFonts w:ascii="Times New Roman;sans-serif" w:hAnsi="Times New Roman;sans-serif"/>
          <w:b/>
          <w:color w:val="0E0E0E"/>
          <w:sz w:val="22"/>
        </w:rPr>
        <w:t>T</w:t>
      </w:r>
      <w:r>
        <w:rPr>
          <w:rFonts w:ascii="Times New Roman;sans-serif" w:hAnsi="Times New Roman;sans-serif"/>
          <w:b/>
          <w:color w:val="0E0E0E"/>
          <w:sz w:val="22"/>
        </w:rPr>
        <w:t>A</w:t>
      </w:r>
      <w:r>
        <w:rPr>
          <w:rFonts w:ascii="Times New Roman;sans-serif" w:hAnsi="Times New Roman;sans-serif"/>
          <w:b/>
          <w:color w:val="000000"/>
          <w:sz w:val="22"/>
        </w:rPr>
        <w:t>B</w:t>
      </w:r>
      <w:r>
        <w:rPr>
          <w:rFonts w:ascii="Times New Roman;sans-serif" w:hAnsi="Times New Roman;sans-serif"/>
          <w:b/>
          <w:color w:val="0E0E0E"/>
          <w:sz w:val="22"/>
        </w:rPr>
        <w:t xml:space="preserve">LE </w:t>
      </w:r>
      <w:r>
        <w:rPr>
          <w:rFonts w:ascii="Times New Roman;sans-serif" w:hAnsi="Times New Roman;sans-serif"/>
          <w:b/>
          <w:color w:val="000000"/>
          <w:sz w:val="22"/>
        </w:rPr>
        <w:t>O</w:t>
      </w:r>
      <w:r>
        <w:rPr>
          <w:rFonts w:ascii="Times New Roman;sans-serif" w:hAnsi="Times New Roman;sans-serif"/>
          <w:b/>
          <w:color w:val="0E0E0E"/>
          <w:sz w:val="22"/>
        </w:rPr>
        <w:t>F C</w:t>
      </w:r>
      <w:r>
        <w:rPr>
          <w:rFonts w:ascii="Times New Roman;sans-serif" w:hAnsi="Times New Roman;sans-serif"/>
          <w:b/>
          <w:color w:val="000000"/>
          <w:sz w:val="22"/>
        </w:rPr>
        <w:t>O</w:t>
      </w:r>
      <w:r>
        <w:rPr>
          <w:rFonts w:ascii="Times New Roman;sans-serif" w:hAnsi="Times New Roman;sans-serif"/>
          <w:b/>
          <w:color w:val="0E0E0E"/>
          <w:sz w:val="22"/>
        </w:rPr>
        <w:t>NTENTS</w:t>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60655"/>
                <wp:effectExtent l="0" t="0" r="0" b="0"/>
                <wp:wrapNone/>
                <wp:docPr id="434" name="Frame4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7727" w:type="dxa"/>
        <w:jc w:val="left"/>
        <w:tblInd w:w="0" w:type="dxa"/>
        <w:tblCellMar>
          <w:top w:w="28" w:type="dxa"/>
          <w:left w:w="28" w:type="dxa"/>
          <w:bottom w:w="28" w:type="dxa"/>
          <w:right w:w="28" w:type="dxa"/>
        </w:tblCellMar>
      </w:tblPr>
      <w:tblGrid>
        <w:gridCol w:w="215"/>
        <w:gridCol w:w="190"/>
        <w:gridCol w:w="190"/>
        <w:gridCol w:w="190"/>
        <w:gridCol w:w="190"/>
        <w:gridCol w:w="196"/>
        <w:gridCol w:w="1965"/>
        <w:gridCol w:w="1965"/>
        <w:gridCol w:w="2025"/>
        <w:gridCol w:w="176"/>
        <w:gridCol w:w="176"/>
        <w:gridCol w:w="249"/>
      </w:tblGrid>
      <w:tr>
        <w:trPr/>
        <w:tc>
          <w:tcPr>
            <w:tcW w:w="21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c>
      </w:tr>
      <w:tr>
        <w:trPr/>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SCHEDULES</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1</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Addresses</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2</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Property</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3</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Perfection Matters</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4</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Jurisdictions of Organization and Chief Executive Offices, etc.</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5</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Equipment and Inventory Locations</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6</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7</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Letter of Credit Rights</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8</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Commercial Tort Claims</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ANNEXES</w:t>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1</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Assumption Agreement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Annex 2</w:t>
            </w:r>
          </w:p>
        </w:tc>
        <w:tc>
          <w:tcPr>
            <w:tcW w:w="5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Pledge Supplement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60655"/>
                <wp:effectExtent l="0" t="0" r="0" b="0"/>
                <wp:wrapNone/>
                <wp:docPr id="435" name="Frame4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v:textbox>
              </v:rect>
            </w:pict>
          </mc:Fallback>
        </mc:AlternateContent>
      </w:r>
    </w:p>
    <w:p>
      <w:pPr>
        <w:pStyle w:val="TextBody"/>
        <w:spacing w:lineRule="auto" w:line="288" w:before="0" w:after="180"/>
        <w:jc w:val="center"/>
        <w:rPr>
          <w:rFonts w:ascii="Times New Roman;sans-serif" w:hAnsi="Times New Roman;sans-serif"/>
          <w:b/>
          <w:color w:val="111111"/>
          <w:sz w:val="22"/>
        </w:rPr>
      </w:pPr>
      <w:r>
        <w:rPr>
          <w:rFonts w:ascii="Times New Roman;sans-serif" w:hAnsi="Times New Roman;sans-serif"/>
          <w:b/>
          <w:color w:val="111111"/>
          <w:sz w:val="22"/>
        </w:rPr>
        <w:t>GUARANTEE AND COLLATERAL AGREEMENT</w:t>
      </w:r>
    </w:p>
    <w:p>
      <w:pPr>
        <w:pStyle w:val="TextBody"/>
        <w:spacing w:lineRule="auto" w:line="288" w:before="0" w:after="180"/>
        <w:ind w:left="0" w:right="0" w:firstLine="720"/>
        <w:jc w:val="both"/>
        <w:rPr/>
      </w:pPr>
      <w:r>
        <w:rPr>
          <w:rFonts w:ascii="Times New Roman;sans-serif" w:hAnsi="Times New Roman;sans-serif"/>
          <w:b w:val="false"/>
          <w:color w:val="111111"/>
          <w:sz w:val="22"/>
        </w:rPr>
        <w:t xml:space="preserve">This GUARANTEE AND COLLATERAL AGREEMENT (this </w:t>
      </w:r>
      <w:r>
        <w:rPr>
          <w:color w:val="111111"/>
        </w:rPr>
        <w:t>“</w:t>
      </w:r>
      <w:r>
        <w:rPr>
          <w:rFonts w:ascii="Times New Roman;sans-serif" w:hAnsi="Times New Roman;sans-serif"/>
          <w:b/>
          <w:i/>
          <w:color w:val="111111"/>
          <w:sz w:val="22"/>
        </w:rPr>
        <w:t xml:space="preserve">Agreement”), </w:t>
      </w:r>
      <w:r>
        <w:rPr>
          <w:rFonts w:ascii="Times New Roman;sans-serif" w:hAnsi="Times New Roman;sans-serif"/>
          <w:b w:val="false"/>
          <w:color w:val="111111"/>
          <w:sz w:val="22"/>
        </w:rPr>
        <w:t>dated as of January 14</w:t>
      </w:r>
      <w:r>
        <w:rPr>
          <w:rFonts w:ascii="Times New Roman;sans-serif" w:hAnsi="Times New Roman;sans-serif"/>
          <w:b/>
          <w:color w:val="111111"/>
          <w:sz w:val="22"/>
        </w:rPr>
        <w:t xml:space="preserve">, </w:t>
      </w:r>
      <w:r>
        <w:rPr>
          <w:rFonts w:ascii="Times New Roman;sans-serif" w:hAnsi="Times New Roman;sans-serif"/>
          <w:b w:val="false"/>
          <w:color w:val="111111"/>
          <w:sz w:val="22"/>
        </w:rPr>
        <w:t xml:space="preserve">2021, is made by each of the signatories hereto (together with any other entity that may become a party hereto as provided herein, each a </w:t>
      </w:r>
      <w:r>
        <w:rPr>
          <w:color w:val="111111"/>
        </w:rPr>
        <w:t>“</w:t>
      </w:r>
      <w:r>
        <w:rPr>
          <w:rFonts w:ascii="Times New Roman;sans-serif" w:hAnsi="Times New Roman;sans-serif"/>
          <w:b/>
          <w:i/>
          <w:color w:val="111111"/>
          <w:sz w:val="22"/>
        </w:rPr>
        <w:t xml:space="preserve">Grantor” </w:t>
      </w:r>
      <w:r>
        <w:rPr>
          <w:rFonts w:ascii="Times New Roman;sans-serif" w:hAnsi="Times New Roman;sans-serif"/>
          <w:b w:val="false"/>
          <w:color w:val="111111"/>
          <w:sz w:val="22"/>
        </w:rPr>
        <w:t>and, collectively</w:t>
      </w:r>
      <w:r>
        <w:rPr>
          <w:rFonts w:ascii="Times New Roman;sans-serif" w:hAnsi="Times New Roman;sans-serif"/>
          <w:b w:val="false"/>
          <w:color w:val="2F2F2F"/>
          <w:sz w:val="22"/>
        </w:rPr>
        <w:t xml:space="preserve">, </w:t>
      </w:r>
      <w:r>
        <w:rPr>
          <w:rFonts w:ascii="Times New Roman;sans-serif" w:hAnsi="Times New Roman;sans-serif"/>
          <w:b w:val="false"/>
          <w:color w:val="111111"/>
          <w:sz w:val="22"/>
        </w:rPr>
        <w:t xml:space="preserve">the </w:t>
      </w:r>
      <w:r>
        <w:rPr>
          <w:color w:val="111111"/>
        </w:rPr>
        <w:t>“</w:t>
      </w:r>
      <w:r>
        <w:rPr>
          <w:rFonts w:ascii="Times New Roman;sans-serif" w:hAnsi="Times New Roman;sans-serif"/>
          <w:b/>
          <w:i/>
          <w:color w:val="111111"/>
          <w:sz w:val="22"/>
        </w:rPr>
        <w:t xml:space="preserve">Grantors”), </w:t>
      </w:r>
      <w:r>
        <w:rPr>
          <w:rFonts w:ascii="Times New Roman;sans-serif" w:hAnsi="Times New Roman;sans-serif"/>
          <w:b w:val="false"/>
          <w:color w:val="111111"/>
          <w:sz w:val="22"/>
        </w:rPr>
        <w:t>in favor of SILICON VALLEY BANK, as administrative agent and collateral agent (together with its successors</w:t>
      </w:r>
      <w:r>
        <w:rPr>
          <w:rFonts w:ascii="Times New Roman;sans-serif" w:hAnsi="Times New Roman;sans-serif"/>
          <w:b w:val="false"/>
          <w:color w:val="2F2F2F"/>
          <w:sz w:val="22"/>
        </w:rPr>
        <w:t xml:space="preserve">, </w:t>
      </w:r>
      <w:r>
        <w:rPr>
          <w:rFonts w:ascii="Times New Roman;sans-serif" w:hAnsi="Times New Roman;sans-serif"/>
          <w:b w:val="false"/>
          <w:color w:val="111111"/>
          <w:sz w:val="22"/>
        </w:rPr>
        <w:t xml:space="preserve">in such capacities, the </w:t>
      </w:r>
      <w:r>
        <w:rPr>
          <w:color w:val="111111"/>
        </w:rPr>
        <w:t>“</w:t>
      </w:r>
      <w:r>
        <w:rPr>
          <w:rFonts w:ascii="Times New Roman;sans-serif" w:hAnsi="Times New Roman;sans-serif"/>
          <w:b/>
          <w:i/>
          <w:color w:val="111111"/>
          <w:sz w:val="22"/>
        </w:rPr>
        <w:t xml:space="preserve">Administrative Agent”) </w:t>
      </w:r>
      <w:r>
        <w:rPr>
          <w:rFonts w:ascii="Times New Roman;sans-serif" w:hAnsi="Times New Roman;sans-serif"/>
          <w:b w:val="false"/>
          <w:color w:val="111111"/>
          <w:sz w:val="22"/>
        </w:rPr>
        <w:t xml:space="preserve">for the banks and other financial institutions or entities (each a </w:t>
      </w:r>
      <w:r>
        <w:rPr>
          <w:color w:val="111111"/>
        </w:rPr>
        <w:t>“</w:t>
      </w:r>
      <w:r>
        <w:rPr>
          <w:rFonts w:ascii="Times New Roman;sans-serif" w:hAnsi="Times New Roman;sans-serif"/>
          <w:b/>
          <w:i/>
          <w:color w:val="111111"/>
          <w:sz w:val="22"/>
        </w:rPr>
        <w:t xml:space="preserve">Lender” </w:t>
      </w:r>
      <w:r>
        <w:rPr>
          <w:rFonts w:ascii="Times New Roman;sans-serif" w:hAnsi="Times New Roman;sans-serif"/>
          <w:b w:val="false"/>
          <w:color w:val="111111"/>
          <w:sz w:val="22"/>
        </w:rPr>
        <w:t xml:space="preserve">and, collectively, the </w:t>
      </w:r>
      <w:r>
        <w:rPr>
          <w:color w:val="111111"/>
        </w:rPr>
        <w:t>“</w:t>
      </w:r>
      <w:r>
        <w:rPr>
          <w:rFonts w:ascii="Times New Roman;sans-serif" w:hAnsi="Times New Roman;sans-serif"/>
          <w:b/>
          <w:i/>
          <w:color w:val="111111"/>
          <w:sz w:val="22"/>
        </w:rPr>
        <w:t xml:space="preserve">Lenders”) </w:t>
      </w:r>
      <w:r>
        <w:rPr>
          <w:rFonts w:ascii="Times New Roman;sans-serif" w:hAnsi="Times New Roman;sans-serif"/>
          <w:b w:val="false"/>
          <w:color w:val="111111"/>
          <w:sz w:val="22"/>
        </w:rPr>
        <w:t xml:space="preserve">from time to time parties to that certain Credit Agreement, dated as of the date hereof (as amended, amended and restated, supplemented, restructured or otherwise modified, renewed or replaced from time to time, the </w:t>
      </w:r>
      <w:r>
        <w:rPr>
          <w:color w:val="111111"/>
        </w:rPr>
        <w:t>“</w:t>
      </w:r>
      <w:r>
        <w:rPr>
          <w:rFonts w:ascii="Times New Roman;sans-serif" w:hAnsi="Times New Roman;sans-serif"/>
          <w:b/>
          <w:i/>
          <w:color w:val="111111"/>
          <w:sz w:val="22"/>
        </w:rPr>
        <w:t xml:space="preserve">Credit Agreement”), </w:t>
      </w:r>
      <w:r>
        <w:rPr>
          <w:rFonts w:ascii="Times New Roman;sans-serif" w:hAnsi="Times New Roman;sans-serif"/>
          <w:b w:val="false"/>
          <w:color w:val="111111"/>
          <w:sz w:val="22"/>
        </w:rPr>
        <w:t xml:space="preserve">among KALTURA, INC., a Delaware corporation (the </w:t>
      </w:r>
      <w:r>
        <w:rPr>
          <w:color w:val="111111"/>
        </w:rPr>
        <w:t>“</w:t>
      </w:r>
      <w:r>
        <w:rPr>
          <w:rFonts w:ascii="Times New Roman;sans-serif" w:hAnsi="Times New Roman;sans-serif"/>
          <w:b/>
          <w:i/>
          <w:color w:val="111111"/>
          <w:sz w:val="22"/>
        </w:rPr>
        <w:t>Borrower”)</w:t>
      </w:r>
      <w:r>
        <w:rPr>
          <w:rFonts w:ascii="Times New Roman;sans-serif" w:hAnsi="Times New Roman;sans-serif"/>
          <w:b/>
          <w:i/>
          <w:color w:val="2F2F2F"/>
          <w:sz w:val="22"/>
        </w:rPr>
        <w:t xml:space="preserve">, </w:t>
      </w:r>
      <w:r>
        <w:rPr>
          <w:rFonts w:ascii="Times New Roman;sans-serif" w:hAnsi="Times New Roman;sans-serif"/>
          <w:b w:val="false"/>
          <w:color w:val="111111"/>
          <w:sz w:val="22"/>
        </w:rPr>
        <w:t>the Lenders party thereto, and the Administrative Agent.</w:t>
      </w:r>
    </w:p>
    <w:p>
      <w:pPr>
        <w:pStyle w:val="TextBody"/>
        <w:spacing w:lineRule="auto" w:line="288" w:before="0" w:after="180"/>
        <w:jc w:val="center"/>
        <w:rPr>
          <w:rFonts w:ascii="Times New Roman;sans-serif" w:hAnsi="Times New Roman;sans-serif"/>
          <w:b/>
          <w:color w:val="111111"/>
          <w:sz w:val="22"/>
        </w:rPr>
      </w:pPr>
      <w:r>
        <w:rPr>
          <w:rFonts w:ascii="Times New Roman;sans-serif" w:hAnsi="Times New Roman;sans-serif"/>
          <w:b/>
          <w:color w:val="111111"/>
          <w:sz w:val="22"/>
        </w:rPr>
        <w:t>INTRODUCTORY STATEMENTS</w:t>
      </w:r>
    </w:p>
    <w:p>
      <w:pPr>
        <w:pStyle w:val="TextBody"/>
        <w:spacing w:lineRule="auto" w:line="288" w:before="0" w:after="180"/>
        <w:ind w:left="0" w:right="0" w:firstLine="900"/>
        <w:jc w:val="both"/>
        <w:rPr>
          <w:rFonts w:ascii="Times New Roman;sans-serif" w:hAnsi="Times New Roman;sans-serif"/>
          <w:b w:val="false"/>
          <w:color w:val="111111"/>
          <w:sz w:val="22"/>
        </w:rPr>
      </w:pPr>
      <w:r>
        <w:rPr>
          <w:rFonts w:ascii="Times New Roman;sans-serif" w:hAnsi="Times New Roman;sans-serif"/>
          <w:b w:val="false"/>
          <w:color w:val="111111"/>
          <w:sz w:val="22"/>
        </w:rPr>
        <w:t>WHEREAS, the Borrower is a member of an affiliated group of companies that includes each other Grantor;</w:t>
      </w:r>
    </w:p>
    <w:p>
      <w:pPr>
        <w:pStyle w:val="TextBody"/>
        <w:spacing w:lineRule="auto" w:line="288" w:before="0" w:after="180"/>
        <w:ind w:left="0" w:right="0" w:firstLine="900"/>
        <w:jc w:val="both"/>
        <w:rPr>
          <w:rFonts w:ascii="Times New Roman;sans-serif" w:hAnsi="Times New Roman;sans-serif"/>
          <w:b w:val="false"/>
          <w:color w:val="111111"/>
          <w:sz w:val="22"/>
        </w:rPr>
      </w:pPr>
      <w:r>
        <w:rPr>
          <w:rFonts w:ascii="Times New Roman;sans-serif" w:hAnsi="Times New Roman;sans-serif"/>
          <w:b w:val="false"/>
          <w:color w:val="111111"/>
          <w:sz w:val="22"/>
        </w:rPr>
        <w:t>WHEREAS, the proceeds of the extensions of credit under the Credit Agreement will be used in part to enable the Borrower to make valuable transfers to one or more of the other Grantors in connection with the operation of their respective business;</w:t>
      </w:r>
    </w:p>
    <w:p>
      <w:pPr>
        <w:pStyle w:val="TextBody"/>
        <w:spacing w:lineRule="auto" w:line="288" w:before="0" w:after="180"/>
        <w:ind w:left="0" w:right="0" w:firstLine="900"/>
        <w:jc w:val="both"/>
        <w:rPr>
          <w:rFonts w:ascii="Times New Roman;sans-serif" w:hAnsi="Times New Roman;sans-serif"/>
          <w:b w:val="false"/>
          <w:color w:val="111111"/>
          <w:sz w:val="22"/>
        </w:rPr>
      </w:pPr>
      <w:r>
        <w:rPr>
          <w:rFonts w:ascii="Times New Roman;sans-serif" w:hAnsi="Times New Roman;sans-serif"/>
          <w:b w:val="false"/>
          <w:color w:val="111111"/>
          <w:sz w:val="22"/>
        </w:rPr>
        <w:t>WHEREAS, certain of the Qualified Counterparties may enter into Specified Swap Agreements with the Borrower;</w:t>
      </w:r>
    </w:p>
    <w:p>
      <w:pPr>
        <w:pStyle w:val="TextBody"/>
        <w:spacing w:lineRule="auto" w:line="288" w:before="0" w:after="180"/>
        <w:ind w:left="0" w:right="0" w:firstLine="900"/>
        <w:jc w:val="both"/>
        <w:rPr>
          <w:rFonts w:ascii="Times New Roman;sans-serif" w:hAnsi="Times New Roman;sans-serif"/>
          <w:b w:val="false"/>
          <w:color w:val="111111"/>
          <w:sz w:val="22"/>
        </w:rPr>
      </w:pPr>
      <w:r>
        <w:rPr>
          <w:rFonts w:ascii="Times New Roman;sans-serif" w:hAnsi="Times New Roman;sans-serif"/>
          <w:b w:val="false"/>
          <w:color w:val="111111"/>
          <w:sz w:val="22"/>
        </w:rPr>
        <w:t>WHEREAS, the Cash Management Banks may enter into Cash Management Agreements with the Grantors;</w:t>
      </w:r>
    </w:p>
    <w:p>
      <w:pPr>
        <w:pStyle w:val="TextBody"/>
        <w:spacing w:lineRule="auto" w:line="288" w:before="0" w:after="180"/>
        <w:ind w:left="0" w:right="0" w:firstLine="900"/>
        <w:jc w:val="both"/>
        <w:rPr>
          <w:rFonts w:ascii="Times New Roman;sans-serif" w:hAnsi="Times New Roman;sans-serif"/>
          <w:b w:val="false"/>
          <w:color w:val="111111"/>
          <w:sz w:val="22"/>
        </w:rPr>
      </w:pPr>
      <w:r>
        <w:rPr>
          <w:rFonts w:ascii="Times New Roman;sans-serif" w:hAnsi="Times New Roman;sans-serif"/>
          <w:b w:val="false"/>
          <w:color w:val="111111"/>
          <w:sz w:val="22"/>
        </w:rPr>
        <w:t>WHEREAS, the Borrower and the other Grantors are engaged in related businesses, and each Grantor derives substantial direct and indirect benefit from the extensions of credit under the Credit Agreement, the Cash Management Agreements, and from the Specified Swap Agreements; and</w:t>
      </w:r>
    </w:p>
    <w:p>
      <w:pPr>
        <w:pStyle w:val="TextBody"/>
        <w:spacing w:lineRule="auto" w:line="288" w:before="0" w:after="180"/>
        <w:ind w:left="0" w:right="0" w:firstLine="900"/>
        <w:jc w:val="both"/>
        <w:rPr>
          <w:rFonts w:ascii="Times New Roman;sans-serif" w:hAnsi="Times New Roman;sans-serif"/>
          <w:b w:val="false"/>
          <w:color w:val="111111"/>
          <w:sz w:val="22"/>
        </w:rPr>
      </w:pPr>
      <w:r>
        <w:rPr>
          <w:rFonts w:ascii="Times New Roman;sans-serif" w:hAnsi="Times New Roman;sans-serif"/>
          <w:b w:val="false"/>
          <w:color w:val="111111"/>
          <w:sz w:val="22"/>
        </w:rPr>
        <w:t>WHEREAS, it is a condition precedent to the Closing Date that the Grantors shall have executed and delivered this Agreement in favor of the Administrative Agent for the ratable benefit of the Secured Parties.</w:t>
      </w:r>
    </w:p>
    <w:p>
      <w:pPr>
        <w:pStyle w:val="TextBody"/>
        <w:spacing w:lineRule="auto" w:line="288" w:before="0" w:after="180"/>
        <w:ind w:left="0" w:right="0" w:firstLine="720"/>
        <w:jc w:val="both"/>
        <w:rPr>
          <w:rFonts w:ascii="Times New Roman;sans-serif" w:hAnsi="Times New Roman;sans-serif"/>
          <w:b w:val="false"/>
          <w:color w:val="111111"/>
          <w:sz w:val="22"/>
        </w:rPr>
      </w:pPr>
      <w:r>
        <w:rPr>
          <w:rFonts w:ascii="Times New Roman;sans-serif" w:hAnsi="Times New Roman;sans-serif"/>
          <w:b w:val="false"/>
          <w:color w:val="111111"/>
          <w:sz w:val="22"/>
        </w:rPr>
        <w:t>NOW, THEREFORE, in consideration of the above premises, the parties hereto hereby agree as follows:</w:t>
      </w:r>
    </w:p>
    <w:p>
      <w:pPr>
        <w:pStyle w:val="TextBody"/>
        <w:spacing w:lineRule="auto" w:line="288" w:before="0" w:after="180"/>
        <w:ind w:left="0" w:right="0" w:firstLine="720"/>
        <w:jc w:val="both"/>
        <w:rPr/>
      </w:pPr>
      <w:r>
        <w:rPr>
          <w:rFonts w:ascii="Times New Roman;sans-serif" w:hAnsi="Times New Roman;sans-serif"/>
          <w:b w:val="false"/>
          <w:color w:val="000000"/>
          <w:sz w:val="22"/>
        </w:rPr>
        <w:t>SECTION 1.</w:t>
      </w:r>
      <w:r>
        <w:rPr>
          <w:rFonts w:ascii="Times New Roman;sans-serif" w:hAnsi="Times New Roman;sans-serif"/>
          <w:b/>
          <w:color w:val="111111"/>
          <w:sz w:val="22"/>
        </w:rPr>
        <w:t>Defined Terms.</w:t>
      </w:r>
    </w:p>
    <w:p>
      <w:pPr>
        <w:pStyle w:val="TextBody"/>
        <w:spacing w:lineRule="auto" w:line="288" w:before="0" w:after="18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111111"/>
          <w:sz w:val="22"/>
          <w:u w:val="single"/>
        </w:rPr>
        <w:t>Definitions.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111111"/>
          <w:sz w:val="22"/>
        </w:rPr>
        <w:t>Unless otherwise defined herein, terms defined in the Credit Agreement and used herein shall have the respective meanings given to such terms in the Credit Agreement</w:t>
      </w:r>
      <w:r>
        <w:rPr>
          <w:rFonts w:ascii="Times New Roman;sans-serif" w:hAnsi="Times New Roman;sans-serif"/>
          <w:b w:val="false"/>
          <w:color w:val="2F2F2F"/>
          <w:sz w:val="22"/>
        </w:rPr>
        <w:t xml:space="preserve">, </w:t>
      </w:r>
      <w:r>
        <w:rPr>
          <w:rFonts w:ascii="Times New Roman;sans-serif" w:hAnsi="Times New Roman;sans-serif"/>
          <w:b w:val="false"/>
          <w:color w:val="111111"/>
          <w:sz w:val="22"/>
        </w:rPr>
        <w:t>and the following terms are used herein as defined in the UCC: Account, Certificated Security</w:t>
      </w:r>
      <w:r>
        <w:rPr>
          <w:rFonts w:ascii="Times New Roman;sans-serif" w:hAnsi="Times New Roman;sans-serif"/>
          <w:b w:val="false"/>
          <w:color w:val="2F2F2F"/>
          <w:sz w:val="22"/>
        </w:rPr>
        <w:t xml:space="preserve">, </w:t>
      </w:r>
      <w:r>
        <w:rPr>
          <w:rFonts w:ascii="Times New Roman;sans-serif" w:hAnsi="Times New Roman;sans-serif"/>
          <w:b w:val="false"/>
          <w:color w:val="111111"/>
          <w:sz w:val="22"/>
        </w:rPr>
        <w:t>Chattel Paper, Commercial Tort Claim, Commodity Account, Document, Equipment, Fixtures, General Intangible, Goods, Instrument, Inventory, Letter-of-Credit Rights, Money, Securities Account and Supporting Obligation.</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111111"/>
          <w:sz w:val="22"/>
        </w:rPr>
        <w:t>The following terms shall have the following meanings:</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Administrative Agent”</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as defined in the preamble hereto.</w:t>
      </w:r>
      <w:r>
        <w:br w:type="page"/>
      </w:r>
    </w:p>
    <w:p>
      <w:pPr>
        <w:pStyle w:val="TextBody"/>
        <w:spacing w:before="0" w:after="0"/>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60655"/>
                <wp:effectExtent l="0" t="0" r="0" b="0"/>
                <wp:wrapNone/>
                <wp:docPr id="436" name="Frame4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Agreement”</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as defined in the preamble hereto.</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Books”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all books, records and other written, electronic or other documentation in whatever form maintained now or hereafter by or for any Grantor in connection with the ownership of its assets or the conduct of its business or evidencing or containing information relating to the Collateral</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including: (a) ledgers; (b) records indicating, summarizing, or evidencing such Grantor's assets (including Inventory and Rights to Payment), business operations or financial condition; (c) computer programs and software; (d) computer discs, tapes, files, manuals, spreadsheets; (e) computer printouts and output of whatever kind; (f) any other computer prepared or electronically stored, collected or reported information and equipment of any kind; and (g) any and all other rights now or hereafter arising out of any contract or agreement between such Grantor and any service bureau</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computer or data processing company or other Person charged with preparing or maintaining any of such Grantor's books or records or with credit reporting, including with regard to any of such Grantor's Accounts.</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Borrower”</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as defined in the preamble hereto.</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Centre of Main Interests”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as that term is used in Article 3(1) of Regulation (EU) 2015</w:t>
      </w:r>
      <w:r>
        <w:rPr>
          <w:rFonts w:ascii="Times New Roman;sans-serif" w:hAnsi="Times New Roman;sans-serif"/>
          <w:b w:val="false"/>
          <w:color w:val="313131"/>
          <w:sz w:val="22"/>
        </w:rPr>
        <w:t>/</w:t>
      </w:r>
      <w:r>
        <w:rPr>
          <w:rFonts w:ascii="Times New Roman;sans-serif" w:hAnsi="Times New Roman;sans-serif"/>
          <w:b w:val="false"/>
          <w:color w:val="111111"/>
          <w:sz w:val="22"/>
        </w:rPr>
        <w:t>848 of 20 May 2015 on insolvency proceedings (recast).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Collateral”</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 xml:space="preserve">as defined in </w:t>
      </w:r>
      <w:r>
        <w:rPr>
          <w:rFonts w:ascii="Times New Roman;sans-serif" w:hAnsi="Times New Roman;sans-serif"/>
          <w:b w:val="false"/>
          <w:color w:val="111111"/>
          <w:sz w:val="22"/>
          <w:u w:val="single"/>
        </w:rPr>
        <w:t>Section 3.1</w:t>
      </w:r>
      <w:r>
        <w:rPr>
          <w:rFonts w:ascii="Times New Roman;sans-serif" w:hAnsi="Times New Roman;sans-serif"/>
          <w:b w:val="false"/>
          <w:color w:val="111111"/>
          <w:sz w:val="22"/>
        </w:rPr>
        <w: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Collateral Account”</w:t>
      </w:r>
      <w:r>
        <w:rPr>
          <w:rFonts w:ascii="Times New Roman;sans-serif" w:hAnsi="Times New Roman;sans-serif"/>
          <w:b w:val="false"/>
          <w:i/>
          <w:color w:val="111111"/>
          <w:sz w:val="22"/>
        </w:rPr>
        <w:t xml:space="preserve">: </w:t>
      </w:r>
      <w:r>
        <w:rPr>
          <w:rFonts w:ascii="Times New Roman;sans-serif" w:hAnsi="Times New Roman;sans-serif"/>
          <w:b w:val="false"/>
          <w:color w:val="111111"/>
          <w:sz w:val="22"/>
        </w:rPr>
        <w:t xml:space="preserve">any collateral account established by the Administrative Agent as provided in </w:t>
      </w:r>
      <w:r>
        <w:rPr>
          <w:rFonts w:ascii="Times New Roman;sans-serif" w:hAnsi="Times New Roman;sans-serif"/>
          <w:b w:val="false"/>
          <w:color w:val="111111"/>
          <w:sz w:val="22"/>
          <w:u w:val="single"/>
        </w:rPr>
        <w:t>Section 6.1</w:t>
      </w:r>
      <w:r>
        <w:rPr>
          <w:color w:val="111111"/>
        </w:rPr>
        <w:t xml:space="preserve"> </w:t>
      </w:r>
      <w:r>
        <w:rPr>
          <w:rFonts w:ascii="Times New Roman;sans-serif" w:hAnsi="Times New Roman;sans-serif"/>
          <w:b w:val="false"/>
          <w:color w:val="111111"/>
          <w:sz w:val="22"/>
        </w:rPr>
        <w:t xml:space="preserve">or </w:t>
      </w:r>
      <w:r>
        <w:rPr>
          <w:rFonts w:ascii="Times New Roman;sans-serif" w:hAnsi="Times New Roman;sans-serif"/>
          <w:b w:val="false"/>
          <w:color w:val="111111"/>
          <w:sz w:val="22"/>
          <w:u w:val="single"/>
        </w:rPr>
        <w:t>6.4</w:t>
      </w:r>
      <w:r>
        <w:rPr>
          <w:rFonts w:ascii="Times New Roman;sans-serif" w:hAnsi="Times New Roman;sans-serif"/>
          <w:b w:val="false"/>
          <w:color w:val="111111"/>
          <w:sz w:val="22"/>
        </w:rPr>
        <w: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Copyright License”</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 xml:space="preserve">any written agreement which (a) names a Grantor as licensor or licensee (including those listed on </w:t>
      </w:r>
      <w:r>
        <w:rPr>
          <w:rFonts w:ascii="Times New Roman;sans-serif" w:hAnsi="Times New Roman;sans-serif"/>
          <w:b w:val="false"/>
          <w:color w:val="111111"/>
          <w:sz w:val="22"/>
          <w:u w:val="single"/>
        </w:rPr>
        <w:t>Schedule 6</w:t>
      </w:r>
      <w:r>
        <w:rPr>
          <w:rFonts w:ascii="Times New Roman;sans-serif" w:hAnsi="Times New Roman;sans-serif"/>
          <w:b w:val="false"/>
          <w:color w:val="111111"/>
          <w:sz w:val="22"/>
        </w:rPr>
        <w:t>), or (b) grants any right under any Copyright to a Grantor, including any rights to manufacture, distribute, exploit and sell materials derived from any Copyright.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Copyrights”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 xml:space="preserve">(a) </w:t>
      </w:r>
      <w:r>
        <w:rPr>
          <w:rFonts w:ascii="Times New Roman;sans-serif" w:hAnsi="Times New Roman;sans-serif"/>
          <w:b w:val="false"/>
          <w:color w:val="000000"/>
          <w:sz w:val="22"/>
        </w:rPr>
        <w:t xml:space="preserve">all copyrights arising under the laws of the United States, any state thereof, any other country or any political subdivision thereof, together with the underlying works of authorship (including titles), whether registered or unregistered and whether published or unpublished (including those listed on </w:t>
      </w:r>
      <w:r>
        <w:rPr>
          <w:rFonts w:ascii="Times New Roman;sans-serif" w:hAnsi="Times New Roman;sans-serif"/>
          <w:b w:val="false"/>
          <w:color w:val="000000"/>
          <w:sz w:val="22"/>
          <w:u w:val="single"/>
        </w:rPr>
        <w:t>Schedule 6</w:t>
      </w:r>
      <w:r>
        <w:rPr>
          <w:rFonts w:ascii="Times New Roman;sans-serif" w:hAnsi="Times New Roman;sans-serif"/>
          <w:b w:val="false"/>
          <w:color w:val="000000"/>
          <w:sz w:val="22"/>
        </w:rPr>
        <w:t>), all computer programs, computer databases, computer program flow diagrams, source codes, object codes and all other tangible property embodying or incorporating any copyrights, all registrations and recordings thereof, and all applications in connection therewith, including, without limitation, all registrations, recordings and applications in the United States Copyright Office, and (b) the right to obtain any renewals thereof.</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Deposit Account”</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as defined in the Uniform Commercial Code and, in any event</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including any demand, time</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savings, passbook or like account maintained with a depositary institution.</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Excluded Accounts”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 Deposit Accounts exclusively used as payroll, healthcare and other employee wage and benefits accounts, (b) sales, payroll and similar tax trust accounts, (c) escrow, defeasance and redemption accounts, (d) fiduciary or trust accounts, (e) zero-balance accounts, (f) accounts with a 30-day average principal balance not in excess of $100,000 in the aggregate and (g) the funds or other property held in or maintained for such purposes in any such account described in clauses (a) through (f).</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Excluded Assets”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collectively,</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111111"/>
          <w:sz w:val="22"/>
        </w:rPr>
        <w:t xml:space="preserve">Equipment owned by any Grantor on the date hereof or hereafter acquired that is subject to a Lien securing a purchase money obligation or Capital Lease Obligation not prohibited by the terms of the Credit Agreement if the contract or other agreement pursuant to which such Lien is granted </w:t>
      </w:r>
      <w:r>
        <w:br w:type="page"/>
      </w:r>
    </w:p>
    <w:p>
      <w:pPr>
        <w:pStyle w:val="TextBody"/>
        <w:spacing w:before="0" w:after="0"/>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60655"/>
                <wp:effectExtent l="0" t="0" r="0" b="0"/>
                <wp:wrapNone/>
                <wp:docPr id="437" name="Frame4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111111"/>
          <w:sz w:val="22"/>
        </w:rPr>
        <w:t>( or the documentation providing for such purcha</w:t>
      </w:r>
      <w:r>
        <w:rPr>
          <w:rFonts w:ascii="Times New Roman;sans-serif" w:hAnsi="Times New Roman;sans-serif"/>
          <w:b w:val="false"/>
          <w:color w:val="262626"/>
          <w:sz w:val="22"/>
        </w:rPr>
        <w:t>s</w:t>
      </w:r>
      <w:r>
        <w:rPr>
          <w:rFonts w:ascii="Times New Roman;sans-serif" w:hAnsi="Times New Roman;sans-serif"/>
          <w:b w:val="false"/>
          <w:color w:val="111111"/>
          <w:sz w:val="22"/>
        </w:rPr>
        <w:t>e money obligation or Capital Lease Obligation) validly prohibits the creation of any other Lien on such Equipment and proceeds of such Equipment</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111111"/>
          <w:sz w:val="22"/>
        </w:rPr>
        <w:t>any Collateral with respect to which the Administrati</w:t>
      </w:r>
      <w:r>
        <w:rPr>
          <w:rFonts w:ascii="Times New Roman;sans-serif" w:hAnsi="Times New Roman;sans-serif"/>
          <w:b w:val="false"/>
          <w:color w:val="262626"/>
          <w:sz w:val="22"/>
        </w:rPr>
        <w:t>v</w:t>
      </w:r>
      <w:r>
        <w:rPr>
          <w:rFonts w:ascii="Times New Roman;sans-serif" w:hAnsi="Times New Roman;sans-serif"/>
          <w:b w:val="false"/>
          <w:color w:val="111111"/>
          <w:sz w:val="22"/>
        </w:rPr>
        <w:t>e Agent has determined, in consultation with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that the costs of obtaining a security interest in such Collateral are excessive in relation to the benefits provided to the Secured Parties by such security interest</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111111"/>
          <w:sz w:val="22"/>
        </w:rPr>
        <w:t>any real property leasehold interests of any Grantor;</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111111"/>
          <w:sz w:val="22"/>
        </w:rPr>
        <w:t xml:space="preserve">margin stock (within the meaning of Regulation U issued by the Board) to the extent the creation of a security interest therein in favor of the Administrative Agent (for the ratable benefit of the Secured Parties) will result in a </w:t>
      </w:r>
      <w:r>
        <w:rPr>
          <w:rFonts w:ascii="Times New Roman;sans-serif" w:hAnsi="Times New Roman;sans-serif"/>
          <w:b w:val="false"/>
          <w:color w:val="262626"/>
          <w:sz w:val="22"/>
        </w:rPr>
        <w:t>v</w:t>
      </w:r>
      <w:r>
        <w:rPr>
          <w:rFonts w:ascii="Times New Roman;sans-serif" w:hAnsi="Times New Roman;sans-serif"/>
          <w:b w:val="false"/>
          <w:color w:val="111111"/>
          <w:sz w:val="22"/>
        </w:rPr>
        <w:t>iolation of any regulation of the Board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including Regulation 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Regulation U and Regulation X issued by the Board</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111111"/>
          <w:sz w:val="22"/>
        </w:rPr>
        <w:t>any Capital Stock ( other than Capital Stock of a Loan Party or a wholly-owned direct Subsidiary thereof which is not excluded pursuant to clause (g) below) if the granting of a security interest in such Capital Stock is prohibited by the applicable joint venture, shareholder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stock purchase or similar agreement (after giving effect to the UCC or any other applicable law (including the Bankruptcy Code) or principles of equity)</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111111"/>
          <w:sz w:val="22"/>
        </w:rPr>
        <w:t>motor vehicles and other equipment covered by certificates of title</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111111"/>
          <w:sz w:val="22"/>
        </w:rPr>
        <w:t>(i) Capital Stock of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(ii) Capital Stock of any Excluded Subsidiary that is an Immaterial Sub</w:t>
      </w:r>
      <w:r>
        <w:rPr>
          <w:rFonts w:ascii="Times New Roman;sans-serif" w:hAnsi="Times New Roman;sans-serif"/>
          <w:b w:val="false"/>
          <w:color w:val="262626"/>
          <w:sz w:val="22"/>
        </w:rPr>
        <w:t>s</w:t>
      </w:r>
      <w:r>
        <w:rPr>
          <w:rFonts w:ascii="Times New Roman;sans-serif" w:hAnsi="Times New Roman;sans-serif"/>
          <w:b w:val="false"/>
          <w:color w:val="111111"/>
          <w:sz w:val="22"/>
        </w:rPr>
        <w:t>idiary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(iii) Capital Stock of any indirect Subsidiary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(i</w:t>
      </w:r>
      <w:r>
        <w:rPr>
          <w:rFonts w:ascii="Times New Roman;sans-serif" w:hAnsi="Times New Roman;sans-serif"/>
          <w:b w:val="false"/>
          <w:color w:val="262626"/>
          <w:sz w:val="22"/>
        </w:rPr>
        <w:t>v</w:t>
      </w:r>
      <w:r>
        <w:rPr>
          <w:rFonts w:ascii="Times New Roman;sans-serif" w:hAnsi="Times New Roman;sans-serif"/>
          <w:b w:val="false"/>
          <w:color w:val="111111"/>
          <w:sz w:val="22"/>
        </w:rPr>
        <w:t xml:space="preserve">) </w:t>
      </w:r>
      <w:r>
        <w:rPr>
          <w:rFonts w:ascii="Times New Roman;sans-serif" w:hAnsi="Times New Roman;sans-serif"/>
          <w:b w:val="false"/>
          <w:color w:val="262626"/>
          <w:sz w:val="22"/>
        </w:rPr>
        <w:t>v</w:t>
      </w:r>
      <w:r>
        <w:rPr>
          <w:rFonts w:ascii="Times New Roman;sans-serif" w:hAnsi="Times New Roman;sans-serif"/>
          <w:b w:val="false"/>
          <w:color w:val="111111"/>
          <w:sz w:val="22"/>
        </w:rPr>
        <w:t>oting Capital Stock of any Foreign Sub</w:t>
      </w:r>
      <w:r>
        <w:rPr>
          <w:rFonts w:ascii="Times New Roman;sans-serif" w:hAnsi="Times New Roman;sans-serif"/>
          <w:b w:val="false"/>
          <w:color w:val="262626"/>
          <w:sz w:val="22"/>
        </w:rPr>
        <w:t>s</w:t>
      </w:r>
      <w:r>
        <w:rPr>
          <w:rFonts w:ascii="Times New Roman;sans-serif" w:hAnsi="Times New Roman;sans-serif"/>
          <w:b w:val="false"/>
          <w:color w:val="111111"/>
          <w:sz w:val="22"/>
        </w:rPr>
        <w:t>idiary (other than Kaltura Europe Limited) in excess of 65</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of the outstanding voting Capital Stock of </w:t>
      </w:r>
      <w:r>
        <w:rPr>
          <w:rFonts w:ascii="Times New Roman;sans-serif" w:hAnsi="Times New Roman;sans-serif"/>
          <w:b w:val="false"/>
          <w:color w:val="262626"/>
          <w:sz w:val="22"/>
        </w:rPr>
        <w:t>s</w:t>
      </w:r>
      <w:r>
        <w:rPr>
          <w:rFonts w:ascii="Times New Roman;sans-serif" w:hAnsi="Times New Roman;sans-serif"/>
          <w:b w:val="false"/>
          <w:color w:val="111111"/>
          <w:sz w:val="22"/>
        </w:rPr>
        <w:t>uch entity</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111111"/>
          <w:sz w:val="22"/>
        </w:rPr>
        <w:t>fee-owned real estate having a fair market value of less than $1</w:t>
      </w:r>
      <w:r>
        <w:rPr>
          <w:rFonts w:ascii="Times New Roman;sans-serif" w:hAnsi="Times New Roman;sans-serif"/>
          <w:b w:val="false"/>
          <w:color w:val="262626"/>
          <w:sz w:val="22"/>
        </w:rPr>
        <w:t>,</w:t>
      </w:r>
      <w:r>
        <w:rPr>
          <w:rFonts w:ascii="Times New Roman;sans-serif" w:hAnsi="Times New Roman;sans-serif"/>
          <w:b w:val="false"/>
          <w:color w:val="111111"/>
          <w:sz w:val="22"/>
        </w:rPr>
        <w:t>000,000</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111111"/>
          <w:sz w:val="22"/>
        </w:rPr>
        <w:t>any intent-to-use United States Trademark application for which neither (i) an amendment to allege use to bring the application into conformity with 15 U.S.C. § 1051(a) has been filed with and accepted by the United States Patent and Trademark Office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nor (ii) a verified statement of use under 15 U.S.C. § 1051(d) has been filed with and accepted by the United States Patent and Trademark Office</w:t>
      </w:r>
      <w:r>
        <w:rPr>
          <w:rFonts w:ascii="Times New Roman;sans-serif" w:hAnsi="Times New Roman;sans-serif"/>
          <w:b w:val="false"/>
          <w:color w:val="262626"/>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111111"/>
          <w:sz w:val="22"/>
        </w:rPr>
        <w:t xml:space="preserve">letter of credit rights with a </w:t>
      </w:r>
      <w:r>
        <w:rPr>
          <w:rFonts w:ascii="Times New Roman;sans-serif" w:hAnsi="Times New Roman;sans-serif"/>
          <w:b w:val="false"/>
          <w:color w:val="262626"/>
          <w:sz w:val="22"/>
        </w:rPr>
        <w:t>v</w:t>
      </w:r>
      <w:r>
        <w:rPr>
          <w:rFonts w:ascii="Times New Roman;sans-serif" w:hAnsi="Times New Roman;sans-serif"/>
          <w:b w:val="false"/>
          <w:color w:val="111111"/>
          <w:sz w:val="22"/>
        </w:rPr>
        <w:t xml:space="preserve">alue not in excess of </w:t>
      </w:r>
      <w:r>
        <w:rPr>
          <w:rFonts w:ascii="Times New Roman;sans-serif" w:hAnsi="Times New Roman;sans-serif"/>
          <w:b w:val="false"/>
          <w:color w:val="262626"/>
          <w:sz w:val="22"/>
        </w:rPr>
        <w:t>$</w:t>
      </w:r>
      <w:r>
        <w:rPr>
          <w:rFonts w:ascii="Times New Roman;sans-serif" w:hAnsi="Times New Roman;sans-serif"/>
          <w:b w:val="false"/>
          <w:color w:val="111111"/>
          <w:sz w:val="22"/>
        </w:rPr>
        <w:t>500</w:t>
      </w:r>
      <w:r>
        <w:rPr>
          <w:rFonts w:ascii="Times New Roman;sans-serif" w:hAnsi="Times New Roman;sans-serif"/>
          <w:b w:val="false"/>
          <w:color w:val="262626"/>
          <w:sz w:val="22"/>
        </w:rPr>
        <w:t>,</w:t>
      </w:r>
      <w:r>
        <w:rPr>
          <w:rFonts w:ascii="Times New Roman;sans-serif" w:hAnsi="Times New Roman;sans-serif"/>
          <w:b w:val="false"/>
          <w:color w:val="111111"/>
          <w:sz w:val="22"/>
        </w:rPr>
        <w:t xml:space="preserve">000 in the aggregate and commercial tort claims with a value not in excess of </w:t>
      </w:r>
      <w:r>
        <w:rPr>
          <w:rFonts w:ascii="Times New Roman;sans-serif" w:hAnsi="Times New Roman;sans-serif"/>
          <w:b w:val="false"/>
          <w:color w:val="262626"/>
          <w:sz w:val="22"/>
        </w:rPr>
        <w:t>$</w:t>
      </w:r>
      <w:r>
        <w:rPr>
          <w:rFonts w:ascii="Times New Roman;sans-serif" w:hAnsi="Times New Roman;sans-serif"/>
          <w:b w:val="false"/>
          <w:color w:val="111111"/>
          <w:sz w:val="22"/>
        </w:rPr>
        <w:t>500</w:t>
      </w:r>
      <w:r>
        <w:rPr>
          <w:rFonts w:ascii="Times New Roman;sans-serif" w:hAnsi="Times New Roman;sans-serif"/>
          <w:b w:val="false"/>
          <w:color w:val="262626"/>
          <w:sz w:val="22"/>
        </w:rPr>
        <w:t>,</w:t>
      </w:r>
      <w:r>
        <w:rPr>
          <w:rFonts w:ascii="Times New Roman;sans-serif" w:hAnsi="Times New Roman;sans-serif"/>
          <w:b w:val="false"/>
          <w:color w:val="111111"/>
          <w:sz w:val="22"/>
        </w:rPr>
        <w:t>000 in the aggregate unless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 each case, capable of being perfected by the filing of a general Uniform Commercial Code financing statement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111111"/>
          <w:sz w:val="22"/>
        </w:rPr>
        <w:t>Excluded Accounts</w:t>
      </w:r>
      <w:r>
        <w:rPr>
          <w:rFonts w:ascii="Times New Roman;sans-serif" w:hAnsi="Times New Roman;sans-serif"/>
          <w:b w:val="false"/>
          <w:color w:val="262626"/>
          <w:sz w:val="22"/>
        </w:rPr>
        <w:t>;</w:t>
      </w:r>
    </w:p>
    <w:p>
      <w:pPr>
        <w:pStyle w:val="TextBody"/>
        <w:spacing w:lineRule="auto" w:line="288" w:before="0" w:after="180"/>
        <w:jc w:val="both"/>
        <w:rPr/>
      </w:pPr>
      <w:r>
        <w:rPr>
          <w:rFonts w:ascii="Times New Roman;sans-serif" w:hAnsi="Times New Roman;sans-serif"/>
          <w:b w:val="false"/>
          <w:color w:val="111111"/>
          <w:sz w:val="22"/>
          <w:u w:val="single"/>
        </w:rPr>
        <w:t>pro</w:t>
      </w:r>
      <w:r>
        <w:rPr>
          <w:rFonts w:ascii="Times New Roman;sans-serif" w:hAnsi="Times New Roman;sans-serif"/>
          <w:b w:val="false"/>
          <w:color w:val="262626"/>
          <w:sz w:val="22"/>
          <w:u w:val="single"/>
        </w:rPr>
        <w:t>v</w:t>
      </w:r>
      <w:r>
        <w:rPr>
          <w:rFonts w:ascii="Times New Roman;sans-serif" w:hAnsi="Times New Roman;sans-serif"/>
          <w:b w:val="false"/>
          <w:color w:val="111111"/>
          <w:sz w:val="22"/>
          <w:u w:val="single"/>
        </w:rPr>
        <w:t>ided</w:t>
      </w:r>
      <w:r>
        <w:rPr>
          <w:rFonts w:ascii="Times New Roman;sans-serif" w:hAnsi="Times New Roman;sans-serif"/>
          <w:b w:val="false"/>
          <w:color w:val="111111"/>
          <w:sz w:val="22"/>
        </w:rPr>
        <w:t xml:space="preserve">, </w:t>
      </w:r>
      <w:r>
        <w:rPr>
          <w:rFonts w:ascii="Times New Roman;sans-serif" w:hAnsi="Times New Roman;sans-serif"/>
          <w:b w:val="false"/>
          <w:color w:val="111111"/>
          <w:sz w:val="22"/>
          <w:u w:val="single"/>
        </w:rPr>
        <w:t>however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that any Accounts or Proceeds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substitutions or replacements of any Excluded Assets shall not be Excluded As</w:t>
      </w:r>
      <w:r>
        <w:rPr>
          <w:rFonts w:ascii="Times New Roman;sans-serif" w:hAnsi="Times New Roman;sans-serif"/>
          <w:b w:val="false"/>
          <w:color w:val="262626"/>
          <w:sz w:val="22"/>
        </w:rPr>
        <w:t>s</w:t>
      </w:r>
      <w:r>
        <w:rPr>
          <w:rFonts w:ascii="Times New Roman;sans-serif" w:hAnsi="Times New Roman;sans-serif"/>
          <w:b w:val="false"/>
          <w:color w:val="111111"/>
          <w:sz w:val="22"/>
        </w:rPr>
        <w:t>ets (unles</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such Proceeds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substitutions or replacements are otherwise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 and of them</w:t>
      </w:r>
      <w:r>
        <w:rPr>
          <w:rFonts w:ascii="Times New Roman;sans-serif" w:hAnsi="Times New Roman;sans-serif"/>
          <w:b w:val="false"/>
          <w:color w:val="262626"/>
          <w:sz w:val="22"/>
        </w:rPr>
        <w:t>s</w:t>
      </w:r>
      <w:r>
        <w:rPr>
          <w:rFonts w:ascii="Times New Roman;sans-serif" w:hAnsi="Times New Roman;sans-serif"/>
          <w:b w:val="false"/>
          <w:color w:val="111111"/>
          <w:sz w:val="22"/>
        </w:rPr>
        <w:t>elves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Excluded Assets).</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Fraudulent Transfer Laws”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 xml:space="preserve">as defined in </w:t>
      </w:r>
      <w:r>
        <w:rPr>
          <w:rFonts w:ascii="Times New Roman;sans-serif" w:hAnsi="Times New Roman;sans-serif"/>
          <w:b w:val="false"/>
          <w:color w:val="111111"/>
          <w:sz w:val="22"/>
          <w:u w:val="single"/>
        </w:rPr>
        <w:t>Section 2.1(f)</w:t>
      </w:r>
      <w:r>
        <w:rPr>
          <w:rFonts w:ascii="Times New Roman;sans-serif" w:hAnsi="Times New Roman;sans-serif"/>
          <w:b w:val="false"/>
          <w:color w:val="111111"/>
          <w:sz w:val="22"/>
        </w:rPr>
        <w:t xml:space="preserve">. </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Grantor”</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 xml:space="preserve">defined in the preamble hereto. </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Guarantor”</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 xml:space="preserve">as defined in </w:t>
      </w:r>
      <w:r>
        <w:rPr>
          <w:rFonts w:ascii="Times New Roman;sans-serif" w:hAnsi="Times New Roman;sans-serif"/>
          <w:b w:val="false"/>
          <w:color w:val="111111"/>
          <w:sz w:val="22"/>
          <w:u w:val="single"/>
        </w:rPr>
        <w:t>Section 2.1(a)</w:t>
      </w:r>
      <w:r>
        <w:rPr>
          <w:rFonts w:ascii="Times New Roman;sans-serif" w:hAnsi="Times New Roman;sans-serif"/>
          <w:b w:val="false"/>
          <w:color w:val="111111"/>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60655"/>
                <wp:effectExtent l="0" t="0" r="0" b="0"/>
                <wp:wrapNone/>
                <wp:docPr id="438" name="Frame4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Intellectual Property Licen</w:t>
      </w:r>
      <w:r>
        <w:rPr>
          <w:rFonts w:ascii="Times New Roman;sans-serif" w:hAnsi="Times New Roman;sans-serif"/>
          <w:b/>
          <w:i/>
          <w:color w:val="232323"/>
          <w:sz w:val="22"/>
        </w:rPr>
        <w:t>s</w:t>
      </w:r>
      <w:r>
        <w:rPr>
          <w:rFonts w:ascii="Times New Roman;sans-serif" w:hAnsi="Times New Roman;sans-serif"/>
          <w:b/>
          <w:i/>
          <w:color w:val="111111"/>
          <w:sz w:val="22"/>
        </w:rPr>
        <w:t>es”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th</w:t>
      </w:r>
      <w:r>
        <w:rPr>
          <w:rFonts w:ascii="Times New Roman;sans-serif" w:hAnsi="Times New Roman;sans-serif"/>
          <w:b w:val="false"/>
          <w:color w:val="232323"/>
          <w:sz w:val="22"/>
        </w:rPr>
        <w:t>e c</w:t>
      </w:r>
      <w:r>
        <w:rPr>
          <w:rFonts w:ascii="Times New Roman;sans-serif" w:hAnsi="Times New Roman;sans-serif"/>
          <w:b w:val="false"/>
          <w:color w:val="111111"/>
          <w:sz w:val="22"/>
        </w:rPr>
        <w:t>oll</w:t>
      </w:r>
      <w:r>
        <w:rPr>
          <w:rFonts w:ascii="Times New Roman;sans-serif" w:hAnsi="Times New Roman;sans-serif"/>
          <w:b w:val="false"/>
          <w:color w:val="232323"/>
          <w:sz w:val="22"/>
        </w:rPr>
        <w:t>ec</w:t>
      </w:r>
      <w:r>
        <w:rPr>
          <w:rFonts w:ascii="Times New Roman;sans-serif" w:hAnsi="Times New Roman;sans-serif"/>
          <w:b w:val="false"/>
          <w:color w:val="111111"/>
          <w:sz w:val="22"/>
        </w:rPr>
        <w:t>tiv</w:t>
      </w:r>
      <w:r>
        <w:rPr>
          <w:rFonts w:ascii="Times New Roman;sans-serif" w:hAnsi="Times New Roman;sans-serif"/>
          <w:b w:val="false"/>
          <w:color w:val="232323"/>
          <w:sz w:val="22"/>
        </w:rPr>
        <w:t xml:space="preserve">e </w:t>
      </w:r>
      <w:r>
        <w:rPr>
          <w:rFonts w:ascii="Times New Roman;sans-serif" w:hAnsi="Times New Roman;sans-serif"/>
          <w:b w:val="false"/>
          <w:color w:val="111111"/>
          <w:sz w:val="22"/>
        </w:rPr>
        <w:t>r</w:t>
      </w:r>
      <w:r>
        <w:rPr>
          <w:rFonts w:ascii="Times New Roman;sans-serif" w:hAnsi="Times New Roman;sans-serif"/>
          <w:b w:val="false"/>
          <w:color w:val="232323"/>
          <w:sz w:val="22"/>
        </w:rPr>
        <w:t>e</w:t>
      </w:r>
      <w:r>
        <w:rPr>
          <w:rFonts w:ascii="Times New Roman;sans-serif" w:hAnsi="Times New Roman;sans-serif"/>
          <w:b w:val="false"/>
          <w:color w:val="111111"/>
          <w:sz w:val="22"/>
        </w:rPr>
        <w:t>fer</w:t>
      </w:r>
      <w:r>
        <w:rPr>
          <w:rFonts w:ascii="Times New Roman;sans-serif" w:hAnsi="Times New Roman;sans-serif"/>
          <w:b w:val="false"/>
          <w:color w:val="232323"/>
          <w:sz w:val="22"/>
        </w:rPr>
        <w:t>e</w:t>
      </w:r>
      <w:r>
        <w:rPr>
          <w:rFonts w:ascii="Times New Roman;sans-serif" w:hAnsi="Times New Roman;sans-serif"/>
          <w:b w:val="false"/>
          <w:color w:val="111111"/>
          <w:sz w:val="22"/>
        </w:rPr>
        <w:t>nce to the Copyri</w:t>
      </w:r>
      <w:r>
        <w:rPr>
          <w:rFonts w:ascii="Times New Roman;sans-serif" w:hAnsi="Times New Roman;sans-serif"/>
          <w:b w:val="false"/>
          <w:color w:val="232323"/>
          <w:sz w:val="22"/>
        </w:rPr>
        <w:t>g</w:t>
      </w:r>
      <w:r>
        <w:rPr>
          <w:rFonts w:ascii="Times New Roman;sans-serif" w:hAnsi="Times New Roman;sans-serif"/>
          <w:b w:val="false"/>
          <w:color w:val="111111"/>
          <w:sz w:val="22"/>
        </w:rPr>
        <w:t>ht Licenses, the Patent Lic</w:t>
      </w:r>
      <w:r>
        <w:rPr>
          <w:rFonts w:ascii="Times New Roman;sans-serif" w:hAnsi="Times New Roman;sans-serif"/>
          <w:b w:val="false"/>
          <w:color w:val="232323"/>
          <w:sz w:val="22"/>
        </w:rPr>
        <w:t>e</w:t>
      </w:r>
      <w:r>
        <w:rPr>
          <w:rFonts w:ascii="Times New Roman;sans-serif" w:hAnsi="Times New Roman;sans-serif"/>
          <w:b w:val="false"/>
          <w:color w:val="111111"/>
          <w:sz w:val="22"/>
        </w:rPr>
        <w:t>nses and the Trademark Licenses.</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Investment Account”</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any of a Securities Account, a Commodity Account or a Deposit Account.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Investment Property”</w:t>
      </w:r>
      <w:r>
        <w:rPr>
          <w:rFonts w:ascii="Times New Roman;sans-serif" w:hAnsi="Times New Roman;sans-serif"/>
          <w:b w:val="false"/>
          <w:i/>
          <w:color w:val="232323"/>
          <w:sz w:val="22"/>
        </w:rPr>
        <w:t>:</w:t>
      </w:r>
      <w:r>
        <w:rPr>
          <w:color w:val="232323"/>
        </w:rPr>
        <w:t xml:space="preserve"> </w:t>
      </w:r>
      <w:r>
        <w:rPr>
          <w:rFonts w:ascii="Times New Roman;sans-serif" w:hAnsi="Times New Roman;sans-serif"/>
          <w:b w:val="false"/>
          <w:color w:val="111111"/>
          <w:sz w:val="22"/>
        </w:rPr>
        <w:t xml:space="preserve">the collective reference to (a) all </w:t>
      </w:r>
      <w:r>
        <w:rPr>
          <w:rFonts w:ascii="Times New Roman;sans-serif" w:hAnsi="Times New Roman;sans-serif"/>
          <w:b w:val="false"/>
          <w:color w:val="232323"/>
          <w:sz w:val="22"/>
        </w:rPr>
        <w:t>"</w:t>
      </w:r>
      <w:r>
        <w:rPr>
          <w:rFonts w:ascii="Times New Roman;sans-serif" w:hAnsi="Times New Roman;sans-serif"/>
          <w:b w:val="false"/>
          <w:color w:val="111111"/>
          <w:sz w:val="22"/>
        </w:rPr>
        <w:t xml:space="preserve">investment property" as such term is defined in Section 9-102(a)(49) of the UCC (other than Excluded Assets), and (b) whether or not constituting </w:t>
      </w:r>
      <w:r>
        <w:rPr>
          <w:rFonts w:ascii="Times New Roman;sans-serif" w:hAnsi="Times New Roman;sans-serif"/>
          <w:b w:val="false"/>
          <w:color w:val="232323"/>
          <w:sz w:val="22"/>
        </w:rPr>
        <w:t>"</w:t>
      </w:r>
      <w:r>
        <w:rPr>
          <w:rFonts w:ascii="Times New Roman;sans-serif" w:hAnsi="Times New Roman;sans-serif"/>
          <w:b w:val="false"/>
          <w:color w:val="111111"/>
          <w:sz w:val="22"/>
        </w:rPr>
        <w:t>investment property" as so defined</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all Pledged Notes and all Pledged Collateral.</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Issuer”</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with respect to any Investment Property, the issuer of such Investment Property.</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Patent License”</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any written agreement which (a) names a Grantor as licensor or licensee and (b) grants to such Grantor any right under a Patent</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including the right to manufacture</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 xml:space="preserve">use or </w:t>
      </w:r>
      <w:r>
        <w:rPr>
          <w:rFonts w:ascii="Times New Roman;sans-serif" w:hAnsi="Times New Roman;sans-serif"/>
          <w:b w:val="false"/>
          <w:color w:val="232323"/>
          <w:sz w:val="22"/>
        </w:rPr>
        <w:t>s</w:t>
      </w:r>
      <w:r>
        <w:rPr>
          <w:rFonts w:ascii="Times New Roman;sans-serif" w:hAnsi="Times New Roman;sans-serif"/>
          <w:b w:val="false"/>
          <w:color w:val="111111"/>
          <w:sz w:val="22"/>
        </w:rPr>
        <w:t>ell any invention covered in whole or in part by such Patent</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 xml:space="preserve">including any such agreements referred to on </w:t>
      </w:r>
      <w:r>
        <w:rPr>
          <w:rFonts w:ascii="Times New Roman;sans-serif" w:hAnsi="Times New Roman;sans-serif"/>
          <w:b w:val="false"/>
          <w:color w:val="111111"/>
          <w:sz w:val="22"/>
          <w:u w:val="single"/>
        </w:rPr>
        <w:t>Schedule 6</w:t>
      </w:r>
      <w:r>
        <w:rPr>
          <w:rFonts w:ascii="Times New Roman;sans-serif" w:hAnsi="Times New Roman;sans-serif"/>
          <w:b w:val="false"/>
          <w:color w:val="111111"/>
          <w:sz w:val="22"/>
        </w:rPr>
        <w: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Patents”</w:t>
      </w:r>
      <w:r>
        <w:rPr>
          <w:rFonts w:ascii="Times New Roman;sans-serif" w:hAnsi="Times New Roman;sans-serif"/>
          <w:b w:val="false"/>
          <w:i/>
          <w:color w:val="232323"/>
          <w:sz w:val="22"/>
        </w:rPr>
        <w:t>:</w:t>
      </w:r>
      <w:r>
        <w:rPr>
          <w:color w:val="232323"/>
        </w:rPr>
        <w:t xml:space="preserve"> </w:t>
      </w:r>
      <w:r>
        <w:rPr>
          <w:rFonts w:ascii="Times New Roman;sans-serif" w:hAnsi="Times New Roman;sans-serif"/>
          <w:b w:val="false"/>
          <w:color w:val="111111"/>
          <w:sz w:val="22"/>
        </w:rPr>
        <w:t>(a) all letter</w:t>
      </w:r>
      <w:r>
        <w:rPr>
          <w:rFonts w:ascii="Times New Roman;sans-serif" w:hAnsi="Times New Roman;sans-serif"/>
          <w:b w:val="false"/>
          <w:color w:val="232323"/>
          <w:sz w:val="22"/>
        </w:rPr>
        <w:t xml:space="preserve">s </w:t>
      </w:r>
      <w:r>
        <w:rPr>
          <w:rFonts w:ascii="Times New Roman;sans-serif" w:hAnsi="Times New Roman;sans-serif"/>
          <w:b w:val="false"/>
          <w:color w:val="111111"/>
          <w:sz w:val="22"/>
        </w:rPr>
        <w:t>patent of the United States</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any other country or any political subdivision thereof</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all reissues and extensions thereof and all goodwill associated therewith</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including, without limitation</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 xml:space="preserve">any of the foregoing referred to on </w:t>
      </w:r>
      <w:r>
        <w:rPr>
          <w:rFonts w:ascii="Times New Roman;sans-serif" w:hAnsi="Times New Roman;sans-serif"/>
          <w:b w:val="false"/>
          <w:color w:val="111111"/>
          <w:sz w:val="22"/>
          <w:u w:val="single"/>
        </w:rPr>
        <w:t>Schedule 6</w:t>
      </w:r>
      <w:r>
        <w:rPr>
          <w:rFonts w:ascii="Times New Roman;sans-serif" w:hAnsi="Times New Roman;sans-serif"/>
          <w:b w:val="false"/>
          <w:color w:val="111111"/>
          <w:sz w:val="22"/>
        </w:rPr>
        <w:t>, (b) all applications for letters patent of the United States or any other country and all divisions</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continuations and continuations-in-part thereof</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including</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without limitation</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 xml:space="preserve">any of the foregoing referred to on </w:t>
      </w:r>
      <w:r>
        <w:rPr>
          <w:rFonts w:ascii="Times New Roman;sans-serif" w:hAnsi="Times New Roman;sans-serif"/>
          <w:b w:val="false"/>
          <w:color w:val="111111"/>
          <w:sz w:val="22"/>
          <w:u w:val="single"/>
        </w:rPr>
        <w:t>Schedule 6</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and (c) all rights to obtain any reissues or exten</w:t>
      </w:r>
      <w:r>
        <w:rPr>
          <w:rFonts w:ascii="Times New Roman;sans-serif" w:hAnsi="Times New Roman;sans-serif"/>
          <w:b w:val="false"/>
          <w:color w:val="232323"/>
          <w:sz w:val="22"/>
        </w:rPr>
        <w:t>s</w:t>
      </w:r>
      <w:r>
        <w:rPr>
          <w:rFonts w:ascii="Times New Roman;sans-serif" w:hAnsi="Times New Roman;sans-serif"/>
          <w:b w:val="false"/>
          <w:color w:val="111111"/>
          <w:sz w:val="22"/>
        </w:rPr>
        <w:t>ions of the foregoing.</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Pledged Collateral”</w:t>
      </w:r>
      <w:r>
        <w:rPr>
          <w:rFonts w:ascii="Times New Roman;sans-serif" w:hAnsi="Times New Roman;sans-serif"/>
          <w:b w:val="false"/>
          <w:i/>
          <w:color w:val="232323"/>
          <w:sz w:val="22"/>
        </w:rPr>
        <w:t>:</w:t>
      </w:r>
      <w:r>
        <w:rPr>
          <w:color w:val="232323"/>
        </w:rPr>
        <w:t xml:space="preserve"> </w:t>
      </w:r>
      <w:r>
        <w:rPr>
          <w:rFonts w:ascii="Times New Roman;sans-serif" w:hAnsi="Times New Roman;sans-serif"/>
          <w:b w:val="false"/>
          <w:color w:val="111111"/>
          <w:sz w:val="22"/>
        </w:rPr>
        <w:t>(a) any and all Pledged Stock</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(b) all other Investment Property of any Grantor</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(c) all warrants</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 xml:space="preserve">options or other rights entitling any Grantor to acquire any interest in Capital Stock or other </w:t>
      </w:r>
      <w:r>
        <w:rPr>
          <w:rFonts w:ascii="Times New Roman;sans-serif" w:hAnsi="Times New Roman;sans-serif"/>
          <w:b w:val="false"/>
          <w:color w:val="232323"/>
          <w:sz w:val="22"/>
        </w:rPr>
        <w:t>s</w:t>
      </w:r>
      <w:r>
        <w:rPr>
          <w:rFonts w:ascii="Times New Roman;sans-serif" w:hAnsi="Times New Roman;sans-serif"/>
          <w:b w:val="false"/>
          <w:color w:val="111111"/>
          <w:sz w:val="22"/>
        </w:rPr>
        <w:t>ecurities of the direct or indirect Subsidiaries of such Grantor or of any other Person</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(d) all In</w:t>
      </w:r>
      <w:r>
        <w:rPr>
          <w:rFonts w:ascii="Times New Roman;sans-serif" w:hAnsi="Times New Roman;sans-serif"/>
          <w:b w:val="false"/>
          <w:color w:val="232323"/>
          <w:sz w:val="22"/>
        </w:rPr>
        <w:t>s</w:t>
      </w:r>
      <w:r>
        <w:rPr>
          <w:rFonts w:ascii="Times New Roman;sans-serif" w:hAnsi="Times New Roman;sans-serif"/>
          <w:b w:val="false"/>
          <w:color w:val="111111"/>
          <w:sz w:val="22"/>
        </w:rPr>
        <w:t>truments</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(e) all securities</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property</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interest</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di</w:t>
      </w:r>
      <w:r>
        <w:rPr>
          <w:rFonts w:ascii="Times New Roman;sans-serif" w:hAnsi="Times New Roman;sans-serif"/>
          <w:b w:val="false"/>
          <w:color w:val="232323"/>
          <w:sz w:val="22"/>
        </w:rPr>
        <w:t>v</w:t>
      </w:r>
      <w:r>
        <w:rPr>
          <w:rFonts w:ascii="Times New Roman;sans-serif" w:hAnsi="Times New Roman;sans-serif"/>
          <w:b w:val="false"/>
          <w:color w:val="111111"/>
          <w:sz w:val="22"/>
        </w:rPr>
        <w:t>idends and other payments and distributions is</w:t>
      </w:r>
      <w:r>
        <w:rPr>
          <w:rFonts w:ascii="Times New Roman;sans-serif" w:hAnsi="Times New Roman;sans-serif"/>
          <w:b w:val="false"/>
          <w:color w:val="232323"/>
          <w:sz w:val="22"/>
        </w:rPr>
        <w:t>s</w:t>
      </w:r>
      <w:r>
        <w:rPr>
          <w:rFonts w:ascii="Times New Roman;sans-serif" w:hAnsi="Times New Roman;sans-serif"/>
          <w:b w:val="false"/>
          <w:color w:val="111111"/>
          <w:sz w:val="22"/>
        </w:rPr>
        <w:t>ued as an addition to</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 xml:space="preserve">in redemption of, in renewal or exchange for, in </w:t>
      </w:r>
      <w:r>
        <w:rPr>
          <w:rFonts w:ascii="Times New Roman;sans-serif" w:hAnsi="Times New Roman;sans-serif"/>
          <w:b w:val="false"/>
          <w:color w:val="232323"/>
          <w:sz w:val="22"/>
        </w:rPr>
        <w:t>s</w:t>
      </w:r>
      <w:r>
        <w:rPr>
          <w:rFonts w:ascii="Times New Roman;sans-serif" w:hAnsi="Times New Roman;sans-serif"/>
          <w:b w:val="false"/>
          <w:color w:val="111111"/>
          <w:sz w:val="22"/>
        </w:rPr>
        <w:t>ubstitution or upon conver</w:t>
      </w:r>
      <w:r>
        <w:rPr>
          <w:rFonts w:ascii="Times New Roman;sans-serif" w:hAnsi="Times New Roman;sans-serif"/>
          <w:b w:val="false"/>
          <w:color w:val="232323"/>
          <w:sz w:val="22"/>
        </w:rPr>
        <w:t>s</w:t>
      </w:r>
      <w:r>
        <w:rPr>
          <w:rFonts w:ascii="Times New Roman;sans-serif" w:hAnsi="Times New Roman;sans-serif"/>
          <w:b w:val="false"/>
          <w:color w:val="111111"/>
          <w:sz w:val="22"/>
        </w:rPr>
        <w:t>ion of</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or otherwise on account of</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any of the foregoing</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(f) all certificates and in</w:t>
      </w:r>
      <w:r>
        <w:rPr>
          <w:rFonts w:ascii="Times New Roman;sans-serif" w:hAnsi="Times New Roman;sans-serif"/>
          <w:b w:val="false"/>
          <w:color w:val="232323"/>
          <w:sz w:val="22"/>
        </w:rPr>
        <w:t>s</w:t>
      </w:r>
      <w:r>
        <w:rPr>
          <w:rFonts w:ascii="Times New Roman;sans-serif" w:hAnsi="Times New Roman;sans-serif"/>
          <w:b w:val="false"/>
          <w:color w:val="111111"/>
          <w:sz w:val="22"/>
        </w:rPr>
        <w:t>truments now or hereafter representing or evidencing any of the foregoing</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(g) all rights</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interest</w:t>
      </w:r>
      <w:r>
        <w:rPr>
          <w:rFonts w:ascii="Times New Roman;sans-serif" w:hAnsi="Times New Roman;sans-serif"/>
          <w:b w:val="false"/>
          <w:color w:val="232323"/>
          <w:sz w:val="22"/>
        </w:rPr>
        <w:t xml:space="preserve">s </w:t>
      </w:r>
      <w:r>
        <w:rPr>
          <w:rFonts w:ascii="Times New Roman;sans-serif" w:hAnsi="Times New Roman;sans-serif"/>
          <w:b w:val="false"/>
          <w:color w:val="111111"/>
          <w:sz w:val="22"/>
        </w:rPr>
        <w:t>and claims with respect to the foregoing</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including under any and all related agreements, instrument</w:t>
      </w:r>
      <w:r>
        <w:rPr>
          <w:rFonts w:ascii="Times New Roman;sans-serif" w:hAnsi="Times New Roman;sans-serif"/>
          <w:b w:val="false"/>
          <w:color w:val="232323"/>
          <w:sz w:val="22"/>
        </w:rPr>
        <w:t xml:space="preserve">s </w:t>
      </w:r>
      <w:r>
        <w:rPr>
          <w:rFonts w:ascii="Times New Roman;sans-serif" w:hAnsi="Times New Roman;sans-serif"/>
          <w:b w:val="false"/>
          <w:color w:val="111111"/>
          <w:sz w:val="22"/>
        </w:rPr>
        <w:t>and other documents; and (h) all ca</w:t>
      </w:r>
      <w:r>
        <w:rPr>
          <w:rFonts w:ascii="Times New Roman;sans-serif" w:hAnsi="Times New Roman;sans-serif"/>
          <w:b w:val="false"/>
          <w:color w:val="232323"/>
          <w:sz w:val="22"/>
        </w:rPr>
        <w:t>s</w:t>
      </w:r>
      <w:r>
        <w:rPr>
          <w:rFonts w:ascii="Times New Roman;sans-serif" w:hAnsi="Times New Roman;sans-serif"/>
          <w:b w:val="false"/>
          <w:color w:val="111111"/>
          <w:sz w:val="22"/>
        </w:rPr>
        <w:t>h and non-cash proceeds of any of the foregoing</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 each case whether presently existing or owned or hereafter arising or acquired and wherever located</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and as from time to time recei</w:t>
      </w:r>
      <w:r>
        <w:rPr>
          <w:rFonts w:ascii="Times New Roman;sans-serif" w:hAnsi="Times New Roman;sans-serif"/>
          <w:b w:val="false"/>
          <w:color w:val="232323"/>
          <w:sz w:val="22"/>
        </w:rPr>
        <w:t>v</w:t>
      </w:r>
      <w:r>
        <w:rPr>
          <w:rFonts w:ascii="Times New Roman;sans-serif" w:hAnsi="Times New Roman;sans-serif"/>
          <w:b w:val="false"/>
          <w:color w:val="111111"/>
          <w:sz w:val="22"/>
        </w:rPr>
        <w:t>ed or receivable by</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or otherwise paid or distributed to or acquired by, any Grantor; pro</w:t>
      </w:r>
      <w:r>
        <w:rPr>
          <w:rFonts w:ascii="Times New Roman;sans-serif" w:hAnsi="Times New Roman;sans-serif"/>
          <w:b w:val="false"/>
          <w:color w:val="232323"/>
          <w:sz w:val="22"/>
        </w:rPr>
        <w:t>v</w:t>
      </w:r>
      <w:r>
        <w:rPr>
          <w:rFonts w:ascii="Times New Roman;sans-serif" w:hAnsi="Times New Roman;sans-serif"/>
          <w:b w:val="false"/>
          <w:color w:val="111111"/>
          <w:sz w:val="22"/>
        </w:rPr>
        <w:t>ided that in no e</w:t>
      </w:r>
      <w:r>
        <w:rPr>
          <w:rFonts w:ascii="Times New Roman;sans-serif" w:hAnsi="Times New Roman;sans-serif"/>
          <w:b w:val="false"/>
          <w:color w:val="232323"/>
          <w:sz w:val="22"/>
        </w:rPr>
        <w:t>v</w:t>
      </w:r>
      <w:r>
        <w:rPr>
          <w:rFonts w:ascii="Times New Roman;sans-serif" w:hAnsi="Times New Roman;sans-serif"/>
          <w:b w:val="false"/>
          <w:color w:val="111111"/>
          <w:sz w:val="22"/>
        </w:rPr>
        <w:t xml:space="preserve">ent </w:t>
      </w:r>
      <w:r>
        <w:rPr>
          <w:rFonts w:ascii="Times New Roman;sans-serif" w:hAnsi="Times New Roman;sans-serif"/>
          <w:b w:val="false"/>
          <w:color w:val="232323"/>
          <w:sz w:val="22"/>
        </w:rPr>
        <w:t>s</w:t>
      </w:r>
      <w:r>
        <w:rPr>
          <w:rFonts w:ascii="Times New Roman;sans-serif" w:hAnsi="Times New Roman;sans-serif"/>
          <w:b w:val="false"/>
          <w:color w:val="111111"/>
          <w:sz w:val="22"/>
        </w:rPr>
        <w:t>hall Pledged Collateral include any Excluded Asset.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Pledged Collateral Agreements”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 xml:space="preserve">as defined in </w:t>
      </w:r>
      <w:r>
        <w:rPr>
          <w:rFonts w:ascii="Times New Roman;sans-serif" w:hAnsi="Times New Roman;sans-serif"/>
          <w:b w:val="false"/>
          <w:color w:val="111111"/>
          <w:sz w:val="22"/>
          <w:u w:val="single"/>
        </w:rPr>
        <w:t>Section 5.23</w:t>
      </w:r>
      <w:r>
        <w:rPr>
          <w:rFonts w:ascii="Times New Roman;sans-serif" w:hAnsi="Times New Roman;sans-serif"/>
          <w:b w:val="false"/>
          <w:color w:val="111111"/>
          <w:sz w:val="22"/>
        </w:rPr>
        <w: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Pledged Notes”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all promissory notes li</w:t>
      </w:r>
      <w:r>
        <w:rPr>
          <w:rFonts w:ascii="Times New Roman;sans-serif" w:hAnsi="Times New Roman;sans-serif"/>
          <w:b w:val="false"/>
          <w:color w:val="232323"/>
          <w:sz w:val="22"/>
        </w:rPr>
        <w:t>s</w:t>
      </w:r>
      <w:r>
        <w:rPr>
          <w:rFonts w:ascii="Times New Roman;sans-serif" w:hAnsi="Times New Roman;sans-serif"/>
          <w:b w:val="false"/>
          <w:color w:val="111111"/>
          <w:sz w:val="22"/>
        </w:rPr>
        <w:t xml:space="preserve">ted on </w:t>
      </w:r>
      <w:r>
        <w:rPr>
          <w:rFonts w:ascii="Times New Roman;sans-serif" w:hAnsi="Times New Roman;sans-serif"/>
          <w:b w:val="false"/>
          <w:color w:val="111111"/>
          <w:sz w:val="22"/>
          <w:u w:val="single"/>
        </w:rPr>
        <w:t>Schedule 2</w:t>
      </w:r>
      <w:r>
        <w:rPr>
          <w:color w:val="111111"/>
        </w:rPr>
        <w:t xml:space="preserve"> </w:t>
      </w:r>
      <w:r>
        <w:rPr>
          <w:rFonts w:ascii="Times New Roman;sans-serif" w:hAnsi="Times New Roman;sans-serif"/>
          <w:b w:val="false"/>
          <w:color w:val="111111"/>
          <w:sz w:val="22"/>
        </w:rPr>
        <w:t>and all other promi</w:t>
      </w:r>
      <w:r>
        <w:rPr>
          <w:rFonts w:ascii="Times New Roman;sans-serif" w:hAnsi="Times New Roman;sans-serif"/>
          <w:b w:val="false"/>
          <w:color w:val="232323"/>
          <w:sz w:val="22"/>
        </w:rPr>
        <w:t>s</w:t>
      </w:r>
      <w:r>
        <w:rPr>
          <w:rFonts w:ascii="Times New Roman;sans-serif" w:hAnsi="Times New Roman;sans-serif"/>
          <w:b w:val="false"/>
          <w:color w:val="111111"/>
          <w:sz w:val="22"/>
        </w:rPr>
        <w:t>sory notes issued to or held by any Grantor.</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Pledged Stock”</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all of the i</w:t>
      </w:r>
      <w:r>
        <w:rPr>
          <w:rFonts w:ascii="Times New Roman;sans-serif" w:hAnsi="Times New Roman;sans-serif"/>
          <w:b w:val="false"/>
          <w:color w:val="232323"/>
          <w:sz w:val="22"/>
        </w:rPr>
        <w:t>ss</w:t>
      </w:r>
      <w:r>
        <w:rPr>
          <w:rFonts w:ascii="Times New Roman;sans-serif" w:hAnsi="Times New Roman;sans-serif"/>
          <w:b w:val="false"/>
          <w:color w:val="111111"/>
          <w:sz w:val="22"/>
        </w:rPr>
        <w:t>ued and outstanding shares of Capital Stock, whether certificated or uncertificated, of any Grantor</w:t>
      </w:r>
      <w:r>
        <w:rPr>
          <w:rFonts w:ascii="Times New Roman;sans-serif" w:hAnsi="Times New Roman;sans-serif"/>
          <w:b w:val="false"/>
          <w:color w:val="232323"/>
          <w:sz w:val="22"/>
        </w:rPr>
        <w:t>'</w:t>
      </w:r>
      <w:r>
        <w:rPr>
          <w:rFonts w:ascii="Times New Roman;sans-serif" w:hAnsi="Times New Roman;sans-serif"/>
          <w:b w:val="false"/>
          <w:color w:val="111111"/>
          <w:sz w:val="22"/>
        </w:rPr>
        <w:t>s direct Sub</w:t>
      </w:r>
      <w:r>
        <w:rPr>
          <w:rFonts w:ascii="Times New Roman;sans-serif" w:hAnsi="Times New Roman;sans-serif"/>
          <w:b w:val="false"/>
          <w:color w:val="232323"/>
          <w:sz w:val="22"/>
        </w:rPr>
        <w:t>s</w:t>
      </w:r>
      <w:r>
        <w:rPr>
          <w:rFonts w:ascii="Times New Roman;sans-serif" w:hAnsi="Times New Roman;sans-serif"/>
          <w:b w:val="false"/>
          <w:color w:val="111111"/>
          <w:sz w:val="22"/>
        </w:rPr>
        <w:t>idiarie</w:t>
      </w:r>
      <w:r>
        <w:rPr>
          <w:rFonts w:ascii="Times New Roman;sans-serif" w:hAnsi="Times New Roman;sans-serif"/>
          <w:b w:val="false"/>
          <w:color w:val="232323"/>
          <w:sz w:val="22"/>
        </w:rPr>
        <w:t xml:space="preserve">s </w:t>
      </w:r>
      <w:r>
        <w:rPr>
          <w:rFonts w:ascii="Times New Roman;sans-serif" w:hAnsi="Times New Roman;sans-serif"/>
          <w:b w:val="false"/>
          <w:color w:val="111111"/>
          <w:sz w:val="22"/>
        </w:rPr>
        <w:t xml:space="preserve">now or hereafter owned by any such Grantor and including the Capital Stock listed on </w:t>
      </w:r>
      <w:r>
        <w:rPr>
          <w:rFonts w:ascii="Times New Roman;sans-serif" w:hAnsi="Times New Roman;sans-serif"/>
          <w:b w:val="false"/>
          <w:color w:val="111111"/>
          <w:sz w:val="22"/>
          <w:u w:val="single"/>
        </w:rPr>
        <w:t>Schedule 2</w:t>
      </w:r>
      <w:r>
        <w:rPr>
          <w:color w:val="111111"/>
        </w:rPr>
        <w:t xml:space="preserve"> </w:t>
      </w:r>
      <w:r>
        <w:rPr>
          <w:rFonts w:ascii="Times New Roman;sans-serif" w:hAnsi="Times New Roman;sans-serif"/>
          <w:b w:val="false"/>
          <w:color w:val="111111"/>
          <w:sz w:val="22"/>
        </w:rPr>
        <w:t>hereof (a</w:t>
      </w:r>
      <w:r>
        <w:rPr>
          <w:rFonts w:ascii="Times New Roman;sans-serif" w:hAnsi="Times New Roman;sans-serif"/>
          <w:b w:val="false"/>
          <w:color w:val="232323"/>
          <w:sz w:val="22"/>
        </w:rPr>
        <w:t xml:space="preserve">s </w:t>
      </w:r>
      <w:r>
        <w:rPr>
          <w:rFonts w:ascii="Times New Roman;sans-serif" w:hAnsi="Times New Roman;sans-serif"/>
          <w:b w:val="false"/>
          <w:color w:val="111111"/>
          <w:sz w:val="22"/>
        </w:rPr>
        <w:t>amended or supplemented from time to time)</w:t>
      </w:r>
      <w:r>
        <w:rPr>
          <w:rFonts w:ascii="Times New Roman;sans-serif" w:hAnsi="Times New Roman;sans-serif"/>
          <w:b w:val="false"/>
          <w:color w:val="232323"/>
          <w:sz w:val="22"/>
        </w:rPr>
        <w:t xml:space="preserve">; </w:t>
      </w:r>
      <w:r>
        <w:rPr>
          <w:rFonts w:ascii="Times New Roman;sans-serif" w:hAnsi="Times New Roman;sans-serif"/>
          <w:b w:val="false"/>
          <w:color w:val="111111"/>
          <w:sz w:val="22"/>
          <w:u w:val="single"/>
        </w:rPr>
        <w:t>pro</w:t>
      </w:r>
      <w:r>
        <w:rPr>
          <w:rFonts w:ascii="Times New Roman;sans-serif" w:hAnsi="Times New Roman;sans-serif"/>
          <w:b w:val="false"/>
          <w:color w:val="232323"/>
          <w:sz w:val="22"/>
          <w:u w:val="single"/>
        </w:rPr>
        <w:t>v</w:t>
      </w:r>
      <w:r>
        <w:rPr>
          <w:rFonts w:ascii="Times New Roman;sans-serif" w:hAnsi="Times New Roman;sans-serif"/>
          <w:b w:val="false"/>
          <w:color w:val="111111"/>
          <w:sz w:val="22"/>
          <w:u w:val="single"/>
        </w:rPr>
        <w:t>ided</w:t>
      </w:r>
      <w:r>
        <w:rPr>
          <w:color w:val="111111"/>
        </w:rPr>
        <w:t xml:space="preserve"> </w:t>
      </w:r>
      <w:r>
        <w:rPr>
          <w:rFonts w:ascii="Times New Roman;sans-serif" w:hAnsi="Times New Roman;sans-serif"/>
          <w:b w:val="false"/>
          <w:color w:val="111111"/>
          <w:sz w:val="22"/>
        </w:rPr>
        <w:t>that in no e</w:t>
      </w:r>
      <w:r>
        <w:rPr>
          <w:rFonts w:ascii="Times New Roman;sans-serif" w:hAnsi="Times New Roman;sans-serif"/>
          <w:b w:val="false"/>
          <w:color w:val="232323"/>
          <w:sz w:val="22"/>
        </w:rPr>
        <w:t>v</w:t>
      </w:r>
      <w:r>
        <w:rPr>
          <w:rFonts w:ascii="Times New Roman;sans-serif" w:hAnsi="Times New Roman;sans-serif"/>
          <w:b w:val="false"/>
          <w:color w:val="111111"/>
          <w:sz w:val="22"/>
        </w:rPr>
        <w:t xml:space="preserve">ent </w:t>
      </w:r>
      <w:r>
        <w:rPr>
          <w:rFonts w:ascii="Times New Roman;sans-serif" w:hAnsi="Times New Roman;sans-serif"/>
          <w:b w:val="false"/>
          <w:color w:val="232323"/>
          <w:sz w:val="22"/>
        </w:rPr>
        <w:t>s</w:t>
      </w:r>
      <w:r>
        <w:rPr>
          <w:rFonts w:ascii="Times New Roman;sans-serif" w:hAnsi="Times New Roman;sans-serif"/>
          <w:b w:val="false"/>
          <w:color w:val="111111"/>
          <w:sz w:val="22"/>
        </w:rPr>
        <w:t>hall Pledged Stock include any Excluded Assets.</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Proceeds”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all “proceeds” as such term is defined in Section 9-102(a)(64) of the UCC and</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in any event</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shall include</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without limitation</w:t>
      </w:r>
      <w:r>
        <w:rPr>
          <w:rFonts w:ascii="Times New Roman;sans-serif" w:hAnsi="Times New Roman;sans-serif"/>
          <w:b w:val="false"/>
          <w:color w:val="232323"/>
          <w:sz w:val="22"/>
        </w:rPr>
        <w:t xml:space="preserve">, </w:t>
      </w:r>
      <w:r>
        <w:rPr>
          <w:rFonts w:ascii="Times New Roman;sans-serif" w:hAnsi="Times New Roman;sans-serif"/>
          <w:b w:val="false"/>
          <w:color w:val="111111"/>
          <w:sz w:val="22"/>
        </w:rPr>
        <w:t>all di</w:t>
      </w:r>
      <w:r>
        <w:rPr>
          <w:rFonts w:ascii="Times New Roman;sans-serif" w:hAnsi="Times New Roman;sans-serif"/>
          <w:b w:val="false"/>
          <w:color w:val="232323"/>
          <w:sz w:val="22"/>
        </w:rPr>
        <w:t>v</w:t>
      </w:r>
      <w:r>
        <w:rPr>
          <w:rFonts w:ascii="Times New Roman;sans-serif" w:hAnsi="Times New Roman;sans-serif"/>
          <w:b w:val="false"/>
          <w:color w:val="111111"/>
          <w:sz w:val="22"/>
        </w:rPr>
        <w:t>idends or other income from any Investment Property constituting Collateral and all collections thereon or distributions or payments with respect thereto.</w:t>
      </w:r>
      <w:r>
        <w:br w:type="page"/>
      </w:r>
    </w:p>
    <w:p>
      <w:pPr>
        <w:pStyle w:val="TextBody"/>
        <w:spacing w:before="0" w:after="0"/>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60655"/>
                <wp:effectExtent l="0" t="0" r="0" b="0"/>
                <wp:wrapNone/>
                <wp:docPr id="439" name="Frame4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Receivable”</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any right to payment for goods sold or lea</w:t>
      </w:r>
      <w:r>
        <w:rPr>
          <w:rFonts w:ascii="Times New Roman;sans-serif" w:hAnsi="Times New Roman;sans-serif"/>
          <w:b w:val="false"/>
          <w:color w:val="262626"/>
          <w:sz w:val="22"/>
        </w:rPr>
        <w:t>s</w:t>
      </w:r>
      <w:r>
        <w:rPr>
          <w:rFonts w:ascii="Times New Roman;sans-serif" w:hAnsi="Times New Roman;sans-serif"/>
          <w:b w:val="false"/>
          <w:color w:val="111111"/>
          <w:sz w:val="22"/>
        </w:rPr>
        <w:t>ed or for services rendered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whether or not such right is evidenced by an Instrument or Chattel Paper and whether or not it has been earned by performance (including any Account).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Rights to Payment”</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any and all of any Grantor's Accounts and any and all of any Grantor</w:t>
      </w:r>
      <w:r>
        <w:rPr>
          <w:rFonts w:ascii="Times New Roman;sans-serif" w:hAnsi="Times New Roman;sans-serif"/>
          <w:b w:val="false"/>
          <w:color w:val="262626"/>
          <w:sz w:val="22"/>
        </w:rPr>
        <w:t>'</w:t>
      </w:r>
      <w:r>
        <w:rPr>
          <w:rFonts w:ascii="Times New Roman;sans-serif" w:hAnsi="Times New Roman;sans-serif"/>
          <w:b w:val="false"/>
          <w:color w:val="111111"/>
          <w:sz w:val="22"/>
        </w:rPr>
        <w:t>s rights and claims to the payment or receipt of money or other forms of consideration of any kind in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to and under or with respect to its Chattel Paper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Documents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General Intangibles, Instruments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Investment Property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Letter-of-Credit Rights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Proceeds and Supporting Obligations.</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Secured Obligations”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collecti</w:t>
      </w:r>
      <w:r>
        <w:rPr>
          <w:rFonts w:ascii="Times New Roman;sans-serif" w:hAnsi="Times New Roman;sans-serif"/>
          <w:b w:val="false"/>
          <w:color w:val="262626"/>
          <w:sz w:val="22"/>
        </w:rPr>
        <w:t>v</w:t>
      </w:r>
      <w:r>
        <w:rPr>
          <w:rFonts w:ascii="Times New Roman;sans-serif" w:hAnsi="Times New Roman;sans-serif"/>
          <w:b w:val="false"/>
          <w:color w:val="111111"/>
          <w:sz w:val="22"/>
        </w:rPr>
        <w:t>ely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the “Obligations”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as </w:t>
      </w:r>
      <w:r>
        <w:rPr>
          <w:rFonts w:ascii="Times New Roman;sans-serif" w:hAnsi="Times New Roman;sans-serif"/>
          <w:b w:val="false"/>
          <w:color w:val="262626"/>
          <w:sz w:val="22"/>
        </w:rPr>
        <w:t>s</w:t>
      </w:r>
      <w:r>
        <w:rPr>
          <w:rFonts w:ascii="Times New Roman;sans-serif" w:hAnsi="Times New Roman;sans-serif"/>
          <w:b w:val="false"/>
          <w:color w:val="111111"/>
          <w:sz w:val="22"/>
        </w:rPr>
        <w:t>uch term is defined in the Credit Agreement.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Trademark License”</w:t>
      </w:r>
      <w:r>
        <w:rPr>
          <w:rFonts w:ascii="Times New Roman;sans-serif" w:hAnsi="Times New Roman;sans-serif"/>
          <w:b w:val="false"/>
          <w:i/>
          <w:color w:val="262626"/>
          <w:sz w:val="22"/>
        </w:rPr>
        <w:t>:</w:t>
      </w:r>
      <w:r>
        <w:rPr>
          <w:color w:val="262626"/>
        </w:rPr>
        <w:t xml:space="preserve"> </w:t>
      </w:r>
      <w:r>
        <w:rPr>
          <w:rFonts w:ascii="Times New Roman;sans-serif" w:hAnsi="Times New Roman;sans-serif"/>
          <w:b w:val="false"/>
          <w:color w:val="111111"/>
          <w:sz w:val="22"/>
        </w:rPr>
        <w:t>any written agreement which (a) names a Grantor as licensor or licensee and (b) grants to such Grantor any right to use any Trademark</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including any such agreement referred to on </w:t>
      </w:r>
      <w:r>
        <w:rPr>
          <w:rFonts w:ascii="Times New Roman;sans-serif" w:hAnsi="Times New Roman;sans-serif"/>
          <w:b w:val="false"/>
          <w:color w:val="111111"/>
          <w:sz w:val="22"/>
          <w:u w:val="single"/>
        </w:rPr>
        <w:t>Schedule 6</w:t>
      </w:r>
      <w:r>
        <w:rPr>
          <w:rFonts w:ascii="Times New Roman;sans-serif" w:hAnsi="Times New Roman;sans-serif"/>
          <w:b w:val="false"/>
          <w:color w:val="111111"/>
          <w:sz w:val="22"/>
        </w:rPr>
        <w:t>.</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Trademarks”</w:t>
      </w:r>
      <w:r>
        <w:rPr>
          <w:rFonts w:ascii="Times New Roman;sans-serif" w:hAnsi="Times New Roman;sans-serif"/>
          <w:b w:val="false"/>
          <w:i/>
          <w:color w:val="111111"/>
          <w:sz w:val="22"/>
        </w:rPr>
        <w:t>:</w:t>
      </w:r>
      <w:r>
        <w:rPr>
          <w:color w:val="111111"/>
        </w:rPr>
        <w:t xml:space="preserve"> </w:t>
      </w:r>
      <w:r>
        <w:rPr>
          <w:rFonts w:ascii="Times New Roman;sans-serif" w:hAnsi="Times New Roman;sans-serif"/>
          <w:b w:val="false"/>
          <w:color w:val="111111"/>
          <w:sz w:val="22"/>
        </w:rPr>
        <w:t>(a) all trademarks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trade names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trade dress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service marks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logos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Internet domain names and other source or busine</w:t>
      </w:r>
      <w:r>
        <w:rPr>
          <w:rFonts w:ascii="Times New Roman;sans-serif" w:hAnsi="Times New Roman;sans-serif"/>
          <w:b w:val="false"/>
          <w:color w:val="262626"/>
          <w:sz w:val="22"/>
        </w:rPr>
        <w:t xml:space="preserve">ss </w:t>
      </w:r>
      <w:r>
        <w:rPr>
          <w:rFonts w:ascii="Times New Roman;sans-serif" w:hAnsi="Times New Roman;sans-serif"/>
          <w:b w:val="false"/>
          <w:color w:val="111111"/>
          <w:sz w:val="22"/>
        </w:rPr>
        <w:t>identifiers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all goodwill associated therewith</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now existing or hereafter adopted or acquired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all registration</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and recordings thereof</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all applications in connection therewith</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whether in the United States Patent and Trademark Office or in any similar office or agency of the United States, any State thereof or any other country or any political subdi</w:t>
      </w:r>
      <w:r>
        <w:rPr>
          <w:rFonts w:ascii="Times New Roman;sans-serif" w:hAnsi="Times New Roman;sans-serif"/>
          <w:b w:val="false"/>
          <w:color w:val="262626"/>
          <w:sz w:val="22"/>
        </w:rPr>
        <w:t>v</w:t>
      </w:r>
      <w:r>
        <w:rPr>
          <w:rFonts w:ascii="Times New Roman;sans-serif" w:hAnsi="Times New Roman;sans-serif"/>
          <w:b w:val="false"/>
          <w:color w:val="111111"/>
          <w:sz w:val="22"/>
        </w:rPr>
        <w:t>ision thereof, or otherwise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all common-law rights related thereto, including</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without limitation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any of the foregoing referred to on </w:t>
      </w:r>
      <w:r>
        <w:rPr>
          <w:rFonts w:ascii="Times New Roman;sans-serif" w:hAnsi="Times New Roman;sans-serif"/>
          <w:b w:val="false"/>
          <w:color w:val="111111"/>
          <w:sz w:val="22"/>
          <w:u w:val="single"/>
        </w:rPr>
        <w:t>Schedule 6</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(b) the right to obtain all renewals thereof.</w:t>
      </w:r>
    </w:p>
    <w:p>
      <w:pPr>
        <w:pStyle w:val="TextBody"/>
        <w:spacing w:lineRule="auto" w:line="288" w:before="0" w:after="180"/>
        <w:ind w:left="0" w:right="0" w:firstLine="720"/>
        <w:jc w:val="both"/>
        <w:rPr/>
      </w:pPr>
      <w:r>
        <w:rPr>
          <w:color w:val="111111"/>
        </w:rPr>
        <w:t>“</w:t>
      </w:r>
      <w:r>
        <w:rPr>
          <w:rFonts w:ascii="Times New Roman;sans-serif" w:hAnsi="Times New Roman;sans-serif"/>
          <w:b/>
          <w:i/>
          <w:color w:val="111111"/>
          <w:sz w:val="22"/>
        </w:rPr>
        <w:t>UK Grantors”</w:t>
      </w:r>
      <w:r>
        <w:rPr>
          <w:rFonts w:ascii="Times New Roman;sans-serif" w:hAnsi="Times New Roman;sans-serif"/>
          <w:b w:val="false"/>
          <w:i/>
          <w:color w:val="262626"/>
          <w:sz w:val="22"/>
        </w:rPr>
        <w:t>:</w:t>
      </w:r>
      <w:r>
        <w:rPr>
          <w:color w:val="262626"/>
        </w:rPr>
        <w:t xml:space="preserve"> </w:t>
      </w:r>
      <w:r>
        <w:rPr>
          <w:rFonts w:ascii="Times New Roman;sans-serif" w:hAnsi="Times New Roman;sans-serif"/>
          <w:b w:val="false"/>
          <w:color w:val="111111"/>
          <w:sz w:val="22"/>
        </w:rPr>
        <w:t>each Grantor registered in England and Wales.</w:t>
      </w:r>
    </w:p>
    <w:p>
      <w:pPr>
        <w:pStyle w:val="TextBody"/>
        <w:spacing w:lineRule="auto" w:line="288" w:before="0" w:after="18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111111"/>
          <w:sz w:val="22"/>
          <w:u w:val="single"/>
        </w:rPr>
        <w:t>Other Definitional Provi</w:t>
      </w:r>
      <w:r>
        <w:rPr>
          <w:rFonts w:ascii="Times New Roman;sans-serif" w:hAnsi="Times New Roman;sans-serif"/>
          <w:b w:val="false"/>
          <w:color w:val="262626"/>
          <w:sz w:val="22"/>
          <w:u w:val="single"/>
        </w:rPr>
        <w:t>s</w:t>
      </w:r>
      <w:r>
        <w:rPr>
          <w:rFonts w:ascii="Times New Roman;sans-serif" w:hAnsi="Times New Roman;sans-serif"/>
          <w:b w:val="false"/>
          <w:color w:val="111111"/>
          <w:sz w:val="22"/>
          <w:u w:val="single"/>
        </w:rPr>
        <w:t>ion</w:t>
      </w:r>
      <w:r>
        <w:rPr>
          <w:rFonts w:ascii="Times New Roman;sans-serif" w:hAnsi="Times New Roman;sans-serif"/>
          <w:b w:val="false"/>
          <w:color w:val="262626"/>
          <w:sz w:val="22"/>
          <w:u w:val="single"/>
        </w:rPr>
        <w:t>s</w:t>
      </w:r>
      <w:r>
        <w:rPr>
          <w:rFonts w:ascii="Times New Roman;sans-serif" w:hAnsi="Times New Roman;sans-serif"/>
          <w:b w:val="false"/>
          <w:color w:val="111111"/>
          <w:sz w:val="22"/>
        </w:rPr>
        <w:t>. The rules of interpretation set forth in Section 1.2 of the Credit Agreement are by this reference incorporated herein</w:t>
      </w:r>
      <w:r>
        <w:rPr>
          <w:rFonts w:ascii="Times New Roman;sans-serif" w:hAnsi="Times New Roman;sans-serif"/>
          <w:b w:val="false"/>
          <w:color w:val="262626"/>
          <w:sz w:val="22"/>
        </w:rPr>
        <w:t xml:space="preserve">, </w:t>
      </w:r>
      <w:r>
        <w:rPr>
          <w:rFonts w:ascii="Times New Roman;sans-serif" w:hAnsi="Times New Roman;sans-serif"/>
          <w:b w:val="false"/>
          <w:i/>
          <w:color w:val="111111"/>
          <w:sz w:val="22"/>
        </w:rPr>
        <w:t>mutatis mutandi</w:t>
      </w:r>
      <w:r>
        <w:rPr>
          <w:rFonts w:ascii="Times New Roman;sans-serif" w:hAnsi="Times New Roman;sans-serif"/>
          <w:b w:val="false"/>
          <w:i/>
          <w:color w:val="262626"/>
          <w:sz w:val="22"/>
        </w:rPr>
        <w:t xml:space="preserve">s, </w:t>
      </w:r>
      <w:r>
        <w:rPr>
          <w:rFonts w:ascii="Times New Roman;sans-serif" w:hAnsi="Times New Roman;sans-serif"/>
          <w:b w:val="false"/>
          <w:color w:val="111111"/>
          <w:sz w:val="22"/>
        </w:rPr>
        <w:t>as if set forth herein in full.</w:t>
      </w:r>
    </w:p>
    <w:p>
      <w:pPr>
        <w:pStyle w:val="TextBody"/>
        <w:spacing w:lineRule="auto" w:line="288" w:before="0" w:after="180"/>
        <w:ind w:left="0" w:right="0" w:firstLine="720"/>
        <w:jc w:val="both"/>
        <w:rPr/>
      </w:pPr>
      <w:r>
        <w:rPr>
          <w:rFonts w:ascii="Times New Roman;sans-serif" w:hAnsi="Times New Roman;sans-serif"/>
          <w:b w:val="false"/>
          <w:color w:val="000000"/>
          <w:sz w:val="22"/>
        </w:rPr>
        <w:t>SECTION 2.</w:t>
      </w:r>
      <w:r>
        <w:rPr>
          <w:rFonts w:ascii="Times New Roman;sans-serif" w:hAnsi="Times New Roman;sans-serif"/>
          <w:b/>
          <w:color w:val="111111"/>
          <w:sz w:val="22"/>
        </w:rPr>
        <w:t>Guarantee.</w:t>
      </w:r>
    </w:p>
    <w:p>
      <w:pPr>
        <w:pStyle w:val="TextBody"/>
        <w:spacing w:lineRule="auto" w:line="288" w:before="0" w:after="18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111111"/>
          <w:sz w:val="22"/>
          <w:u w:val="single"/>
        </w:rPr>
        <w:t>Guarantee</w:t>
      </w:r>
      <w:r>
        <w:rPr>
          <w:rFonts w:ascii="Times New Roman;sans-serif" w:hAnsi="Times New Roman;sans-serif"/>
          <w:b w:val="false"/>
          <w:color w:val="111111"/>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111111"/>
          <w:sz w:val="22"/>
        </w:rPr>
        <w:t>Each Grantor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including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who has executed this Agreement a</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of the date hereof</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together with each Subsidiary of any Grantor who accedes to this Agreement a</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 xml:space="preserve">a Grantor after the date hereof pursuant to </w:t>
      </w:r>
      <w:r>
        <w:rPr>
          <w:rFonts w:ascii="Times New Roman;sans-serif" w:hAnsi="Times New Roman;sans-serif"/>
          <w:b w:val="false"/>
          <w:color w:val="111111"/>
          <w:sz w:val="22"/>
          <w:u w:val="single"/>
        </w:rPr>
        <w:t>Section 6.12</w:t>
      </w:r>
      <w:r>
        <w:rPr>
          <w:color w:val="111111"/>
        </w:rPr>
        <w:t xml:space="preserve"> </w:t>
      </w:r>
      <w:r>
        <w:rPr>
          <w:rFonts w:ascii="Times New Roman;sans-serif" w:hAnsi="Times New Roman;sans-serif"/>
          <w:b w:val="false"/>
          <w:color w:val="111111"/>
          <w:sz w:val="22"/>
        </w:rPr>
        <w:t xml:space="preserve">of the Credit Agreement (each a </w:t>
      </w:r>
      <w:r>
        <w:rPr>
          <w:color w:val="111111"/>
        </w:rPr>
        <w:t>“</w:t>
      </w:r>
      <w:r>
        <w:rPr>
          <w:rFonts w:ascii="Times New Roman;sans-serif" w:hAnsi="Times New Roman;sans-serif"/>
          <w:b/>
          <w:i/>
          <w:color w:val="111111"/>
          <w:sz w:val="22"/>
        </w:rPr>
        <w:t xml:space="preserve">Guarantor” </w:t>
      </w:r>
      <w:r>
        <w:rPr>
          <w:rFonts w:ascii="Times New Roman;sans-serif" w:hAnsi="Times New Roman;sans-serif"/>
          <w:b w:val="false"/>
          <w:color w:val="111111"/>
          <w:sz w:val="22"/>
        </w:rPr>
        <w:t>and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collectively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the </w:t>
      </w:r>
      <w:r>
        <w:rPr>
          <w:color w:val="111111"/>
        </w:rPr>
        <w:t>“</w:t>
      </w:r>
      <w:r>
        <w:rPr>
          <w:rFonts w:ascii="Times New Roman;sans-serif" w:hAnsi="Times New Roman;sans-serif"/>
          <w:b/>
          <w:i/>
          <w:color w:val="111111"/>
          <w:sz w:val="22"/>
        </w:rPr>
        <w:t>Guarantors”)</w:t>
      </w:r>
      <w:r>
        <w:rPr>
          <w:rFonts w:ascii="Times New Roman;sans-serif" w:hAnsi="Times New Roman;sans-serif"/>
          <w:b/>
          <w:i/>
          <w:color w:val="262626"/>
          <w:sz w:val="22"/>
        </w:rPr>
        <w:t xml:space="preserve">, </w:t>
      </w:r>
      <w:r>
        <w:rPr>
          <w:rFonts w:ascii="Times New Roman;sans-serif" w:hAnsi="Times New Roman;sans-serif"/>
          <w:b w:val="false"/>
          <w:color w:val="111111"/>
          <w:sz w:val="22"/>
        </w:rPr>
        <w:t>hereby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jointly and severally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unconditionally and irrevocably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guarantees to the Admini</w:t>
      </w:r>
      <w:r>
        <w:rPr>
          <w:rFonts w:ascii="Times New Roman;sans-serif" w:hAnsi="Times New Roman;sans-serif"/>
          <w:b w:val="false"/>
          <w:color w:val="262626"/>
          <w:sz w:val="22"/>
        </w:rPr>
        <w:t>s</w:t>
      </w:r>
      <w:r>
        <w:rPr>
          <w:rFonts w:ascii="Times New Roman;sans-serif" w:hAnsi="Times New Roman;sans-serif"/>
          <w:b w:val="false"/>
          <w:color w:val="111111"/>
          <w:sz w:val="22"/>
        </w:rPr>
        <w:t>trati</w:t>
      </w:r>
      <w:r>
        <w:rPr>
          <w:rFonts w:ascii="Times New Roman;sans-serif" w:hAnsi="Times New Roman;sans-serif"/>
          <w:b w:val="false"/>
          <w:color w:val="262626"/>
          <w:sz w:val="22"/>
        </w:rPr>
        <w:t>v</w:t>
      </w:r>
      <w:r>
        <w:rPr>
          <w:rFonts w:ascii="Times New Roman;sans-serif" w:hAnsi="Times New Roman;sans-serif"/>
          <w:b w:val="false"/>
          <w:color w:val="111111"/>
          <w:sz w:val="22"/>
        </w:rPr>
        <w:t>e Agent, for the ratable benefit of the Secured Parties and their respective succes</w:t>
      </w:r>
      <w:r>
        <w:rPr>
          <w:rFonts w:ascii="Times New Roman;sans-serif" w:hAnsi="Times New Roman;sans-serif"/>
          <w:b w:val="false"/>
          <w:color w:val="262626"/>
          <w:sz w:val="22"/>
        </w:rPr>
        <w:t>s</w:t>
      </w:r>
      <w:r>
        <w:rPr>
          <w:rFonts w:ascii="Times New Roman;sans-serif" w:hAnsi="Times New Roman;sans-serif"/>
          <w:b w:val="false"/>
          <w:color w:val="111111"/>
          <w:sz w:val="22"/>
        </w:rPr>
        <w:t>or</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indorsees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transferees and a</w:t>
      </w:r>
      <w:r>
        <w:rPr>
          <w:rFonts w:ascii="Times New Roman;sans-serif" w:hAnsi="Times New Roman;sans-serif"/>
          <w:b w:val="false"/>
          <w:color w:val="262626"/>
          <w:sz w:val="22"/>
        </w:rPr>
        <w:t>s</w:t>
      </w:r>
      <w:r>
        <w:rPr>
          <w:rFonts w:ascii="Times New Roman;sans-serif" w:hAnsi="Times New Roman;sans-serif"/>
          <w:b w:val="false"/>
          <w:color w:val="111111"/>
          <w:sz w:val="22"/>
        </w:rPr>
        <w:t>signs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the prompt and complete payment and performance by the Borrower and the other Loan Parties when due (whether at the </w:t>
      </w:r>
      <w:r>
        <w:rPr>
          <w:rFonts w:ascii="Times New Roman;sans-serif" w:hAnsi="Times New Roman;sans-serif"/>
          <w:b w:val="false"/>
          <w:color w:val="262626"/>
          <w:sz w:val="22"/>
        </w:rPr>
        <w:t>s</w:t>
      </w:r>
      <w:r>
        <w:rPr>
          <w:rFonts w:ascii="Times New Roman;sans-serif" w:hAnsi="Times New Roman;sans-serif"/>
          <w:b w:val="false"/>
          <w:color w:val="111111"/>
          <w:sz w:val="22"/>
        </w:rPr>
        <w:t>tated maturity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by acceleration or otherwise) of the Secured Obligations. In furtherance of the foregoing</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without limiting the generality thereof</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each Guarantor agrees as follows:</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111111"/>
          <w:sz w:val="22"/>
        </w:rPr>
        <w:t>each Guarantor</w:t>
      </w:r>
      <w:r>
        <w:rPr>
          <w:rFonts w:ascii="Times New Roman;sans-serif" w:hAnsi="Times New Roman;sans-serif"/>
          <w:b w:val="false"/>
          <w:color w:val="262626"/>
          <w:sz w:val="22"/>
        </w:rPr>
        <w:t>'</w:t>
      </w:r>
      <w:r>
        <w:rPr>
          <w:rFonts w:ascii="Times New Roman;sans-serif" w:hAnsi="Times New Roman;sans-serif"/>
          <w:b w:val="false"/>
          <w:color w:val="111111"/>
          <w:sz w:val="22"/>
        </w:rPr>
        <w:t>s liability hereunder shall be the immediate, direct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primary obligation of such Guarantor and shall not be contingent upon the Administrati</w:t>
      </w:r>
      <w:r>
        <w:rPr>
          <w:rFonts w:ascii="Times New Roman;sans-serif" w:hAnsi="Times New Roman;sans-serif"/>
          <w:b w:val="false"/>
          <w:color w:val="262626"/>
          <w:sz w:val="22"/>
        </w:rPr>
        <w:t>v</w:t>
      </w:r>
      <w:r>
        <w:rPr>
          <w:rFonts w:ascii="Times New Roman;sans-serif" w:hAnsi="Times New Roman;sans-serif"/>
          <w:b w:val="false"/>
          <w:color w:val="111111"/>
          <w:sz w:val="22"/>
        </w:rPr>
        <w:t>e Agent's or any Secured Party</w:t>
      </w:r>
      <w:r>
        <w:rPr>
          <w:rFonts w:ascii="Times New Roman;sans-serif" w:hAnsi="Times New Roman;sans-serif"/>
          <w:b w:val="false"/>
          <w:color w:val="262626"/>
          <w:sz w:val="22"/>
        </w:rPr>
        <w:t>'</w:t>
      </w:r>
      <w:r>
        <w:rPr>
          <w:rFonts w:ascii="Times New Roman;sans-serif" w:hAnsi="Times New Roman;sans-serif"/>
          <w:b w:val="false"/>
          <w:color w:val="111111"/>
          <w:sz w:val="22"/>
        </w:rPr>
        <w:t>s exercise or enforcement of any remedy it or they may have against the Borrower, any Guarantor, any other Per</w:t>
      </w:r>
      <w:r>
        <w:rPr>
          <w:rFonts w:ascii="Times New Roman;sans-serif" w:hAnsi="Times New Roman;sans-serif"/>
          <w:b w:val="false"/>
          <w:color w:val="262626"/>
          <w:sz w:val="22"/>
        </w:rPr>
        <w:t>s</w:t>
      </w:r>
      <w:r>
        <w:rPr>
          <w:rFonts w:ascii="Times New Roman;sans-serif" w:hAnsi="Times New Roman;sans-serif"/>
          <w:b w:val="false"/>
          <w:color w:val="111111"/>
          <w:sz w:val="22"/>
        </w:rPr>
        <w:t>on, or all or any portion of the Collateral</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111111"/>
          <w:sz w:val="22"/>
        </w:rPr>
        <w:t>the Administrative Agent may enforce this guaranty notwithstanding the existence of any dispute between any of the Secured Parties and the Borrower or any Guarantor with respect to the existence of any Event of Default.</w:t>
      </w:r>
      <w:r>
        <w:br w:type="page"/>
      </w:r>
    </w:p>
    <w:p>
      <w:pPr>
        <w:pStyle w:val="TextBody"/>
        <w:spacing w:before="0" w:after="0"/>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60655"/>
                <wp:effectExtent l="0" t="0" r="0" b="0"/>
                <wp:wrapNone/>
                <wp:docPr id="440" name="Frame4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71"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111111"/>
          <w:sz w:val="22"/>
        </w:rPr>
        <w:t xml:space="preserve">Anything herein or in any other Loan Document to the contrary notwithstanding, the maximum liability of each Guarantor hereunder and under the other Loan Documents shall in no event exceed the amount which can be guaranteed by such Guarantor under all applicable laws (including all applicable United Kingdom and U.S. federal and state laws) relating to the insolvency of debtors (after giving effect to the right of contribution established in </w:t>
      </w:r>
      <w:r>
        <w:rPr>
          <w:rFonts w:ascii="Times New Roman;sans-serif" w:hAnsi="Times New Roman;sans-serif"/>
          <w:b w:val="false"/>
          <w:color w:val="111111"/>
          <w:sz w:val="22"/>
          <w:u w:val="single"/>
        </w:rPr>
        <w:t>Section 2.2</w:t>
      </w:r>
      <w:r>
        <w:rPr>
          <w:rFonts w:ascii="Times New Roman;sans-serif" w:hAnsi="Times New Roman;sans-serif"/>
          <w:b w:val="false"/>
          <w:color w:val="111111"/>
          <w:sz w:val="22"/>
        </w:rPr>
        <w:t>).</w:t>
      </w:r>
    </w:p>
    <w:p>
      <w:pPr>
        <w:pStyle w:val="TextBody"/>
        <w:spacing w:lineRule="auto" w:line="271"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111111"/>
          <w:sz w:val="22"/>
        </w:rPr>
        <w:t xml:space="preserve">Each Guarantor agrees that the Secured Obligations may at any time and from time to time exceed the amount of the liability of such Guarantor hereunder without impairing the guarantee contained in this </w:t>
      </w:r>
      <w:r>
        <w:rPr>
          <w:rFonts w:ascii="Times New Roman;sans-serif" w:hAnsi="Times New Roman;sans-serif"/>
          <w:b w:val="false"/>
          <w:color w:val="111111"/>
          <w:sz w:val="22"/>
          <w:u w:val="single"/>
        </w:rPr>
        <w:t>Section 2</w:t>
      </w:r>
      <w:r>
        <w:rPr>
          <w:color w:val="111111"/>
        </w:rPr>
        <w:t xml:space="preserve"> </w:t>
      </w:r>
      <w:r>
        <w:rPr>
          <w:rFonts w:ascii="Times New Roman;sans-serif" w:hAnsi="Times New Roman;sans-serif"/>
          <w:b w:val="false"/>
          <w:color w:val="111111"/>
          <w:sz w:val="22"/>
        </w:rPr>
        <w:t>or affecting the rights and remedies of the Administrative Agent or any other Secured Party hereunder.</w:t>
      </w:r>
    </w:p>
    <w:p>
      <w:pPr>
        <w:pStyle w:val="TextBody"/>
        <w:spacing w:lineRule="auto" w:line="271"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111111"/>
          <w:sz w:val="22"/>
        </w:rPr>
        <w:t xml:space="preserve">The guarantee contained in this </w:t>
      </w:r>
      <w:r>
        <w:rPr>
          <w:rFonts w:ascii="Times New Roman;sans-serif" w:hAnsi="Times New Roman;sans-serif"/>
          <w:b w:val="false"/>
          <w:color w:val="111111"/>
          <w:sz w:val="22"/>
          <w:u w:val="single"/>
        </w:rPr>
        <w:t>Section 2</w:t>
      </w:r>
      <w:r>
        <w:rPr>
          <w:color w:val="111111"/>
        </w:rPr>
        <w:t xml:space="preserve"> </w:t>
      </w:r>
      <w:r>
        <w:rPr>
          <w:rFonts w:ascii="Times New Roman;sans-serif" w:hAnsi="Times New Roman;sans-serif"/>
          <w:b w:val="false"/>
          <w:color w:val="111111"/>
          <w:sz w:val="22"/>
        </w:rPr>
        <w:t>shall remain in full force and effect until the Discharge of Obligations, notwithstanding that from time to time during the term of the Credit Agreement the outstanding amount of the Secured Obligations may be zero.</w:t>
      </w:r>
    </w:p>
    <w:p>
      <w:pPr>
        <w:pStyle w:val="TextBody"/>
        <w:spacing w:lineRule="auto" w:line="271"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111111"/>
          <w:sz w:val="22"/>
        </w:rPr>
        <w:t>No payment made by the Borrower, any Guarantor, any other guarantor or any other Person or received or collected by the Administrative Agent or any other Secured Party from the Borrower, any Guarantor,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(other than any payment made by such Guarantor in respect of the Secured Obligations or any payment received or collected from such Guarantor in respect of the Secured Obligations)</w:t>
      </w:r>
      <w:r>
        <w:rPr>
          <w:rFonts w:ascii="Times New Roman;sans-serif" w:hAnsi="Times New Roman;sans-serif"/>
          <w:b w:val="false"/>
          <w:color w:val="2D2D2D"/>
          <w:sz w:val="22"/>
        </w:rPr>
        <w:t xml:space="preserve">, </w:t>
      </w:r>
      <w:r>
        <w:rPr>
          <w:rFonts w:ascii="Times New Roman;sans-serif" w:hAnsi="Times New Roman;sans-serif"/>
          <w:b w:val="false"/>
          <w:color w:val="111111"/>
          <w:sz w:val="22"/>
        </w:rPr>
        <w:t>remain liable for the Secured Obligations up to the maximum liability of such Guarantor hereunder until the Discharge of Obligations.</w:t>
      </w:r>
    </w:p>
    <w:p>
      <w:pPr>
        <w:pStyle w:val="TextBody"/>
        <w:spacing w:lineRule="auto" w:line="271"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111111"/>
          <w:sz w:val="22"/>
        </w:rPr>
        <w:t>Any term or provision of this Agreement or any other Loan Document to the contrary notwithstanding</w:t>
      </w:r>
      <w:r>
        <w:rPr>
          <w:rFonts w:ascii="Times New Roman;sans-serif" w:hAnsi="Times New Roman;sans-serif"/>
          <w:b w:val="false"/>
          <w:color w:val="2D2D2D"/>
          <w:sz w:val="22"/>
        </w:rPr>
        <w:t xml:space="preserve">, </w:t>
      </w:r>
      <w:r>
        <w:rPr>
          <w:rFonts w:ascii="Times New Roman;sans-serif" w:hAnsi="Times New Roman;sans-serif"/>
          <w:b w:val="false"/>
          <w:color w:val="111111"/>
          <w:sz w:val="22"/>
        </w:rPr>
        <w:t>the maximum aggregate amount for which any Guarantor shall be liable hereunder shall not exceed the maximum amount for which such Guarantor can be liable without rendering this Agreement or any other Loan Document</w:t>
      </w:r>
      <w:r>
        <w:rPr>
          <w:rFonts w:ascii="Times New Roman;sans-serif" w:hAnsi="Times New Roman;sans-serif"/>
          <w:b w:val="false"/>
          <w:color w:val="2D2D2D"/>
          <w:sz w:val="22"/>
        </w:rPr>
        <w:t xml:space="preserve">, </w:t>
      </w:r>
      <w:r>
        <w:rPr>
          <w:rFonts w:ascii="Times New Roman;sans-serif" w:hAnsi="Times New Roman;sans-serif"/>
          <w:b w:val="false"/>
          <w:color w:val="111111"/>
          <w:sz w:val="22"/>
        </w:rPr>
        <w:t>as it relates to such Guarantor</w:t>
      </w:r>
      <w:r>
        <w:rPr>
          <w:rFonts w:ascii="Times New Roman;sans-serif" w:hAnsi="Times New Roman;sans-serif"/>
          <w:b w:val="false"/>
          <w:color w:val="2D2D2D"/>
          <w:sz w:val="22"/>
        </w:rPr>
        <w:t xml:space="preserve">, </w:t>
      </w:r>
      <w:r>
        <w:rPr>
          <w:rFonts w:ascii="Times New Roman;sans-serif" w:hAnsi="Times New Roman;sans-serif"/>
          <w:b w:val="false"/>
          <w:color w:val="111111"/>
          <w:sz w:val="22"/>
        </w:rPr>
        <w:t>subject to avoidance under requirements of applicable Requirements of Law relating to fraudulent conveyance or fraudulent transfer (including the Uniform Fraudulent Conveyance Act, the Uniform Fraudulent Transfer Act and the Bankruptcy Code or any applicable provisions of comparable Requirements of Law) (collectively</w:t>
      </w:r>
      <w:r>
        <w:rPr>
          <w:rFonts w:ascii="Times New Roman;sans-serif" w:hAnsi="Times New Roman;sans-serif"/>
          <w:b w:val="false"/>
          <w:color w:val="2D2D2D"/>
          <w:sz w:val="22"/>
        </w:rPr>
        <w:t>, “</w:t>
      </w:r>
      <w:r>
        <w:rPr>
          <w:rFonts w:ascii="Times New Roman;sans-serif" w:hAnsi="Times New Roman;sans-serif"/>
          <w:b w:val="false"/>
          <w:color w:val="111111"/>
          <w:sz w:val="22"/>
          <w:u w:val="single"/>
        </w:rPr>
        <w:t>Fraudulent Transfer Laws</w:t>
      </w:r>
      <w:r>
        <w:rPr>
          <w:color w:val="111111"/>
        </w:rPr>
        <w:t>”</w:t>
      </w:r>
      <w:r>
        <w:rPr>
          <w:rFonts w:ascii="Times New Roman;sans-serif" w:hAnsi="Times New Roman;sans-serif"/>
          <w:b w:val="false"/>
          <w:color w:val="111111"/>
          <w:sz w:val="22"/>
        </w:rPr>
        <w:t xml:space="preserve">). Any analysis of the provisions of this Agreement for purposes of Fraudulent Transfer Laws shall take into account the right of contribution established in </w:t>
      </w:r>
      <w:r>
        <w:rPr>
          <w:rFonts w:ascii="Times New Roman;sans-serif" w:hAnsi="Times New Roman;sans-serif"/>
          <w:b w:val="false"/>
          <w:color w:val="111111"/>
          <w:sz w:val="22"/>
          <w:u w:val="single"/>
        </w:rPr>
        <w:t>Section 2.2</w:t>
      </w:r>
      <w:r>
        <w:rPr>
          <w:rFonts w:ascii="Times New Roman;sans-serif" w:hAnsi="Times New Roman;sans-serif"/>
          <w:b w:val="false"/>
          <w:color w:val="111111"/>
          <w:sz w:val="22"/>
        </w:rPr>
        <w:t>, and, for purposes of such analysis, give effect to any discharge of intercompany debt as a result of any payment made under this Agreement.</w:t>
      </w:r>
    </w:p>
    <w:p>
      <w:pPr>
        <w:pStyle w:val="TextBody"/>
        <w:spacing w:lineRule="auto" w:line="271" w:before="0" w:after="18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111111"/>
          <w:sz w:val="22"/>
          <w:u w:val="single"/>
        </w:rPr>
        <w:t>Right of Contribution</w:t>
      </w:r>
      <w:r>
        <w:rPr>
          <w:rFonts w:ascii="Times New Roman;sans-serif" w:hAnsi="Times New Roman;sans-serif"/>
          <w:b w:val="false"/>
          <w:color w:val="111111"/>
          <w:sz w:val="22"/>
        </w:rPr>
        <w:t xml:space="preserve">. If in connection with any payment made by any Guarantor hereunder any rights of contribution arise in favor of such Guarantor against one or more other Guarantors, such rights of contribution shall be subject to the terms and conditions of </w:t>
      </w:r>
      <w:r>
        <w:rPr>
          <w:rFonts w:ascii="Times New Roman;sans-serif" w:hAnsi="Times New Roman;sans-serif"/>
          <w:b w:val="false"/>
          <w:color w:val="111111"/>
          <w:sz w:val="22"/>
          <w:u w:val="single"/>
        </w:rPr>
        <w:t>Section 2.3</w:t>
      </w:r>
      <w:r>
        <w:rPr>
          <w:rFonts w:ascii="Times New Roman;sans-serif" w:hAnsi="Times New Roman;sans-serif"/>
          <w:b w:val="false"/>
          <w:color w:val="111111"/>
          <w:sz w:val="22"/>
        </w:rPr>
        <w:t xml:space="preserve">. The provisions of this </w:t>
      </w:r>
      <w:r>
        <w:rPr>
          <w:rFonts w:ascii="Times New Roman;sans-serif" w:hAnsi="Times New Roman;sans-serif"/>
          <w:b w:val="false"/>
          <w:color w:val="111111"/>
          <w:sz w:val="22"/>
          <w:u w:val="single"/>
        </w:rPr>
        <w:t>Section 2.2</w:t>
      </w:r>
      <w:r>
        <w:rPr>
          <w:color w:val="111111"/>
        </w:rPr>
        <w:t xml:space="preserve"> </w:t>
      </w:r>
      <w:r>
        <w:rPr>
          <w:rFonts w:ascii="Times New Roman;sans-serif" w:hAnsi="Times New Roman;sans-serif"/>
          <w:b w:val="false"/>
          <w:color w:val="111111"/>
          <w:sz w:val="22"/>
        </w:rPr>
        <w:t>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w:t>
      </w:r>
    </w:p>
    <w:p>
      <w:pPr>
        <w:pStyle w:val="TextBody"/>
        <w:spacing w:lineRule="auto" w:line="271" w:before="0" w:after="18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111111"/>
          <w:sz w:val="22"/>
          <w:u w:val="single"/>
        </w:rPr>
        <w:t>No Subrogation</w:t>
      </w:r>
      <w:r>
        <w:rPr>
          <w:rFonts w:ascii="Times New Roman;sans-serif" w:hAnsi="Times New Roman;sans-serif"/>
          <w:b w:val="false"/>
          <w:color w:val="111111"/>
          <w:sz w:val="22"/>
        </w:rPr>
        <w:t xml:space="preserve">. Notwithstanding any payment made by any Guarantor hereunder or any setoff or application of funds of any Guarantor by the Administrative Agent or any other Secured Party, no Guarantor shall be entitled to be subrogated to any of the rights of the Administrative Agent or any other Secured Party against the Borrower or any other Guarantor or any Collateral or guarantee or right of offset held by the Administrative Agent or any other Secured Party for the payment of the Secured Obligations, nor shall any Guarantor seek or be entitled to seek any contribution or reimbursement from the Borrower or any other Guarantor in respect of payments made by such Guarantor hereunder, in each </w:t>
      </w:r>
      <w:r>
        <w:br w:type="page"/>
      </w:r>
    </w:p>
    <w:p>
      <w:pPr>
        <w:pStyle w:val="TextBody"/>
        <w:spacing w:before="0" w:after="0"/>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60655"/>
                <wp:effectExtent l="0" t="0" r="0" b="0"/>
                <wp:wrapNone/>
                <wp:docPr id="441" name="Frame4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111111"/>
          <w:sz w:val="22"/>
        </w:rPr>
        <w:t>case, until the Discharge of Obligations</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If any amount shall be paid to any Guarantor on account of such subrogation rights at any time prior to the Discharge of Obligations, such amount shall be held by such Guarantor in trust for the Administrative Agent and the other Secured Parties</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shall be segregated from other funds of such Guarantor, and shall</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 xml:space="preserve">forthwith upon receipt by such Guarantor, be turned over to the Administrative Agent in the exact form received by </w:t>
      </w:r>
      <w:r>
        <w:rPr>
          <w:rFonts w:ascii="Times New Roman;sans-serif" w:hAnsi="Times New Roman;sans-serif"/>
          <w:b w:val="false"/>
          <w:color w:val="282828"/>
          <w:sz w:val="22"/>
        </w:rPr>
        <w:t>s</w:t>
      </w:r>
      <w:r>
        <w:rPr>
          <w:rFonts w:ascii="Times New Roman;sans-serif" w:hAnsi="Times New Roman;sans-serif"/>
          <w:b w:val="false"/>
          <w:color w:val="111111"/>
          <w:sz w:val="22"/>
        </w:rPr>
        <w:t>uch Guarantor (duly indorsed by such Guarantor to the Administrative Agent</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if required)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 xml:space="preserve">to be applied in such order as set forth in </w:t>
      </w:r>
      <w:r>
        <w:rPr>
          <w:rFonts w:ascii="Times New Roman;sans-serif" w:hAnsi="Times New Roman;sans-serif"/>
          <w:b w:val="false"/>
          <w:color w:val="111111"/>
          <w:sz w:val="22"/>
          <w:u w:val="single"/>
        </w:rPr>
        <w:t>Section 6.5</w:t>
      </w:r>
      <w:r>
        <w:rPr>
          <w:color w:val="111111"/>
        </w:rPr>
        <w:t xml:space="preserve"> </w:t>
      </w:r>
      <w:r>
        <w:rPr>
          <w:rFonts w:ascii="Times New Roman;sans-serif" w:hAnsi="Times New Roman;sans-serif"/>
          <w:b w:val="false"/>
          <w:color w:val="111111"/>
          <w:sz w:val="22"/>
        </w:rPr>
        <w:t>hereof irrespective of the occurrence or the continuance of any Event of Default.</w:t>
      </w:r>
    </w:p>
    <w:p>
      <w:pPr>
        <w:pStyle w:val="TextBody"/>
        <w:spacing w:lineRule="auto" w:line="288" w:before="0" w:after="180"/>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111111"/>
          <w:sz w:val="22"/>
          <w:u w:val="single"/>
        </w:rPr>
        <w:t>Amendments, etc. with respect to the Secured Obligations</w:t>
      </w:r>
      <w:r>
        <w:rPr>
          <w:rFonts w:ascii="Times New Roman;sans-serif" w:hAnsi="Times New Roman;sans-serif"/>
          <w:b w:val="false"/>
          <w:color w:val="111111"/>
          <w:sz w:val="22"/>
        </w:rPr>
        <w:t>. Each Guarantor shall remain obligated hereunder notwithstanding that, without any reservation of rights against any Guarantor and without notice to or further assent by any Guarantor</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any demand for payment of any of the Secured Obligations made by the Administrative Agent or any other Secured Party may be rescinded by the Administrative Agent or such Secured Party and any of the Secured Obligations continued, and the Secured Obligations, or the liability of any other Person upon or for any part thereof</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or any collateral security or guarantee therefor or right of offset with respect thereto, may</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from time to time</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in whole or in part</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be renewed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increased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extended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amended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modified, accelerated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compromised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waived, surrendered or released by the Administrative Agent or any other Secured Party, and the Credit Agreement</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the other Loan Documents</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the Specified Swap Agreements</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the Cash Management Agreements and any other documents executed and delivered in connection therewith may be amended, modified</w:t>
      </w:r>
      <w:r>
        <w:rPr>
          <w:rFonts w:ascii="Times New Roman;sans-serif" w:hAnsi="Times New Roman;sans-serif"/>
          <w:b w:val="false"/>
          <w:color w:val="282828"/>
          <w:sz w:val="22"/>
        </w:rPr>
        <w:t>, s</w:t>
      </w:r>
      <w:r>
        <w:rPr>
          <w:rFonts w:ascii="Times New Roman;sans-serif" w:hAnsi="Times New Roman;sans-serif"/>
          <w:b w:val="false"/>
          <w:color w:val="111111"/>
          <w:sz w:val="22"/>
        </w:rPr>
        <w:t>upplemented or terminated, in whole or in part, and any collateral security, guarantee or right of offset at any time held by the Administrative Agent or any other Secured Party for the payment of the Secured Obligations may be sold, exchanged, waived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surrendered or released</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Neither the Administrative Agent nor any other Secured Party shall have any obligation to protect, secure, perfect or in</w:t>
      </w:r>
      <w:r>
        <w:rPr>
          <w:rFonts w:ascii="Times New Roman;sans-serif" w:hAnsi="Times New Roman;sans-serif"/>
          <w:b w:val="false"/>
          <w:color w:val="282828"/>
          <w:sz w:val="22"/>
        </w:rPr>
        <w:t>s</w:t>
      </w:r>
      <w:r>
        <w:rPr>
          <w:rFonts w:ascii="Times New Roman;sans-serif" w:hAnsi="Times New Roman;sans-serif"/>
          <w:b w:val="false"/>
          <w:color w:val="111111"/>
          <w:sz w:val="22"/>
        </w:rPr>
        <w:t xml:space="preserve">ure any Lien at any time held by it as security for the Secured Obligations or for the guarantee contained in this </w:t>
      </w:r>
      <w:r>
        <w:rPr>
          <w:rFonts w:ascii="Times New Roman;sans-serif" w:hAnsi="Times New Roman;sans-serif"/>
          <w:b w:val="false"/>
          <w:color w:val="111111"/>
          <w:sz w:val="22"/>
          <w:u w:val="single"/>
        </w:rPr>
        <w:t>Section 2</w:t>
      </w:r>
      <w:r>
        <w:rPr>
          <w:color w:val="111111"/>
        </w:rPr>
        <w:t xml:space="preserve"> </w:t>
      </w:r>
      <w:r>
        <w:rPr>
          <w:rFonts w:ascii="Times New Roman;sans-serif" w:hAnsi="Times New Roman;sans-serif"/>
          <w:b w:val="false"/>
          <w:color w:val="111111"/>
          <w:sz w:val="22"/>
        </w:rPr>
        <w:t>or any property subject thereto</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2.5</w:t>
      </w:r>
      <w:r>
        <w:rPr>
          <w:rFonts w:ascii="Times New Roman;sans-serif" w:hAnsi="Times New Roman;sans-serif"/>
          <w:b w:val="false"/>
          <w:color w:val="111111"/>
          <w:sz w:val="22"/>
          <w:u w:val="single"/>
        </w:rPr>
        <w:t>Guarantee Absolute and Unconditional; Guarantor Waivers; Guarantor Consents</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Each Guarantor waives any and all notice of the creation</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renewal</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 xml:space="preserve">extension or accrual of any of the Secured Obligations and notice of or proof of reliance by the Administrative Agent or any other Secured Party upon the guarantee contained in this </w:t>
      </w:r>
      <w:r>
        <w:rPr>
          <w:rFonts w:ascii="Times New Roman;sans-serif" w:hAnsi="Times New Roman;sans-serif"/>
          <w:b w:val="false"/>
          <w:color w:val="111111"/>
          <w:sz w:val="22"/>
          <w:u w:val="single"/>
        </w:rPr>
        <w:t>Section 2</w:t>
      </w:r>
      <w:r>
        <w:rPr>
          <w:color w:val="111111"/>
        </w:rPr>
        <w:t xml:space="preserve"> </w:t>
      </w:r>
      <w:r>
        <w:rPr>
          <w:rFonts w:ascii="Times New Roman;sans-serif" w:hAnsi="Times New Roman;sans-serif"/>
          <w:b w:val="false"/>
          <w:color w:val="111111"/>
          <w:sz w:val="22"/>
        </w:rPr>
        <w:t xml:space="preserve">or acceptance of the guarantee contained in this </w:t>
      </w:r>
      <w:r>
        <w:rPr>
          <w:rFonts w:ascii="Times New Roman;sans-serif" w:hAnsi="Times New Roman;sans-serif"/>
          <w:b w:val="false"/>
          <w:color w:val="111111"/>
          <w:sz w:val="22"/>
          <w:u w:val="single"/>
        </w:rPr>
        <w:t>Section 2</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the Secured Obligations</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and any of them</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shall conclusively be deemed to have been created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contracted or incurred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or renewed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increased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extended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amended or waived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 xml:space="preserve">in reliance upon the guarantee contained in this </w:t>
      </w:r>
      <w:r>
        <w:rPr>
          <w:rFonts w:ascii="Times New Roman;sans-serif" w:hAnsi="Times New Roman;sans-serif"/>
          <w:b w:val="false"/>
          <w:color w:val="111111"/>
          <w:sz w:val="22"/>
          <w:u w:val="single"/>
        </w:rPr>
        <w:t>Section 2</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and all dealing</w:t>
      </w:r>
      <w:r>
        <w:rPr>
          <w:rFonts w:ascii="Times New Roman;sans-serif" w:hAnsi="Times New Roman;sans-serif"/>
          <w:b w:val="false"/>
          <w:color w:val="282828"/>
          <w:sz w:val="22"/>
        </w:rPr>
        <w:t xml:space="preserve">s </w:t>
      </w:r>
      <w:r>
        <w:rPr>
          <w:rFonts w:ascii="Times New Roman;sans-serif" w:hAnsi="Times New Roman;sans-serif"/>
          <w:b w:val="false"/>
          <w:color w:val="111111"/>
          <w:sz w:val="22"/>
        </w:rPr>
        <w:t>between the Borrower and any of the Guarantors on the one hand</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 xml:space="preserve">and the Administrative Agent and the other Secured Parties, on the other hand, likewise shall be conclusively presumed to have been had or consummated in reliance upon the guarantee contained in this </w:t>
      </w:r>
      <w:r>
        <w:rPr>
          <w:rFonts w:ascii="Times New Roman;sans-serif" w:hAnsi="Times New Roman;sans-serif"/>
          <w:b w:val="false"/>
          <w:color w:val="111111"/>
          <w:sz w:val="22"/>
          <w:u w:val="single"/>
        </w:rPr>
        <w:t>Section 2</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Each Guarantor further waives:</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111111"/>
          <w:sz w:val="22"/>
        </w:rPr>
        <w:t>diligence</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presentment, protest</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demand for payment and notice of default or nonpayment to or upon the Borrower or any of the Guarantor</w:t>
      </w:r>
      <w:r>
        <w:rPr>
          <w:rFonts w:ascii="Times New Roman;sans-serif" w:hAnsi="Times New Roman;sans-serif"/>
          <w:b w:val="false"/>
          <w:color w:val="282828"/>
          <w:sz w:val="22"/>
        </w:rPr>
        <w:t xml:space="preserve">s </w:t>
      </w:r>
      <w:r>
        <w:rPr>
          <w:rFonts w:ascii="Times New Roman;sans-serif" w:hAnsi="Times New Roman;sans-serif"/>
          <w:b w:val="false"/>
          <w:color w:val="111111"/>
          <w:sz w:val="22"/>
        </w:rPr>
        <w:t>with respect to the Secured Obligations</w:t>
      </w:r>
      <w:r>
        <w:rPr>
          <w:rFonts w:ascii="Times New Roman;sans-serif" w:hAnsi="Times New Roman;sans-serif"/>
          <w:b w:val="false"/>
          <w:color w:val="282828"/>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111111"/>
          <w:sz w:val="22"/>
        </w:rPr>
        <w:t>any right to require any Secured Party to marshal assets in favor of the Borrower</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such Guarantor</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any other Guarantor or any other Person, to proceed again</w:t>
      </w:r>
      <w:r>
        <w:rPr>
          <w:rFonts w:ascii="Times New Roman;sans-serif" w:hAnsi="Times New Roman;sans-serif"/>
          <w:b w:val="false"/>
          <w:color w:val="282828"/>
          <w:sz w:val="22"/>
        </w:rPr>
        <w:t>s</w:t>
      </w:r>
      <w:r>
        <w:rPr>
          <w:rFonts w:ascii="Times New Roman;sans-serif" w:hAnsi="Times New Roman;sans-serif"/>
          <w:b w:val="false"/>
          <w:color w:val="111111"/>
          <w:sz w:val="22"/>
        </w:rPr>
        <w:t>t the Borrower</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any Guarantor or any other Person, to proceed against or exhaust any of the Collateral</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to give notice of the terms</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time and place of any public or private sale of personal property security constituting the Collateral or other collateral for the Secured Obligations or to comply with any other provisions of Section 9</w:t>
      </w:r>
      <w:r>
        <w:rPr>
          <w:rFonts w:ascii="Times New Roman;sans-serif" w:hAnsi="Times New Roman;sans-serif"/>
          <w:b w:val="false"/>
          <w:color w:val="000000"/>
          <w:sz w:val="22"/>
        </w:rPr>
        <w:t>-</w:t>
      </w:r>
      <w:r>
        <w:rPr>
          <w:rFonts w:ascii="Times New Roman;sans-serif" w:hAnsi="Times New Roman;sans-serif"/>
          <w:b w:val="false"/>
          <w:color w:val="111111"/>
          <w:sz w:val="22"/>
        </w:rPr>
        <w:t>611 of the UCC (or any equivalent provision of any other applicable law) or to pursue any other right</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remedy</w:t>
      </w:r>
      <w:r>
        <w:rPr>
          <w:rFonts w:ascii="Times New Roman;sans-serif" w:hAnsi="Times New Roman;sans-serif"/>
          <w:b w:val="false"/>
          <w:color w:val="282828"/>
          <w:sz w:val="22"/>
        </w:rPr>
        <w:t xml:space="preserve">, </w:t>
      </w:r>
      <w:r>
        <w:rPr>
          <w:rFonts w:ascii="Times New Roman;sans-serif" w:hAnsi="Times New Roman;sans-serif"/>
          <w:b w:val="false"/>
          <w:color w:val="111111"/>
          <w:sz w:val="22"/>
        </w:rPr>
        <w:t>power or privilege of any Secured Party whatsoever;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111111"/>
          <w:sz w:val="22"/>
        </w:rPr>
        <w:t>the defense of any applicable statute of limitations (or similar laws in any jurisdiction) in any action hereunder or for the collection or performance of the Secured Obligations</w:t>
      </w:r>
      <w:r>
        <w:rPr>
          <w:rFonts w:ascii="Times New Roman;sans-serif" w:hAnsi="Times New Roman;sans-serif"/>
          <w:b w:val="false"/>
          <w:color w:val="282828"/>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60655"/>
                <wp:effectExtent l="0" t="0" r="0" b="0"/>
                <wp:wrapNone/>
                <wp:docPr id="442" name="Frame4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6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111111"/>
          <w:sz w:val="22"/>
        </w:rPr>
        <w:t>any defense arising by reason of any lack of corporate or other authority or any other defense of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such Guarantor or any other Person</w:t>
      </w:r>
      <w:r>
        <w:rPr>
          <w:rFonts w:ascii="Times New Roman;sans-serif" w:hAnsi="Times New Roman;sans-serif"/>
          <w:b w:val="false"/>
          <w:color w:val="262626"/>
          <w:sz w:val="22"/>
        </w:rPr>
        <w:t>;</w:t>
      </w:r>
    </w:p>
    <w:p>
      <w:pPr>
        <w:pStyle w:val="TextBody"/>
        <w:spacing w:lineRule="auto" w:line="26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111111"/>
          <w:sz w:val="22"/>
        </w:rPr>
        <w:t>any defense based upon the Administrative Agent's or any Secured Party's errors or omissions in the administration of the Secured Obligations;</w:t>
      </w:r>
    </w:p>
    <w:p>
      <w:pPr>
        <w:pStyle w:val="TextBody"/>
        <w:spacing w:lineRule="auto" w:line="26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111111"/>
          <w:sz w:val="22"/>
        </w:rPr>
        <w:t xml:space="preserve">any rights to </w:t>
      </w:r>
      <w:r>
        <w:rPr>
          <w:rFonts w:ascii="Times New Roman;sans-serif" w:hAnsi="Times New Roman;sans-serif"/>
          <w:b w:val="false"/>
          <w:color w:val="262626"/>
          <w:sz w:val="22"/>
        </w:rPr>
        <w:t>s</w:t>
      </w:r>
      <w:r>
        <w:rPr>
          <w:rFonts w:ascii="Times New Roman;sans-serif" w:hAnsi="Times New Roman;sans-serif"/>
          <w:b w:val="false"/>
          <w:color w:val="111111"/>
          <w:sz w:val="22"/>
        </w:rPr>
        <w:t>et-offs and counterclaims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w:t>
      </w:r>
    </w:p>
    <w:p>
      <w:pPr>
        <w:pStyle w:val="TextBody"/>
        <w:spacing w:lineRule="auto" w:line="26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111111"/>
          <w:sz w:val="22"/>
        </w:rPr>
        <w:t>without limiting the generality of the foregoing, to the fullest extent permitted by law</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defen</w:t>
      </w:r>
      <w:r>
        <w:rPr>
          <w:rFonts w:ascii="Times New Roman;sans-serif" w:hAnsi="Times New Roman;sans-serif"/>
          <w:b w:val="false"/>
          <w:color w:val="262626"/>
          <w:sz w:val="22"/>
        </w:rPr>
        <w:t>s</w:t>
      </w:r>
      <w:r>
        <w:rPr>
          <w:rFonts w:ascii="Times New Roman;sans-serif" w:hAnsi="Times New Roman;sans-serif"/>
          <w:b w:val="false"/>
          <w:color w:val="111111"/>
          <w:sz w:val="22"/>
        </w:rPr>
        <w:t>es or benefit</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that may be derived from or afforded by any applicable law that limit the liability of or exonerate guarantors or sureties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which may conflict with the terms of this Agreement, including all rights and defenses (i) arising out of an election of remedies by any Secured Party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w:t>
      </w:r>
      <w:r>
        <w:rPr>
          <w:rFonts w:ascii="Times New Roman;sans-serif" w:hAnsi="Times New Roman;sans-serif"/>
          <w:b w:val="false"/>
          <w:color w:val="262626"/>
          <w:sz w:val="22"/>
        </w:rPr>
        <w:t>v</w:t>
      </w:r>
      <w:r>
        <w:rPr>
          <w:rFonts w:ascii="Times New Roman;sans-serif" w:hAnsi="Times New Roman;sans-serif"/>
          <w:b w:val="false"/>
          <w:color w:val="111111"/>
          <w:sz w:val="22"/>
        </w:rPr>
        <w:t>en though that election of remedies, such as a nonjudicial foreclosure with respect to security for a guaranteed obligation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has destroyed such Guarantor</w:t>
      </w:r>
      <w:r>
        <w:rPr>
          <w:rFonts w:ascii="Times New Roman;sans-serif" w:hAnsi="Times New Roman;sans-serif"/>
          <w:b w:val="false"/>
          <w:color w:val="262626"/>
          <w:sz w:val="22"/>
        </w:rPr>
        <w:t>'</w:t>
      </w:r>
      <w:r>
        <w:rPr>
          <w:rFonts w:ascii="Times New Roman;sans-serif" w:hAnsi="Times New Roman;sans-serif"/>
          <w:b w:val="false"/>
          <w:color w:val="111111"/>
          <w:sz w:val="22"/>
        </w:rPr>
        <w:t xml:space="preserve">s rights of </w:t>
      </w:r>
      <w:r>
        <w:rPr>
          <w:rFonts w:ascii="Times New Roman;sans-serif" w:hAnsi="Times New Roman;sans-serif"/>
          <w:b w:val="false"/>
          <w:color w:val="262626"/>
          <w:sz w:val="22"/>
        </w:rPr>
        <w:t>s</w:t>
      </w:r>
      <w:r>
        <w:rPr>
          <w:rFonts w:ascii="Times New Roman;sans-serif" w:hAnsi="Times New Roman;sans-serif"/>
          <w:b w:val="false"/>
          <w:color w:val="111111"/>
          <w:sz w:val="22"/>
        </w:rPr>
        <w:t>ubrogation and reimbursement against any applicable Loan Party by the operation of Section 580 or 726 of the California Code of Civil Procedure or otherwi</w:t>
      </w:r>
      <w:r>
        <w:rPr>
          <w:rFonts w:ascii="Times New Roman;sans-serif" w:hAnsi="Times New Roman;sans-serif"/>
          <w:b w:val="false"/>
          <w:color w:val="262626"/>
          <w:sz w:val="22"/>
        </w:rPr>
        <w:t>s</w:t>
      </w:r>
      <w:r>
        <w:rPr>
          <w:rFonts w:ascii="Times New Roman;sans-serif" w:hAnsi="Times New Roman;sans-serif"/>
          <w:b w:val="false"/>
          <w:color w:val="111111"/>
          <w:sz w:val="22"/>
        </w:rPr>
        <w:t>e, and (ii) relating to any suretyship defenses available to it under the California UCC or any other applicable law</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including any rights and defenses which are or may become available to such Guarantor by reason of California Ci</w:t>
      </w:r>
      <w:r>
        <w:rPr>
          <w:rFonts w:ascii="Times New Roman;sans-serif" w:hAnsi="Times New Roman;sans-serif"/>
          <w:b w:val="false"/>
          <w:color w:val="262626"/>
          <w:sz w:val="22"/>
        </w:rPr>
        <w:t>v</w:t>
      </w:r>
      <w:r>
        <w:rPr>
          <w:rFonts w:ascii="Times New Roman;sans-serif" w:hAnsi="Times New Roman;sans-serif"/>
          <w:b w:val="false"/>
          <w:color w:val="111111"/>
          <w:sz w:val="22"/>
        </w:rPr>
        <w:t>il Code Sections 1432, 2787 through 2855</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2899</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3433 or California Code of Civil Procedure Sections 580 or 726.</w:t>
      </w:r>
    </w:p>
    <w:p>
      <w:pPr>
        <w:pStyle w:val="TextBody"/>
        <w:spacing w:lineRule="auto" w:line="268" w:before="0" w:after="180"/>
        <w:ind w:left="0" w:right="0" w:firstLine="1440"/>
        <w:jc w:val="both"/>
        <w:rPr/>
      </w:pPr>
      <w:r>
        <w:rPr>
          <w:rFonts w:ascii="Times New Roman;sans-serif" w:hAnsi="Times New Roman;sans-serif"/>
          <w:b w:val="false"/>
          <w:color w:val="111111"/>
          <w:sz w:val="22"/>
        </w:rPr>
        <w:t xml:space="preserve">Each Guarantor understands and agrees that the guarantee contained in this </w:t>
      </w:r>
      <w:r>
        <w:rPr>
          <w:rFonts w:ascii="Times New Roman;sans-serif" w:hAnsi="Times New Roman;sans-serif"/>
          <w:b w:val="false"/>
          <w:color w:val="111111"/>
          <w:sz w:val="22"/>
          <w:u w:val="single"/>
        </w:rPr>
        <w:t>Section 2</w:t>
      </w:r>
      <w:r>
        <w:rPr>
          <w:color w:val="111111"/>
        </w:rPr>
        <w:t xml:space="preserve"> </w:t>
      </w:r>
      <w:r>
        <w:rPr>
          <w:rFonts w:ascii="Times New Roman;sans-serif" w:hAnsi="Times New Roman;sans-serif"/>
          <w:b w:val="false"/>
          <w:color w:val="111111"/>
          <w:sz w:val="22"/>
        </w:rPr>
        <w:t>shall be construed as a continuing</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ab</w:t>
      </w:r>
      <w:r>
        <w:rPr>
          <w:rFonts w:ascii="Times New Roman;sans-serif" w:hAnsi="Times New Roman;sans-serif"/>
          <w:b w:val="false"/>
          <w:color w:val="262626"/>
          <w:sz w:val="22"/>
        </w:rPr>
        <w:t>s</w:t>
      </w:r>
      <w:r>
        <w:rPr>
          <w:rFonts w:ascii="Times New Roman;sans-serif" w:hAnsi="Times New Roman;sans-serif"/>
          <w:b w:val="false"/>
          <w:color w:val="111111"/>
          <w:sz w:val="22"/>
        </w:rPr>
        <w:t xml:space="preserve">olute and unconditional guarantee of payment and performance without regard to (1) the </w:t>
      </w:r>
      <w:r>
        <w:rPr>
          <w:rFonts w:ascii="Times New Roman;sans-serif" w:hAnsi="Times New Roman;sans-serif"/>
          <w:b w:val="false"/>
          <w:color w:val="262626"/>
          <w:sz w:val="22"/>
        </w:rPr>
        <w:t>v</w:t>
      </w:r>
      <w:r>
        <w:rPr>
          <w:rFonts w:ascii="Times New Roman;sans-serif" w:hAnsi="Times New Roman;sans-serif"/>
          <w:b w:val="false"/>
          <w:color w:val="111111"/>
          <w:sz w:val="22"/>
        </w:rPr>
        <w:t>alidity or enforceability of the Credit Agreement or any other Loan Document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of the Secured Obligations or any other collateral security therefor or guarantee or right of off</w:t>
      </w:r>
      <w:r>
        <w:rPr>
          <w:rFonts w:ascii="Times New Roman;sans-serif" w:hAnsi="Times New Roman;sans-serif"/>
          <w:b w:val="false"/>
          <w:color w:val="262626"/>
          <w:sz w:val="22"/>
        </w:rPr>
        <w:t>s</w:t>
      </w:r>
      <w:r>
        <w:rPr>
          <w:rFonts w:ascii="Times New Roman;sans-serif" w:hAnsi="Times New Roman;sans-serif"/>
          <w:b w:val="false"/>
          <w:color w:val="111111"/>
          <w:sz w:val="22"/>
        </w:rPr>
        <w:t>et with respect thereto at any time or from time to time held by the Administrative Agent or any other Secured Party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(2) any defense</w:t>
      </w:r>
      <w:r>
        <w:rPr>
          <w:rFonts w:ascii="Times New Roman;sans-serif" w:hAnsi="Times New Roman;sans-serif"/>
          <w:b w:val="false"/>
          <w:color w:val="262626"/>
          <w:sz w:val="22"/>
        </w:rPr>
        <w:t>, s</w:t>
      </w:r>
      <w:r>
        <w:rPr>
          <w:rFonts w:ascii="Times New Roman;sans-serif" w:hAnsi="Times New Roman;sans-serif"/>
          <w:b w:val="false"/>
          <w:color w:val="111111"/>
          <w:sz w:val="22"/>
        </w:rPr>
        <w:t>etoff or counterclaim (other than a defense of payment or performance) which may at any time be a</w:t>
      </w:r>
      <w:r>
        <w:rPr>
          <w:rFonts w:ascii="Times New Roman;sans-serif" w:hAnsi="Times New Roman;sans-serif"/>
          <w:b w:val="false"/>
          <w:color w:val="262626"/>
          <w:sz w:val="22"/>
        </w:rPr>
        <w:t>v</w:t>
      </w:r>
      <w:r>
        <w:rPr>
          <w:rFonts w:ascii="Times New Roman;sans-serif" w:hAnsi="Times New Roman;sans-serif"/>
          <w:b w:val="false"/>
          <w:color w:val="111111"/>
          <w:sz w:val="22"/>
        </w:rPr>
        <w:t>ailable to or be asserted by the Borrower or any other Person against the Administrative Agent or any other Secured Party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(3) any other circumstance whatsoever (with or without notice to or knowledge of the Borrower or such Guarantor) which constitutes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might be construed to constitute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 equitable or legal discharge of the Borrower and the Guarantors for the Secured Obligations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or of such Guarantor under the guarantee contained in this </w:t>
      </w:r>
      <w:r>
        <w:rPr>
          <w:rFonts w:ascii="Times New Roman;sans-serif" w:hAnsi="Times New Roman;sans-serif"/>
          <w:b w:val="false"/>
          <w:color w:val="111111"/>
          <w:sz w:val="22"/>
          <w:u w:val="single"/>
        </w:rPr>
        <w:t>Section 2</w:t>
      </w:r>
      <w:r>
        <w:rPr>
          <w:rFonts w:ascii="Times New Roman;sans-serif" w:hAnsi="Times New Roman;sans-serif"/>
          <w:b w:val="false"/>
          <w:color w:val="111111"/>
          <w:sz w:val="22"/>
        </w:rPr>
        <w:t>, in bankruptcy or in any other instance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(4) any Insol</w:t>
      </w:r>
      <w:r>
        <w:rPr>
          <w:rFonts w:ascii="Times New Roman;sans-serif" w:hAnsi="Times New Roman;sans-serif"/>
          <w:b w:val="false"/>
          <w:color w:val="262626"/>
          <w:sz w:val="22"/>
        </w:rPr>
        <w:t>v</w:t>
      </w:r>
      <w:r>
        <w:rPr>
          <w:rFonts w:ascii="Times New Roman;sans-serif" w:hAnsi="Times New Roman;sans-serif"/>
          <w:b w:val="false"/>
          <w:color w:val="111111"/>
          <w:sz w:val="22"/>
        </w:rPr>
        <w:t>ency Proceeding with respect to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Guarantor or any other Person, (5) any merger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acquisition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consolidation or change in structure of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Guarantor or any other Person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any sale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lease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transfer or other disposition of any or all of the assets or Capital Stock of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Guarantor or any other Person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(6) any assignment or other transfer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 whole or in part, of any Secured Party</w:t>
      </w:r>
      <w:r>
        <w:rPr>
          <w:rFonts w:ascii="Times New Roman;sans-serif" w:hAnsi="Times New Roman;sans-serif"/>
          <w:b w:val="false"/>
          <w:color w:val="262626"/>
          <w:sz w:val="22"/>
        </w:rPr>
        <w:t>'</w:t>
      </w:r>
      <w:r>
        <w:rPr>
          <w:rFonts w:ascii="Times New Roman;sans-serif" w:hAnsi="Times New Roman;sans-serif"/>
          <w:b w:val="false"/>
          <w:color w:val="111111"/>
          <w:sz w:val="22"/>
        </w:rPr>
        <w:t>s interests in and rights under thi</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Agreement or the other Loan Documents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including any Secured Party</w:t>
      </w:r>
      <w:r>
        <w:rPr>
          <w:rFonts w:ascii="Times New Roman;sans-serif" w:hAnsi="Times New Roman;sans-serif"/>
          <w:b w:val="false"/>
          <w:color w:val="262626"/>
          <w:sz w:val="22"/>
        </w:rPr>
        <w:t>'</w:t>
      </w:r>
      <w:r>
        <w:rPr>
          <w:rFonts w:ascii="Times New Roman;sans-serif" w:hAnsi="Times New Roman;sans-serif"/>
          <w:b w:val="false"/>
          <w:color w:val="111111"/>
          <w:sz w:val="22"/>
        </w:rPr>
        <w:t>s right to receive payment of the Secured Obligations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any assignment or other transfer, in whole or in part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of any Secured Party's interests in and to any of the Collateral</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(7) any Secured Party's vote, claim</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distribution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election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acceptance, action or inaction in any Insolvency Proceeding related to any of the Secured Obligations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(8) any other guaranty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whether by such Guarantor or any other Person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of all or any part of the Secured Obligation</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or any other indebtedness, obligation</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or liabilitie</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of any Guarantor to any Secured Party.</w:t>
      </w:r>
    </w:p>
    <w:p>
      <w:pPr>
        <w:pStyle w:val="TextBody"/>
        <w:spacing w:lineRule="auto" w:line="268" w:before="0" w:after="180"/>
        <w:ind w:left="0" w:right="0" w:firstLine="1440"/>
        <w:jc w:val="both"/>
        <w:rPr/>
      </w:pPr>
      <w:r>
        <w:rPr>
          <w:rFonts w:ascii="Times New Roman;sans-serif" w:hAnsi="Times New Roman;sans-serif"/>
          <w:b w:val="false"/>
          <w:color w:val="111111"/>
          <w:sz w:val="22"/>
        </w:rPr>
        <w:t>When making any demand hereunder or otherwi</w:t>
      </w:r>
      <w:r>
        <w:rPr>
          <w:rFonts w:ascii="Times New Roman;sans-serif" w:hAnsi="Times New Roman;sans-serif"/>
          <w:b w:val="false"/>
          <w:color w:val="262626"/>
          <w:sz w:val="22"/>
        </w:rPr>
        <w:t>s</w:t>
      </w:r>
      <w:r>
        <w:rPr>
          <w:rFonts w:ascii="Times New Roman;sans-serif" w:hAnsi="Times New Roman;sans-serif"/>
          <w:b w:val="false"/>
          <w:color w:val="111111"/>
          <w:sz w:val="22"/>
        </w:rPr>
        <w:t>e pursuing its rights and remedies hereunder against any Guarantor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the Administrative Agent or any other Secured Party may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but shall be under no obligation to make a similar demand on or otherwi</w:t>
      </w:r>
      <w:r>
        <w:rPr>
          <w:rFonts w:ascii="Times New Roman;sans-serif" w:hAnsi="Times New Roman;sans-serif"/>
          <w:b w:val="false"/>
          <w:color w:val="262626"/>
          <w:sz w:val="22"/>
        </w:rPr>
        <w:t>s</w:t>
      </w:r>
      <w:r>
        <w:rPr>
          <w:rFonts w:ascii="Times New Roman;sans-serif" w:hAnsi="Times New Roman;sans-serif"/>
          <w:b w:val="false"/>
          <w:color w:val="111111"/>
          <w:sz w:val="22"/>
        </w:rPr>
        <w:t xml:space="preserve">e pursue </w:t>
      </w:r>
      <w:r>
        <w:rPr>
          <w:rFonts w:ascii="Times New Roman;sans-serif" w:hAnsi="Times New Roman;sans-serif"/>
          <w:b w:val="false"/>
          <w:color w:val="262626"/>
          <w:sz w:val="22"/>
        </w:rPr>
        <w:t>s</w:t>
      </w:r>
      <w:r>
        <w:rPr>
          <w:rFonts w:ascii="Times New Roman;sans-serif" w:hAnsi="Times New Roman;sans-serif"/>
          <w:b w:val="false"/>
          <w:color w:val="111111"/>
          <w:sz w:val="22"/>
        </w:rPr>
        <w:t>uch rights and remedies as it may have against the Borrower, any other Guarantor or any other Person or against any collateral security or guarantee for the Secured Obligations or any right of offset with respect thereto. Any failure by the Administrative Agent or any other Secured Party to make any such demand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to pursue such other rights or remedies or to collect any payments from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other Guarantor or any other Person or to realize upon any such collateral security or guarantee or to exercise any such right of off</w:t>
      </w:r>
      <w:r>
        <w:rPr>
          <w:rFonts w:ascii="Times New Roman;sans-serif" w:hAnsi="Times New Roman;sans-serif"/>
          <w:b w:val="false"/>
          <w:color w:val="262626"/>
          <w:sz w:val="22"/>
        </w:rPr>
        <w:t>s</w:t>
      </w:r>
      <w:r>
        <w:rPr>
          <w:rFonts w:ascii="Times New Roman;sans-serif" w:hAnsi="Times New Roman;sans-serif"/>
          <w:b w:val="false"/>
          <w:color w:val="111111"/>
          <w:sz w:val="22"/>
        </w:rPr>
        <w:t>et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any release of the Borrower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any other Guarantor or any other Person or any such collateral </w:t>
      </w:r>
      <w:r>
        <w:rPr>
          <w:rFonts w:ascii="Times New Roman;sans-serif" w:hAnsi="Times New Roman;sans-serif"/>
          <w:b w:val="false"/>
          <w:color w:val="262626"/>
          <w:sz w:val="22"/>
        </w:rPr>
        <w:t>s</w:t>
      </w:r>
      <w:r>
        <w:rPr>
          <w:rFonts w:ascii="Times New Roman;sans-serif" w:hAnsi="Times New Roman;sans-serif"/>
          <w:b w:val="false"/>
          <w:color w:val="111111"/>
          <w:sz w:val="22"/>
        </w:rPr>
        <w:t>ecurity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guarantee or </w:t>
      </w:r>
      <w:r>
        <w:br w:type="page"/>
      </w:r>
    </w:p>
    <w:p>
      <w:pPr>
        <w:pStyle w:val="TextBody"/>
        <w:spacing w:before="0" w:after="0"/>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60655"/>
                <wp:effectExtent l="0" t="0" r="0" b="0"/>
                <wp:wrapNone/>
                <wp:docPr id="443" name="Frame4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68" w:before="0" w:after="180"/>
        <w:jc w:val="both"/>
        <w:rPr/>
      </w:pPr>
      <w:r>
        <w:rPr>
          <w:rFonts w:ascii="Times New Roman;sans-serif" w:hAnsi="Times New Roman;sans-serif"/>
          <w:b w:val="false"/>
          <w:color w:val="111111"/>
          <w:sz w:val="22"/>
        </w:rPr>
        <w:t>right of offset, shall not relieve any Guarantor of any obligation or liability hereunder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shall not impair or affect the rights and remedies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whether express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implied or available as a matter of law</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of the Administrative Agent or any other Secured Party against any Guarantor. For the purposes hereof “demand” shall include the commencement and continuance of any legal proceedings.</w:t>
      </w:r>
    </w:p>
    <w:p>
      <w:pPr>
        <w:pStyle w:val="TextBody"/>
        <w:spacing w:lineRule="auto" w:line="268" w:before="0" w:after="180"/>
        <w:ind w:left="0" w:right="0" w:firstLine="1440"/>
        <w:jc w:val="both"/>
        <w:rPr/>
      </w:pPr>
      <w:r>
        <w:rPr>
          <w:rFonts w:ascii="Times New Roman;sans-serif" w:hAnsi="Times New Roman;sans-serif"/>
          <w:b w:val="false"/>
          <w:color w:val="111111"/>
          <w:sz w:val="22"/>
        </w:rPr>
        <w:t>Each Guarantor acknowledges that all or any portion of the Secured Obligations may now or hereafter be secured by a Lien or Liens upon real property owned or lea</w:t>
      </w:r>
      <w:r>
        <w:rPr>
          <w:rFonts w:ascii="Times New Roman;sans-serif" w:hAnsi="Times New Roman;sans-serif"/>
          <w:b w:val="false"/>
          <w:color w:val="262626"/>
          <w:sz w:val="22"/>
        </w:rPr>
        <w:t>s</w:t>
      </w:r>
      <w:r>
        <w:rPr>
          <w:rFonts w:ascii="Times New Roman;sans-serif" w:hAnsi="Times New Roman;sans-serif"/>
          <w:b w:val="false"/>
          <w:color w:val="111111"/>
          <w:sz w:val="22"/>
        </w:rPr>
        <w:t>ed by any Borrower or any other Guarantor and e</w:t>
      </w:r>
      <w:r>
        <w:rPr>
          <w:rFonts w:ascii="Times New Roman;sans-serif" w:hAnsi="Times New Roman;sans-serif"/>
          <w:b w:val="false"/>
          <w:color w:val="262626"/>
          <w:sz w:val="22"/>
        </w:rPr>
        <w:t>v</w:t>
      </w:r>
      <w:r>
        <w:rPr>
          <w:rFonts w:ascii="Times New Roman;sans-serif" w:hAnsi="Times New Roman;sans-serif"/>
          <w:b w:val="false"/>
          <w:color w:val="111111"/>
          <w:sz w:val="22"/>
        </w:rPr>
        <w:t>iden</w:t>
      </w:r>
      <w:r>
        <w:rPr>
          <w:rFonts w:ascii="Times New Roman;sans-serif" w:hAnsi="Times New Roman;sans-serif"/>
          <w:b w:val="false"/>
          <w:color w:val="262626"/>
          <w:sz w:val="22"/>
        </w:rPr>
        <w:t>c</w:t>
      </w:r>
      <w:r>
        <w:rPr>
          <w:rFonts w:ascii="Times New Roman;sans-serif" w:hAnsi="Times New Roman;sans-serif"/>
          <w:b w:val="false"/>
          <w:color w:val="111111"/>
          <w:sz w:val="22"/>
        </w:rPr>
        <w:t>ed by certain documents including, without limitation, deed</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of trust and assignments of rents. Administrative Agent may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after the occurrence and during the continuance of an Event of Default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pursuant to the terms and subject to the conditions of said real property security documents and applicable law, foreclose under all or any portion of one or more of said Liens by means of judicial or nonjudicial sale or sales. Each Guarantor agrees that Admini</w:t>
      </w:r>
      <w:r>
        <w:rPr>
          <w:rFonts w:ascii="Times New Roman;sans-serif" w:hAnsi="Times New Roman;sans-serif"/>
          <w:b w:val="false"/>
          <w:color w:val="262626"/>
          <w:sz w:val="22"/>
        </w:rPr>
        <w:t>s</w:t>
      </w:r>
      <w:r>
        <w:rPr>
          <w:rFonts w:ascii="Times New Roman;sans-serif" w:hAnsi="Times New Roman;sans-serif"/>
          <w:b w:val="false"/>
          <w:color w:val="111111"/>
          <w:sz w:val="22"/>
        </w:rPr>
        <w:t xml:space="preserve">trative Agent may exercise whatever rights and remedies it may have pursuant to the Loan Documents or by Law with respect to said real property </w:t>
      </w:r>
      <w:r>
        <w:rPr>
          <w:rFonts w:ascii="Times New Roman;sans-serif" w:hAnsi="Times New Roman;sans-serif"/>
          <w:b w:val="false"/>
          <w:color w:val="262626"/>
          <w:sz w:val="22"/>
        </w:rPr>
        <w:t>s</w:t>
      </w:r>
      <w:r>
        <w:rPr>
          <w:rFonts w:ascii="Times New Roman;sans-serif" w:hAnsi="Times New Roman;sans-serif"/>
          <w:b w:val="false"/>
          <w:color w:val="111111"/>
          <w:sz w:val="22"/>
        </w:rPr>
        <w:t>ecurity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all without affecting the liability of any Guarantor hereunder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except to the extent the Administrati</w:t>
      </w:r>
      <w:r>
        <w:rPr>
          <w:rFonts w:ascii="Times New Roman;sans-serif" w:hAnsi="Times New Roman;sans-serif"/>
          <w:b w:val="false"/>
          <w:color w:val="262626"/>
          <w:sz w:val="22"/>
        </w:rPr>
        <w:t>v</w:t>
      </w:r>
      <w:r>
        <w:rPr>
          <w:rFonts w:ascii="Times New Roman;sans-serif" w:hAnsi="Times New Roman;sans-serif"/>
          <w:b w:val="false"/>
          <w:color w:val="111111"/>
          <w:sz w:val="22"/>
        </w:rPr>
        <w:t xml:space="preserve">e Agent realizes payment by </w:t>
      </w:r>
      <w:r>
        <w:rPr>
          <w:rFonts w:ascii="Times New Roman;sans-serif" w:hAnsi="Times New Roman;sans-serif"/>
          <w:b w:val="false"/>
          <w:color w:val="262626"/>
          <w:sz w:val="22"/>
        </w:rPr>
        <w:t>s</w:t>
      </w:r>
      <w:r>
        <w:rPr>
          <w:rFonts w:ascii="Times New Roman;sans-serif" w:hAnsi="Times New Roman;sans-serif"/>
          <w:b w:val="false"/>
          <w:color w:val="111111"/>
          <w:sz w:val="22"/>
        </w:rPr>
        <w:t>uch action or proceeding. No election to proceed in one form of action or against any party, or on any obligation shall constitute a wai</w:t>
      </w:r>
      <w:r>
        <w:rPr>
          <w:rFonts w:ascii="Times New Roman;sans-serif" w:hAnsi="Times New Roman;sans-serif"/>
          <w:b w:val="false"/>
          <w:color w:val="262626"/>
          <w:sz w:val="22"/>
        </w:rPr>
        <w:t>v</w:t>
      </w:r>
      <w:r>
        <w:rPr>
          <w:rFonts w:ascii="Times New Roman;sans-serif" w:hAnsi="Times New Roman;sans-serif"/>
          <w:b w:val="false"/>
          <w:color w:val="111111"/>
          <w:sz w:val="22"/>
        </w:rPr>
        <w:t>er of any Secured Party's right to proceed in any other form of action or against any Guarantor or any other Person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diminish the liability of any Guarantor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affect the right of such Secured Party to proceed against any Guarantor for any deficiency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except to the extent such Secured Party realizes payment by such action, notwithstanding the effect of such action upon any Guarantor</w:t>
      </w:r>
      <w:r>
        <w:rPr>
          <w:rFonts w:ascii="Times New Roman;sans-serif" w:hAnsi="Times New Roman;sans-serif"/>
          <w:b w:val="false"/>
          <w:color w:val="262626"/>
          <w:sz w:val="22"/>
        </w:rPr>
        <w:t>'</w:t>
      </w:r>
      <w:r>
        <w:rPr>
          <w:rFonts w:ascii="Times New Roman;sans-serif" w:hAnsi="Times New Roman;sans-serif"/>
          <w:b w:val="false"/>
          <w:color w:val="111111"/>
          <w:sz w:val="22"/>
        </w:rPr>
        <w:t xml:space="preserve">s rights of </w:t>
      </w:r>
      <w:r>
        <w:rPr>
          <w:rFonts w:ascii="Times New Roman;sans-serif" w:hAnsi="Times New Roman;sans-serif"/>
          <w:b w:val="false"/>
          <w:color w:val="262626"/>
          <w:sz w:val="22"/>
        </w:rPr>
        <w:t>s</w:t>
      </w:r>
      <w:r>
        <w:rPr>
          <w:rFonts w:ascii="Times New Roman;sans-serif" w:hAnsi="Times New Roman;sans-serif"/>
          <w:b w:val="false"/>
          <w:color w:val="111111"/>
          <w:sz w:val="22"/>
        </w:rPr>
        <w:t>ubrogation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reimbursement or indemnity, if any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against any Borrower, any other Guarantor or any other Person. Without limiting the generality of the foregoing, each Guarantor expressly wai</w:t>
      </w:r>
      <w:r>
        <w:rPr>
          <w:rFonts w:ascii="Times New Roman;sans-serif" w:hAnsi="Times New Roman;sans-serif"/>
          <w:b w:val="false"/>
          <w:color w:val="262626"/>
          <w:sz w:val="22"/>
        </w:rPr>
        <w:t>v</w:t>
      </w:r>
      <w:r>
        <w:rPr>
          <w:rFonts w:ascii="Times New Roman;sans-serif" w:hAnsi="Times New Roman;sans-serif"/>
          <w:b w:val="false"/>
          <w:color w:val="111111"/>
          <w:sz w:val="22"/>
        </w:rPr>
        <w:t>es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to the extent permitted by law, all rights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benefits and defen</w:t>
      </w:r>
      <w:r>
        <w:rPr>
          <w:rFonts w:ascii="Times New Roman;sans-serif" w:hAnsi="Times New Roman;sans-serif"/>
          <w:b w:val="false"/>
          <w:color w:val="262626"/>
          <w:sz w:val="22"/>
        </w:rPr>
        <w:t>s</w:t>
      </w:r>
      <w:r>
        <w:rPr>
          <w:rFonts w:ascii="Times New Roman;sans-serif" w:hAnsi="Times New Roman;sans-serif"/>
          <w:b w:val="false"/>
          <w:color w:val="111111"/>
          <w:sz w:val="22"/>
        </w:rPr>
        <w:t>es (other than payment in full)</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if any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applicable or available to such Guarantor with respect to the Secured Obligations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the Loan Documents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any Lien created or purported to be created thereby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this Guaranty.</w:t>
      </w:r>
    </w:p>
    <w:p>
      <w:pPr>
        <w:pStyle w:val="TextBody"/>
        <w:spacing w:lineRule="auto" w:line="268" w:before="0" w:after="180"/>
        <w:ind w:left="0" w:right="0" w:firstLine="1440"/>
        <w:jc w:val="both"/>
        <w:rPr/>
      </w:pPr>
      <w:r>
        <w:rPr>
          <w:rFonts w:ascii="Times New Roman;sans-serif" w:hAnsi="Times New Roman;sans-serif"/>
          <w:b w:val="false"/>
          <w:color w:val="111111"/>
          <w:sz w:val="22"/>
        </w:rPr>
        <w:t>Each Guarantor further unconditionally consents and agrees that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without notice to or further a</w:t>
      </w:r>
      <w:r>
        <w:rPr>
          <w:rFonts w:ascii="Times New Roman;sans-serif" w:hAnsi="Times New Roman;sans-serif"/>
          <w:b w:val="false"/>
          <w:color w:val="262626"/>
          <w:sz w:val="22"/>
        </w:rPr>
        <w:t>s</w:t>
      </w:r>
      <w:r>
        <w:rPr>
          <w:rFonts w:ascii="Times New Roman;sans-serif" w:hAnsi="Times New Roman;sans-serif"/>
          <w:b w:val="false"/>
          <w:color w:val="111111"/>
          <w:sz w:val="22"/>
        </w:rPr>
        <w:t>sent from any Guarantor: (A) the principal amount of the Secured Obligations may be increased or decreased and additional indebtedness or obligations of the Borrower or any other Persons under the Loan Documents may be incurred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by one or more amendments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modifications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renewals or extensions of any Loan Document or otherwise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(B) the time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manner, place or terms of any payment under any Loan Document may be extended or changed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including by an increase or decrease in the interest rate on any Secured Obligation or any fee or other amount payable under such Loan Document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by an amendment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modification or renewal of any Loan Document or otherwise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(C) the time for the Borrower</w:t>
      </w:r>
      <w:r>
        <w:rPr>
          <w:rFonts w:ascii="Times New Roman;sans-serif" w:hAnsi="Times New Roman;sans-serif"/>
          <w:b w:val="false"/>
          <w:color w:val="262626"/>
          <w:sz w:val="22"/>
        </w:rPr>
        <w:t>'</w:t>
      </w:r>
      <w:r>
        <w:rPr>
          <w:rFonts w:ascii="Times New Roman;sans-serif" w:hAnsi="Times New Roman;sans-serif"/>
          <w:b w:val="false"/>
          <w:color w:val="111111"/>
          <w:sz w:val="22"/>
        </w:rPr>
        <w:t>s (or any other Loan Party</w:t>
      </w:r>
      <w:r>
        <w:rPr>
          <w:rFonts w:ascii="Times New Roman;sans-serif" w:hAnsi="Times New Roman;sans-serif"/>
          <w:b w:val="false"/>
          <w:color w:val="262626"/>
          <w:sz w:val="22"/>
        </w:rPr>
        <w:t>'</w:t>
      </w:r>
      <w:r>
        <w:rPr>
          <w:rFonts w:ascii="Times New Roman;sans-serif" w:hAnsi="Times New Roman;sans-serif"/>
          <w:b w:val="false"/>
          <w:color w:val="111111"/>
          <w:sz w:val="22"/>
        </w:rPr>
        <w:t>s) performance of or complian</w:t>
      </w:r>
      <w:r>
        <w:rPr>
          <w:rFonts w:ascii="Times New Roman;sans-serif" w:hAnsi="Times New Roman;sans-serif"/>
          <w:b w:val="false"/>
          <w:color w:val="262626"/>
          <w:sz w:val="22"/>
        </w:rPr>
        <w:t>c</w:t>
      </w:r>
      <w:r>
        <w:rPr>
          <w:rFonts w:ascii="Times New Roman;sans-serif" w:hAnsi="Times New Roman;sans-serif"/>
          <w:b w:val="false"/>
          <w:color w:val="111111"/>
          <w:sz w:val="22"/>
        </w:rPr>
        <w:t>e with any term</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covenant or agreement on its part to be performed or observed under any Loan Document may be extended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or </w:t>
      </w:r>
      <w:r>
        <w:rPr>
          <w:rFonts w:ascii="Times New Roman;sans-serif" w:hAnsi="Times New Roman;sans-serif"/>
          <w:b w:val="false"/>
          <w:color w:val="262626"/>
          <w:sz w:val="22"/>
        </w:rPr>
        <w:t>s</w:t>
      </w:r>
      <w:r>
        <w:rPr>
          <w:rFonts w:ascii="Times New Roman;sans-serif" w:hAnsi="Times New Roman;sans-serif"/>
          <w:b w:val="false"/>
          <w:color w:val="111111"/>
          <w:sz w:val="22"/>
        </w:rPr>
        <w:t>uch performance or compliance waived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or failure in or departure from such performance or compliance consented to</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all in such manner and upon such terms a</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the Administrative Agent may deem proper</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(D) in addition to the Collateral</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the Secured Parties may take and hold other security (legal or equitable) of any kind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at any time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as collateral for the Secured Obligation</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and may, from time to time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 whole or in part</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exchange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sell, surrender, release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subordinate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modify, waive, rescind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compromise or extend such security and may permit or consent to any </w:t>
      </w:r>
      <w:r>
        <w:rPr>
          <w:rFonts w:ascii="Times New Roman;sans-serif" w:hAnsi="Times New Roman;sans-serif"/>
          <w:b w:val="false"/>
          <w:color w:val="262626"/>
          <w:sz w:val="22"/>
        </w:rPr>
        <w:t>s</w:t>
      </w:r>
      <w:r>
        <w:rPr>
          <w:rFonts w:ascii="Times New Roman;sans-serif" w:hAnsi="Times New Roman;sans-serif"/>
          <w:b w:val="false"/>
          <w:color w:val="111111"/>
          <w:sz w:val="22"/>
        </w:rPr>
        <w:t xml:space="preserve">uch action or the result of any </w:t>
      </w:r>
      <w:r>
        <w:rPr>
          <w:rFonts w:ascii="Times New Roman;sans-serif" w:hAnsi="Times New Roman;sans-serif"/>
          <w:b w:val="false"/>
          <w:color w:val="262626"/>
          <w:sz w:val="22"/>
        </w:rPr>
        <w:t>s</w:t>
      </w:r>
      <w:r>
        <w:rPr>
          <w:rFonts w:ascii="Times New Roman;sans-serif" w:hAnsi="Times New Roman;sans-serif"/>
          <w:b w:val="false"/>
          <w:color w:val="111111"/>
          <w:sz w:val="22"/>
        </w:rPr>
        <w:t>uch action</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may apply such security and direct the order or manner of sale thereof without affecting the enforceability or any wai</w:t>
      </w:r>
      <w:r>
        <w:rPr>
          <w:rFonts w:ascii="Times New Roman;sans-serif" w:hAnsi="Times New Roman;sans-serif"/>
          <w:b w:val="false"/>
          <w:color w:val="262626"/>
          <w:sz w:val="22"/>
        </w:rPr>
        <w:t>v</w:t>
      </w:r>
      <w:r>
        <w:rPr>
          <w:rFonts w:ascii="Times New Roman;sans-serif" w:hAnsi="Times New Roman;sans-serif"/>
          <w:b w:val="false"/>
          <w:color w:val="111111"/>
          <w:sz w:val="22"/>
        </w:rPr>
        <w:t>er relating to any Guarantee; (E) any Secured Party may discharge or relea</w:t>
      </w:r>
      <w:r>
        <w:rPr>
          <w:rFonts w:ascii="Times New Roman;sans-serif" w:hAnsi="Times New Roman;sans-serif"/>
          <w:b w:val="false"/>
          <w:color w:val="262626"/>
          <w:sz w:val="22"/>
        </w:rPr>
        <w:t>s</w:t>
      </w:r>
      <w:r>
        <w:rPr>
          <w:rFonts w:ascii="Times New Roman;sans-serif" w:hAnsi="Times New Roman;sans-serif"/>
          <w:b w:val="false"/>
          <w:color w:val="111111"/>
          <w:sz w:val="22"/>
        </w:rPr>
        <w:t>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in whole or in part, any other Guarantor or any other Loan Party or other Person liable for the payment and performance of all or any part of the Secured Obligations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may permit or consent to any such action or any result of such action, and shall not be obligated to demand or enforce payment upon any of the Collateral, nor shall any Secured Party be liable to any Guarantor for any failure to collect or enforce payment or performance of the Secured Obligations from any Person or to realize upon the Collateral, and (F) the Secured Parties may request and accept other guaranties of the Secured Obligations and any other indebtednes</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obligations or liabilities of the Borrower or any other Loan Party to any Secured Party and may</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 xml:space="preserve">from time to time, in </w:t>
      </w:r>
      <w:r>
        <w:br w:type="page"/>
      </w:r>
    </w:p>
    <w:p>
      <w:pPr>
        <w:pStyle w:val="TextBody"/>
        <w:spacing w:before="0" w:after="0"/>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60655"/>
                <wp:effectExtent l="0" t="0" r="0" b="0"/>
                <wp:wrapNone/>
                <wp:docPr id="444" name="Frame4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68" w:before="0" w:after="180"/>
        <w:jc w:val="both"/>
        <w:rPr/>
      </w:pPr>
      <w:r>
        <w:rPr>
          <w:rFonts w:ascii="Times New Roman;sans-serif" w:hAnsi="Times New Roman;sans-serif"/>
          <w:b w:val="false"/>
          <w:color w:val="111111"/>
          <w:sz w:val="22"/>
        </w:rPr>
        <w:t>whole or in part, surrender, re</w:t>
      </w:r>
      <w:r>
        <w:rPr>
          <w:rFonts w:ascii="Times New Roman;sans-serif" w:hAnsi="Times New Roman;sans-serif"/>
          <w:b w:val="false"/>
          <w:color w:val="000000"/>
          <w:sz w:val="22"/>
        </w:rPr>
        <w:t>l</w:t>
      </w:r>
      <w:r>
        <w:rPr>
          <w:rFonts w:ascii="Times New Roman;sans-serif" w:hAnsi="Times New Roman;sans-serif"/>
          <w:b w:val="false"/>
          <w:color w:val="111111"/>
          <w:sz w:val="22"/>
        </w:rPr>
        <w:t>ease, subordinate, modify, waive, rescind, compromise or extend any such guaranty and may permit or consent to any such action or the result of any such action; in each case of clauses (A) through (F), as the Secured Parties may deem advisable, and without impairing, abridging, releasing or affecting this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2.6</w:t>
      </w:r>
      <w:r>
        <w:rPr>
          <w:rFonts w:ascii="Times New Roman;sans-serif" w:hAnsi="Times New Roman;sans-serif"/>
          <w:b w:val="false"/>
          <w:color w:val="111111"/>
          <w:sz w:val="22"/>
          <w:u w:val="single"/>
        </w:rPr>
        <w:t>Reinstatement</w:t>
      </w:r>
      <w:r>
        <w:rPr>
          <w:rFonts w:ascii="Times New Roman;sans-serif" w:hAnsi="Times New Roman;sans-serif"/>
          <w:b w:val="false"/>
          <w:color w:val="111111"/>
          <w:sz w:val="22"/>
        </w:rPr>
        <w:t xml:space="preserve">. The guarantee contained in this </w:t>
      </w:r>
      <w:r>
        <w:rPr>
          <w:rFonts w:ascii="Times New Roman;sans-serif" w:hAnsi="Times New Roman;sans-serif"/>
          <w:b w:val="false"/>
          <w:color w:val="111111"/>
          <w:sz w:val="22"/>
          <w:u w:val="single"/>
        </w:rPr>
        <w:t>Section 2</w:t>
      </w:r>
      <w:r>
        <w:rPr>
          <w:color w:val="111111"/>
        </w:rPr>
        <w:t xml:space="preserve"> </w:t>
      </w:r>
      <w:r>
        <w:rPr>
          <w:rFonts w:ascii="Times New Roman;sans-serif" w:hAnsi="Times New Roman;sans-serif"/>
          <w:b w:val="false"/>
          <w:color w:val="111111"/>
          <w:sz w:val="22"/>
        </w:rPr>
        <w:t>shall continue to be effective, or be reinstated, as the case may be, if at any time payment, or any part thereof, of any of the Secured Obligations is rescinded or must otherwise be restored or returned by the Administrative Agent or any other Secured Party upon the insolvency, bankruptcy, dissolution, liquidation or reorganization of the Borrower or any Guarantor, or upon or as a result of the appointment of a receiver, intervenor or conservator of, or trustee or similar officer for, the Borrower or any such Guarantor or any substantial part of its respective property</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or otherwise, all as though such payments had not been made.</w:t>
      </w:r>
    </w:p>
    <w:p>
      <w:pPr>
        <w:pStyle w:val="TextBody"/>
        <w:spacing w:lineRule="auto" w:line="288" w:before="0" w:after="180"/>
        <w:ind w:left="0" w:right="0" w:firstLine="720"/>
        <w:jc w:val="both"/>
        <w:rPr/>
      </w:pPr>
      <w:r>
        <w:rPr>
          <w:rFonts w:ascii="Times New Roman;sans-serif" w:hAnsi="Times New Roman;sans-serif"/>
          <w:b w:val="false"/>
          <w:color w:val="000000"/>
          <w:sz w:val="22"/>
        </w:rPr>
        <w:t>2.7</w:t>
      </w:r>
      <w:r>
        <w:rPr>
          <w:rFonts w:ascii="Times New Roman;sans-serif" w:hAnsi="Times New Roman;sans-serif"/>
          <w:b w:val="false"/>
          <w:color w:val="111111"/>
          <w:sz w:val="22"/>
          <w:u w:val="single"/>
        </w:rPr>
        <w:t>Payments</w:t>
      </w:r>
      <w:r>
        <w:rPr>
          <w:rFonts w:ascii="Times New Roman;sans-serif" w:hAnsi="Times New Roman;sans-serif"/>
          <w:b w:val="false"/>
          <w:color w:val="111111"/>
          <w:sz w:val="22"/>
        </w:rPr>
        <w:t>. Each Guarantor hereby guarantees that payments hereunder will be paid to the Administrative Agent without setoff or counterclaim in Dollars at the Funding Office</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2.8</w:t>
      </w:r>
      <w:r>
        <w:rPr>
          <w:rFonts w:ascii="Times New Roman;sans-serif" w:hAnsi="Times New Roman;sans-serif"/>
          <w:b w:val="false"/>
          <w:color w:val="111111"/>
          <w:sz w:val="22"/>
          <w:u w:val="single"/>
        </w:rPr>
        <w:t>Keepwell</w:t>
      </w:r>
      <w:r>
        <w:rPr>
          <w:rFonts w:ascii="Times New Roman;sans-serif" w:hAnsi="Times New Roman;sans-serif"/>
          <w:b w:val="false"/>
          <w:color w:val="111111"/>
          <w:sz w:val="22"/>
        </w:rPr>
        <w:t xml:space="preserve">. Each Qualified ECP Guarantor hereby jointly and severally absolutely, unconditionally and irrevocably undertakes to provide such funds or other support as may be needed from time to time by each other Loan Party to honor all of its obligations under this Agreement in respect of Secured Obligations under Specified Swap Agreements (provided that, each Qualified ECP Guarantor shall only be liable under this </w:t>
      </w:r>
      <w:r>
        <w:rPr>
          <w:rFonts w:ascii="Times New Roman;sans-serif" w:hAnsi="Times New Roman;sans-serif"/>
          <w:b w:val="false"/>
          <w:color w:val="111111"/>
          <w:sz w:val="22"/>
          <w:u w:val="single"/>
        </w:rPr>
        <w:t>Section 2.8</w:t>
      </w:r>
      <w:r>
        <w:rPr>
          <w:color w:val="111111"/>
        </w:rPr>
        <w:t xml:space="preserve"> </w:t>
      </w:r>
      <w:r>
        <w:rPr>
          <w:rFonts w:ascii="Times New Roman;sans-serif" w:hAnsi="Times New Roman;sans-serif"/>
          <w:b w:val="false"/>
          <w:color w:val="111111"/>
          <w:sz w:val="22"/>
        </w:rPr>
        <w:t xml:space="preserve">for the maximum amount of such liability that can be hereby incurred without rendering its obligations under this </w:t>
      </w:r>
      <w:r>
        <w:rPr>
          <w:rFonts w:ascii="Times New Roman;sans-serif" w:hAnsi="Times New Roman;sans-serif"/>
          <w:b w:val="false"/>
          <w:color w:val="111111"/>
          <w:sz w:val="22"/>
          <w:u w:val="single"/>
        </w:rPr>
        <w:t>Section 2</w:t>
      </w:r>
      <w:r>
        <w:rPr>
          <w:rFonts w:ascii="Times New Roman;sans-serif" w:hAnsi="Times New Roman;sans-serif"/>
          <w:b w:val="false"/>
          <w:color w:val="000000"/>
          <w:sz w:val="22"/>
          <w:u w:val="single"/>
        </w:rPr>
        <w:t>.</w:t>
      </w:r>
      <w:r>
        <w:rPr>
          <w:rFonts w:ascii="Times New Roman;sans-serif" w:hAnsi="Times New Roman;sans-serif"/>
          <w:b w:val="false"/>
          <w:color w:val="111111"/>
          <w:sz w:val="22"/>
          <w:u w:val="single"/>
        </w:rPr>
        <w:t>8</w:t>
      </w:r>
      <w:r>
        <w:rPr>
          <w:color w:val="111111"/>
        </w:rPr>
        <w:t xml:space="preserve"> </w:t>
      </w:r>
      <w:r>
        <w:rPr>
          <w:rFonts w:ascii="Times New Roman;sans-serif" w:hAnsi="Times New Roman;sans-serif"/>
          <w:b w:val="false"/>
          <w:color w:val="111111"/>
          <w:sz w:val="22"/>
        </w:rPr>
        <w:t>or otherwise under this Agreement, voidable under applicable law relating to fraudulent conveyance or fraudulent transfer, and not for any greater amount)</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 xml:space="preserve">The obligations of each Qualified ECP Guarantor under this Section 2.8 shall remain in full force and effect until the Discharge of Obligations. Each Qualified ECP Guarantor intends that this </w:t>
      </w:r>
      <w:r>
        <w:rPr>
          <w:rFonts w:ascii="Times New Roman;sans-serif" w:hAnsi="Times New Roman;sans-serif"/>
          <w:b w:val="false"/>
          <w:color w:val="111111"/>
          <w:sz w:val="22"/>
          <w:u w:val="single"/>
        </w:rPr>
        <w:t>Section 2.8</w:t>
      </w:r>
      <w:r>
        <w:rPr>
          <w:color w:val="111111"/>
        </w:rPr>
        <w:t xml:space="preserve"> </w:t>
      </w:r>
      <w:r>
        <w:rPr>
          <w:rFonts w:ascii="Times New Roman;sans-serif" w:hAnsi="Times New Roman;sans-serif"/>
          <w:b w:val="false"/>
          <w:color w:val="111111"/>
          <w:sz w:val="22"/>
        </w:rPr>
        <w:t xml:space="preserve">constitute, and this </w:t>
      </w:r>
      <w:r>
        <w:rPr>
          <w:rFonts w:ascii="Times New Roman;sans-serif" w:hAnsi="Times New Roman;sans-serif"/>
          <w:b w:val="false"/>
          <w:color w:val="111111"/>
          <w:sz w:val="22"/>
          <w:u w:val="single"/>
        </w:rPr>
        <w:t>Section 2</w:t>
      </w:r>
      <w:r>
        <w:rPr>
          <w:rFonts w:ascii="Times New Roman;sans-serif" w:hAnsi="Times New Roman;sans-serif"/>
          <w:b w:val="false"/>
          <w:color w:val="000000"/>
          <w:sz w:val="22"/>
          <w:u w:val="single"/>
        </w:rPr>
        <w:t>.</w:t>
      </w:r>
      <w:r>
        <w:rPr>
          <w:rFonts w:ascii="Times New Roman;sans-serif" w:hAnsi="Times New Roman;sans-serif"/>
          <w:b w:val="false"/>
          <w:color w:val="111111"/>
          <w:sz w:val="22"/>
          <w:u w:val="single"/>
        </w:rPr>
        <w:t>8</w:t>
      </w:r>
      <w:r>
        <w:rPr>
          <w:color w:val="111111"/>
        </w:rPr>
        <w:t xml:space="preserve"> </w:t>
      </w:r>
      <w:r>
        <w:rPr>
          <w:rFonts w:ascii="Times New Roman;sans-serif" w:hAnsi="Times New Roman;sans-serif"/>
          <w:b w:val="false"/>
          <w:color w:val="111111"/>
          <w:sz w:val="22"/>
        </w:rPr>
        <w:t>shall be deemed to constitute, a “keepwell, support, or other agreement” for the benefit of each other Loan Party for all purposes of Section 1a(18)(A)(v)(II) of the Commodity Exchange Act.</w:t>
      </w:r>
    </w:p>
    <w:p>
      <w:pPr>
        <w:pStyle w:val="TextBody"/>
        <w:spacing w:lineRule="auto" w:line="288" w:before="0" w:after="180"/>
        <w:ind w:left="0" w:right="0" w:firstLine="720"/>
        <w:jc w:val="both"/>
        <w:rPr/>
      </w:pPr>
      <w:r>
        <w:rPr>
          <w:rFonts w:ascii="Times New Roman;sans-serif" w:hAnsi="Times New Roman;sans-serif"/>
          <w:b w:val="false"/>
          <w:color w:val="000000"/>
          <w:sz w:val="22"/>
        </w:rPr>
        <w:t>2.9</w:t>
      </w:r>
      <w:r>
        <w:rPr>
          <w:rFonts w:ascii="Times New Roman;sans-serif" w:hAnsi="Times New Roman;sans-serif"/>
          <w:b w:val="false"/>
          <w:color w:val="111111"/>
          <w:sz w:val="22"/>
          <w:u w:val="single"/>
        </w:rPr>
        <w:t>Guarantee Limitation</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This guarantee does not apply to any liability to the extent that it would result in this guarantee constituting unlawful financial assistance within the meaning of sections 678 or 679 of the UK Companies Act 2006, or any equivalent and applicable provisions under the laws of the jurisdiction of formation, incorporation or establishment of the relevant Guarantor and, with respect to any additional Guarantor</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is subject to any limitations set out in the Pledge Supplement (as defined below) applicable to such additional Guarantor.</w:t>
      </w:r>
    </w:p>
    <w:p>
      <w:pPr>
        <w:pStyle w:val="TextBody"/>
        <w:spacing w:lineRule="auto" w:line="288" w:before="0" w:after="180"/>
        <w:jc w:val="center"/>
        <w:rPr/>
      </w:pPr>
      <w:r>
        <w:rPr>
          <w:rFonts w:ascii="Times New Roman;sans-serif" w:hAnsi="Times New Roman;sans-serif"/>
          <w:b w:val="false"/>
          <w:color w:val="000000"/>
          <w:sz w:val="22"/>
        </w:rPr>
        <w:t>SECTION 3.</w:t>
      </w:r>
      <w:r>
        <w:rPr>
          <w:rFonts w:ascii="Times New Roman;sans-serif" w:hAnsi="Times New Roman;sans-serif"/>
          <w:b w:val="false"/>
          <w:color w:val="111111"/>
          <w:sz w:val="22"/>
        </w:rPr>
        <w:t>GRANT OF SECURITY INTEREST</w:t>
      </w:r>
    </w:p>
    <w:p>
      <w:pPr>
        <w:pStyle w:val="TextBody"/>
        <w:spacing w:lineRule="auto" w:line="288" w:before="0" w:after="180"/>
        <w:ind w:left="0" w:right="0" w:firstLine="720"/>
        <w:jc w:val="both"/>
        <w:rPr/>
      </w:pPr>
      <w:r>
        <w:rPr>
          <w:rFonts w:ascii="Times New Roman;sans-serif" w:hAnsi="Times New Roman;sans-serif"/>
          <w:b w:val="false"/>
          <w:color w:val="000000"/>
          <w:sz w:val="22"/>
        </w:rPr>
        <w:t>3.1</w:t>
      </w:r>
      <w:r>
        <w:rPr>
          <w:rFonts w:ascii="Times New Roman;sans-serif" w:hAnsi="Times New Roman;sans-serif"/>
          <w:b w:val="false"/>
          <w:color w:val="111111"/>
          <w:sz w:val="22"/>
          <w:u w:val="single"/>
        </w:rPr>
        <w:t>Grant of Security Interests</w:t>
      </w:r>
      <w:r>
        <w:rPr>
          <w:rFonts w:ascii="Times New Roman;sans-serif" w:hAnsi="Times New Roman;sans-serif"/>
          <w:b w:val="false"/>
          <w:color w:val="000000"/>
          <w:sz w:val="22"/>
        </w:rPr>
        <w:t xml:space="preserve">. </w:t>
      </w:r>
      <w:r>
        <w:rPr>
          <w:rFonts w:ascii="Times New Roman;sans-serif" w:hAnsi="Times New Roman;sans-serif"/>
          <w:b w:val="false"/>
          <w:color w:val="111111"/>
          <w:sz w:val="22"/>
        </w:rPr>
        <w:t>Each Grantor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w:t>
      </w:r>
      <w:r>
        <w:rPr>
          <w:rFonts w:ascii="Times New Roman;sans-serif" w:hAnsi="Times New Roman;sans-serif"/>
          <w:b w:val="false"/>
          <w:color w:val="313131"/>
          <w:sz w:val="22"/>
        </w:rPr>
        <w:t xml:space="preserve">, </w:t>
      </w:r>
      <w:r>
        <w:rPr>
          <w:rFonts w:ascii="Times New Roman;sans-serif" w:hAnsi="Times New Roman;sans-serif"/>
          <w:b w:val="false"/>
          <w:color w:val="111111"/>
          <w:sz w:val="22"/>
        </w:rPr>
        <w:t>title or interest and wherever located ( collectively, the “</w:t>
      </w:r>
      <w:r>
        <w:rPr>
          <w:rFonts w:ascii="Times New Roman;sans-serif" w:hAnsi="Times New Roman;sans-serif"/>
          <w:b w:val="false"/>
          <w:color w:val="111111"/>
          <w:sz w:val="22"/>
          <w:u w:val="single"/>
        </w:rPr>
        <w:t>Collateral</w:t>
      </w:r>
      <w:r>
        <w:rPr>
          <w:color w:val="111111"/>
        </w:rPr>
        <w:t>”</w:t>
      </w:r>
      <w:r>
        <w:rPr>
          <w:rFonts w:ascii="Times New Roman;sans-serif" w:hAnsi="Times New Roman;sans-serif"/>
          <w:b w:val="false"/>
          <w:color w:val="111111"/>
          <w:sz w:val="22"/>
        </w:rPr>
        <w:t>), as collateral security for the prompt and complete payment and performance when due (whether at the stated maturity, by acceleration or otherwise) of the Secured Obligations (whether now existing or arising hereafter):</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111111"/>
          <w:sz w:val="22"/>
        </w:rPr>
        <w:t>all Accounts;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111111"/>
          <w:sz w:val="22"/>
        </w:rPr>
        <w:t>all Chattel Paper;</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111111"/>
          <w:sz w:val="22"/>
        </w:rPr>
        <w:t xml:space="preserve">all Commercial Tort Claims (including as set forth on </w:t>
      </w:r>
      <w:r>
        <w:rPr>
          <w:rFonts w:ascii="Times New Roman;sans-serif" w:hAnsi="Times New Roman;sans-serif"/>
          <w:b w:val="false"/>
          <w:color w:val="111111"/>
          <w:sz w:val="22"/>
          <w:u w:val="single"/>
        </w:rPr>
        <w:t>Schedule 8</w:t>
      </w:r>
      <w:r>
        <w:rPr>
          <w:color w:val="111111"/>
        </w:rPr>
        <w:t xml:space="preserve"> </w:t>
      </w:r>
      <w:r>
        <w:rPr>
          <w:rFonts w:ascii="Times New Roman;sans-serif" w:hAnsi="Times New Roman;sans-serif"/>
          <w:b w:val="false"/>
          <w:color w:val="111111"/>
          <w:sz w:val="22"/>
        </w:rPr>
        <w:t>hereto);</w:t>
      </w:r>
      <w:r>
        <w:br w:type="page"/>
      </w:r>
    </w:p>
    <w:p>
      <w:pPr>
        <w:pStyle w:val="TextBody"/>
        <w:spacing w:before="0" w:after="0"/>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60655"/>
                <wp:effectExtent l="0" t="0" r="0" b="0"/>
                <wp:wrapNone/>
                <wp:docPr id="445" name="Frame4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111111"/>
          <w:sz w:val="22"/>
        </w:rPr>
        <w:t>all Deposit Accounts</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all Securities Accounts and all Commodity Accounts (but excluding any Excluded Accounts)</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111111"/>
          <w:sz w:val="22"/>
        </w:rPr>
        <w:t xml:space="preserve">all Documents; </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111111"/>
          <w:sz w:val="22"/>
        </w:rPr>
        <w:t>all Equipment</w:t>
      </w:r>
      <w:r>
        <w:rPr>
          <w:rFonts w:ascii="Times New Roman;sans-serif" w:hAnsi="Times New Roman;sans-serif"/>
          <w:b w:val="false"/>
          <w:color w:val="262626"/>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111111"/>
          <w:sz w:val="22"/>
        </w:rPr>
        <w:t>all Fixtures</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111111"/>
          <w:sz w:val="22"/>
        </w:rPr>
        <w:t>all General Intangibles;</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111111"/>
          <w:sz w:val="22"/>
        </w:rPr>
        <w:t>all Goods;</w:t>
      </w:r>
    </w:p>
    <w:p>
      <w:pPr>
        <w:pStyle w:val="TextBody"/>
        <w:spacing w:lineRule="auto" w:line="288" w:before="0" w:after="18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111111"/>
          <w:sz w:val="22"/>
        </w:rPr>
        <w:t>all Instruments</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111111"/>
          <w:sz w:val="22"/>
        </w:rPr>
        <w:t xml:space="preserve">all Intellectual Property and all Intellectual Property Licenses; </w:t>
      </w:r>
    </w:p>
    <w:p>
      <w:pPr>
        <w:pStyle w:val="TextBody"/>
        <w:spacing w:lineRule="auto" w:line="288" w:before="0" w:after="18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111111"/>
          <w:sz w:val="22"/>
        </w:rPr>
        <w:t>all Inventory</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111111"/>
          <w:sz w:val="22"/>
        </w:rPr>
        <w:t>all Investment Property (including all Pledged Collateral)</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111111"/>
          <w:sz w:val="22"/>
        </w:rPr>
        <w:t>all Letter-of-Credit Rights; Letters of Credit (as defined in the UCC), Promissory Notes (as defined in the UCC)</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Draft</w:t>
      </w:r>
      <w:r>
        <w:rPr>
          <w:rFonts w:ascii="Times New Roman;sans-serif" w:hAnsi="Times New Roman;sans-serif"/>
          <w:b w:val="false"/>
          <w:color w:val="262626"/>
          <w:sz w:val="22"/>
        </w:rPr>
        <w:t xml:space="preserve">s </w:t>
      </w:r>
      <w:r>
        <w:rPr>
          <w:rFonts w:ascii="Times New Roman;sans-serif" w:hAnsi="Times New Roman;sans-serif"/>
          <w:b w:val="false"/>
          <w:color w:val="111111"/>
          <w:sz w:val="22"/>
        </w:rPr>
        <w:t>(as defined in the UCC)</w:t>
      </w:r>
      <w:r>
        <w:rPr>
          <w:rFonts w:ascii="Times New Roman;sans-serif" w:hAnsi="Times New Roman;sans-serif"/>
          <w:b w:val="false"/>
          <w:color w:val="262626"/>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111111"/>
          <w:sz w:val="22"/>
        </w:rPr>
        <w:t>all Money;</w:t>
      </w:r>
    </w:p>
    <w:p>
      <w:pPr>
        <w:pStyle w:val="TextBody"/>
        <w:spacing w:lineRule="auto" w:line="288" w:before="0" w:after="18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111111"/>
          <w:sz w:val="22"/>
        </w:rPr>
        <w:t>all Receivables</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111111"/>
          <w:sz w:val="22"/>
        </w:rPr>
        <w:t>all Books and records pertaining to the Collateral</w:t>
      </w:r>
      <w:r>
        <w:rPr>
          <w:rFonts w:ascii="Times New Roman;sans-serif" w:hAnsi="Times New Roman;sans-serif"/>
          <w:b w:val="false"/>
          <w:color w:val="262626"/>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(r)</w:t>
      </w:r>
      <w:r>
        <w:rPr>
          <w:rFonts w:ascii="Times New Roman;sans-serif" w:hAnsi="Times New Roman;sans-serif"/>
          <w:b w:val="false"/>
          <w:color w:val="111111"/>
          <w:sz w:val="22"/>
        </w:rPr>
        <w:t>all other property not otherwise described above; and</w:t>
      </w:r>
    </w:p>
    <w:p>
      <w:pPr>
        <w:pStyle w:val="TextBody"/>
        <w:spacing w:lineRule="auto" w:line="288" w:before="0" w:after="180"/>
        <w:ind w:left="0" w:right="0" w:firstLine="1440"/>
        <w:jc w:val="both"/>
        <w:rPr/>
      </w:pPr>
      <w:r>
        <w:rPr>
          <w:rFonts w:ascii="Times New Roman;sans-serif" w:hAnsi="Times New Roman;sans-serif"/>
          <w:b w:val="false"/>
          <w:color w:val="000000"/>
          <w:sz w:val="22"/>
        </w:rPr>
        <w:t>(s)</w:t>
      </w:r>
      <w:r>
        <w:rPr>
          <w:rFonts w:ascii="Times New Roman;sans-serif" w:hAnsi="Times New Roman;sans-serif"/>
          <w:b w:val="false"/>
          <w:color w:val="111111"/>
          <w:sz w:val="22"/>
        </w:rPr>
        <w:t>to the extent not otherwise included</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all Proceeds, Supporting Obligations and products of any and all of the foregoing and all collateral security given by any Person with respect to any of the foregoing;</w:t>
      </w:r>
    </w:p>
    <w:p>
      <w:pPr>
        <w:pStyle w:val="TextBody"/>
        <w:spacing w:lineRule="auto" w:line="288" w:before="0" w:after="180"/>
        <w:jc w:val="both"/>
        <w:rPr/>
      </w:pPr>
      <w:r>
        <w:rPr>
          <w:rFonts w:ascii="Times New Roman;sans-serif" w:hAnsi="Times New Roman;sans-serif"/>
          <w:b w:val="false"/>
          <w:color w:val="111111"/>
          <w:sz w:val="22"/>
          <w:u w:val="single"/>
        </w:rPr>
        <w:t>provided</w:t>
      </w:r>
      <w:r>
        <w:rPr>
          <w:rFonts w:ascii="Times New Roman;sans-serif" w:hAnsi="Times New Roman;sans-serif"/>
          <w:b w:val="false"/>
          <w:color w:val="111111"/>
          <w:sz w:val="22"/>
        </w:rPr>
        <w:t xml:space="preserve">, </w:t>
      </w:r>
      <w:r>
        <w:rPr>
          <w:rFonts w:ascii="Times New Roman;sans-serif" w:hAnsi="Times New Roman;sans-serif"/>
          <w:b w:val="false"/>
          <w:color w:val="111111"/>
          <w:sz w:val="22"/>
          <w:u w:val="single"/>
        </w:rPr>
        <w:t>however</w:t>
      </w:r>
      <w:r>
        <w:rPr>
          <w:rFonts w:ascii="Times New Roman;sans-serif" w:hAnsi="Times New Roman;sans-serif"/>
          <w:b w:val="false"/>
          <w:color w:val="111111"/>
          <w:sz w:val="22"/>
        </w:rPr>
        <w:t>, that notwithstanding anything to the contrary contained in clauses (a) through (s) above</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the security interests created by this Agreement shall not extend to</w:t>
      </w:r>
      <w:r>
        <w:rPr>
          <w:rFonts w:ascii="Times New Roman;sans-serif" w:hAnsi="Times New Roman;sans-serif"/>
          <w:b w:val="false"/>
          <w:color w:val="262626"/>
          <w:sz w:val="22"/>
        </w:rPr>
        <w:t xml:space="preserve">, </w:t>
      </w:r>
      <w:r>
        <w:rPr>
          <w:rFonts w:ascii="Times New Roman;sans-serif" w:hAnsi="Times New Roman;sans-serif"/>
          <w:b w:val="false"/>
          <w:color w:val="111111"/>
          <w:sz w:val="22"/>
        </w:rPr>
        <w:t>and the term “Collateral”</w:t>
      </w:r>
      <w:r>
        <w:rPr>
          <w:color w:val="262626"/>
        </w:rPr>
        <w:t xml:space="preserve"> </w:t>
      </w:r>
      <w:r>
        <w:rPr>
          <w:rFonts w:ascii="Times New Roman;sans-serif" w:hAnsi="Times New Roman;sans-serif"/>
          <w:b w:val="false"/>
          <w:color w:val="111111"/>
          <w:sz w:val="22"/>
        </w:rPr>
        <w:t>(including all of the individual items comprising Collateral) shall not include any Excluded Assets nor any assets as to which a security interest is not granted pursuant to this Section 3 .1.</w:t>
      </w:r>
    </w:p>
    <w:p>
      <w:pPr>
        <w:pStyle w:val="TextBody"/>
        <w:spacing w:lineRule="auto" w:line="288" w:before="0" w:after="180"/>
        <w:ind w:left="0" w:right="0" w:firstLine="1440"/>
        <w:jc w:val="both"/>
        <w:rPr/>
      </w:pPr>
      <w:r>
        <w:rPr>
          <w:rFonts w:ascii="Times New Roman;sans-serif" w:hAnsi="Times New Roman;sans-serif"/>
          <w:b w:val="false"/>
          <w:color w:val="000000"/>
          <w:sz w:val="22"/>
        </w:rPr>
        <w:t xml:space="preserve">Notwithstanding any of the other provisions set forth in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this Agreement shall not constitute a grant of a security interest in any property to the extent that such grant of a security interest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w:t>
      </w:r>
      <w:r>
        <w:rPr>
          <w:rFonts w:ascii="Times New Roman;sans-serif" w:hAnsi="Times New Roman;sans-serif"/>
          <w:b w:val="false"/>
          <w:color w:val="000000"/>
          <w:sz w:val="22"/>
          <w:u w:val="single"/>
        </w:rPr>
        <w:t>except</w:t>
      </w:r>
      <w:r>
        <w:rPr>
          <w:color w:val="000000"/>
        </w:rPr>
        <w:t xml:space="preserve"> </w:t>
      </w:r>
      <w:r>
        <w:rPr>
          <w:rFonts w:ascii="Times New Roman;sans-serif" w:hAnsi="Times New Roman;sans-serif"/>
          <w:b w:val="false"/>
          <w:color w:val="000000"/>
          <w:sz w:val="22"/>
        </w:rPr>
        <w:t xml:space="preserve">(i) to the extent that the terms in such contract, license, instrument or other document providing for such prohibition, breach, default or termination, or requiring such consent are not permitted under the terms and conditions of the Credit Agreement or (ii) to the extent that such Requirement of Law or the term in such contract, license, agreement, instrument or other document providing for such prohibition, breach, default or termination or requiring such consent is ineffective under Section 9-406, 9-407, 9-408 or 9-409 </w:t>
      </w:r>
      <w:r>
        <w:br w:type="page"/>
      </w:r>
    </w:p>
    <w:p>
      <w:pPr>
        <w:pStyle w:val="TextBody"/>
        <w:spacing w:before="0" w:after="0"/>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60655"/>
                <wp:effectExtent l="0" t="0" r="0" b="0"/>
                <wp:wrapNone/>
                <wp:docPr id="446" name="Frame4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of the UCC (or any successor provision or provisions) of any relevant jurisdiction or any other applicable law (including the Bankruptcy Code) or principles of equity;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security interest shall attach immediately at such time as such Requirement of Law is not effective or applicable, or such prohibition, breach, default or termination is no longer applicable or is waived, and to the extent severable, shall attach immediately to any portion of the Collateral that does not result in such consequences.</w:t>
      </w:r>
    </w:p>
    <w:p>
      <w:pPr>
        <w:pStyle w:val="TextBody"/>
        <w:spacing w:lineRule="auto" w:line="288"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and to the extent that a security interest in a particular asset is governed by a UK Security Document, the provisions of such UK Security Document shall govern, unless otherwise provided for therein.</w:t>
      </w:r>
    </w:p>
    <w:p>
      <w:pPr>
        <w:pStyle w:val="TextBody"/>
        <w:spacing w:lineRule="auto" w:line="288" w:before="0" w:after="180"/>
        <w:ind w:left="0" w:right="0" w:firstLine="720"/>
        <w:jc w:val="both"/>
        <w:rPr/>
      </w:pPr>
      <w:r>
        <w:rPr>
          <w:rFonts w:ascii="Times New Roman;sans-serif" w:hAnsi="Times New Roman;sans-serif"/>
          <w:b w:val="false"/>
          <w:color w:val="000000"/>
          <w:sz w:val="22"/>
        </w:rPr>
        <w:t>3.2</w:t>
      </w:r>
      <w:r>
        <w:rPr>
          <w:rFonts w:ascii="Times New Roman;sans-serif" w:hAnsi="Times New Roman;sans-serif"/>
          <w:b w:val="false"/>
          <w:color w:val="000000"/>
          <w:sz w:val="22"/>
          <w:u w:val="single"/>
        </w:rPr>
        <w:t>Grantors Remains Liable</w:t>
      </w:r>
      <w:r>
        <w:rPr>
          <w:rFonts w:ascii="Times New Roman;sans-serif" w:hAnsi="Times New Roman;sans-serif"/>
          <w:b w:val="false"/>
          <w:color w:val="000000"/>
          <w:sz w:val="22"/>
        </w:rPr>
        <w:t>. Anything herein to the contrary notwithstanding, (a) each Grantor shall remain liable under any contracts, agreements and other documents included in the Collateral, to the extent set forth therein, to perform all of its duties and obligations thereunder to the same extent as if this Agreement had not been executed, (b) the exercise by the Administrative Agent of any of the rights granted to the Administrative Agent hereunder shall not release any Grantor from any of its duties or obligations under any such contracts, agreements and other documents included in the Collateral, and (c) neither the Administrative Agent nor any other Secured Party shall have any obligation or liability under any such contracts, agreements and other documents included in the Collateral by reason of this Agreement, nor shall the Administrative Agent or any other Secured Party be obligated to perform any of the obligations or duties of any Grantor thereunder or to take any action to collect or enforce any such contract, agreement or other document included in the Collateral hereunder.</w:t>
      </w:r>
    </w:p>
    <w:p>
      <w:pPr>
        <w:pStyle w:val="TextBody"/>
        <w:spacing w:lineRule="auto" w:line="288" w:before="0" w:after="180"/>
        <w:ind w:left="0" w:right="0" w:firstLine="720"/>
        <w:jc w:val="both"/>
        <w:rPr/>
      </w:pPr>
      <w:r>
        <w:rPr>
          <w:rFonts w:ascii="Times New Roman;sans-serif" w:hAnsi="Times New Roman;sans-serif"/>
          <w:b w:val="false"/>
          <w:color w:val="000000"/>
          <w:sz w:val="22"/>
        </w:rPr>
        <w:t>3.3</w:t>
      </w:r>
      <w:r>
        <w:rPr>
          <w:rFonts w:ascii="Times New Roman;sans-serif" w:hAnsi="Times New Roman;sans-serif"/>
          <w:b w:val="false"/>
          <w:color w:val="000000"/>
          <w:sz w:val="22"/>
          <w:u w:val="single"/>
        </w:rPr>
        <w:t>Perfection and Priority</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111111"/>
          <w:sz w:val="22"/>
        </w:rPr>
        <w:t>(a)</w:t>
      </w:r>
      <w:r>
        <w:rPr>
          <w:rFonts w:ascii="Times New Roman;sans-serif" w:hAnsi="Times New Roman;sans-serif"/>
          <w:b w:val="false"/>
          <w:color w:val="000000"/>
          <w:sz w:val="22"/>
          <w:u w:val="single"/>
        </w:rPr>
        <w:t>Financing Statements</w:t>
      </w:r>
      <w:r>
        <w:rPr>
          <w:rFonts w:ascii="Times New Roman;sans-serif" w:hAnsi="Times New Roman;sans-serif"/>
          <w:b w:val="false"/>
          <w:color w:val="000000"/>
          <w:sz w:val="22"/>
        </w:rPr>
        <w:t>. Pursuant to any applicable law, each Grantor authorizes the Administrative Agent (and its counsel and its agents) to file or record at any time and from time to time any financing statements and other filing or recording documents or instruments with respect to the Collateral (including, in respect of the UK Grantors, UK Companies House filings) and each Grantor shall execute and deliver to the Administrative Agent and each Grantor hereby authorizes the Administrative Agent (and its counsel and its agents) to file (with or without the signature of such Grantor) at any time and from time to time, all amendments to financing statements, continuation financing statements, security agreements relating to the Intellectual Property, assignments, fixture filings, affidavits, reports notices and all other documents and instruments, in such form and in such offices as the Administrative Agent reasonably determines is appropriate to perfect and continue the perfection of, maintain the priority of or provide notice of the Administrative Agent's security interest in the Collateral under and to accomplish the purposes of this Agreement. Each Grantor authorizes the Administrative Agent to use the collateral description “all personal property, whether now owned or hereafter acquired,” “all assets” or any other similar collateral description in any such financing statements.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Filing of Financing Statements</w:t>
      </w:r>
      <w:r>
        <w:rPr>
          <w:rFonts w:ascii="Times New Roman;sans-serif" w:hAnsi="Times New Roman;sans-serif"/>
          <w:b w:val="false"/>
          <w:color w:val="000000"/>
          <w:sz w:val="22"/>
        </w:rPr>
        <w:t>. Each Grantor shall deliver to the Administrative Agent, from time to time, such completed UCC-1 financing statements for filing or recording in the appropriate filing offices as may be reasonably requested by the Administrative Agent.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Transfer of Security Interest Other Than by Delivery</w:t>
      </w:r>
      <w:r>
        <w:rPr>
          <w:rFonts w:ascii="Times New Roman;sans-serif" w:hAnsi="Times New Roman;sans-serif"/>
          <w:b w:val="false"/>
          <w:color w:val="000000"/>
          <w:sz w:val="22"/>
        </w:rPr>
        <w:t xml:space="preserve">. If for any reason Pledged Collateral cannot be delivered to or for the account of the Administrative Agent as provided in </w:t>
      </w:r>
      <w:r>
        <w:rPr>
          <w:rFonts w:ascii="Times New Roman;sans-serif" w:hAnsi="Times New Roman;sans-serif"/>
          <w:b w:val="false"/>
          <w:color w:val="000000"/>
          <w:sz w:val="22"/>
          <w:u w:val="single"/>
        </w:rPr>
        <w:t>Section 5.6(b)</w:t>
      </w:r>
      <w:r>
        <w:rPr>
          <w:rFonts w:ascii="Times New Roman;sans-serif" w:hAnsi="Times New Roman;sans-serif"/>
          <w:b w:val="false"/>
          <w:color w:val="000000"/>
          <w:sz w:val="22"/>
        </w:rPr>
        <w:t xml:space="preserve">, each applicable Grantor shall promptly take such other steps as may be necessary or as shall be reasonably requested from time to time by the Administrative Agent to effect a pledge or collateral assignment of a perfected first priority security interest in and pledge of the Pledged Collateral to the Administrative Agent for itself and on behalf of and for the ratable benefit of the other Secured </w:t>
      </w:r>
      <w:r>
        <w:br w:type="page"/>
      </w:r>
    </w:p>
    <w:p>
      <w:pPr>
        <w:pStyle w:val="TextBody"/>
        <w:spacing w:before="0" w:after="0"/>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60655"/>
                <wp:effectExtent l="0" t="0" r="0" b="0"/>
                <wp:wrapNone/>
                <wp:docPr id="447" name="Frame4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Parties pursuant to the UCC. To the extent practicable, each such Grantor shall thereafter deliver the Pledged Collateral to or for the account of the Administrative Agent as provided in </w:t>
      </w:r>
      <w:r>
        <w:rPr>
          <w:rFonts w:ascii="Times New Roman;sans-serif" w:hAnsi="Times New Roman;sans-serif"/>
          <w:b w:val="false"/>
          <w:color w:val="000000"/>
          <w:sz w:val="22"/>
          <w:u w:val="single"/>
        </w:rPr>
        <w:t>Section 5.6(b)</w:t>
      </w:r>
      <w:r>
        <w:rPr>
          <w:rFonts w:ascii="Times New Roman;sans-serif" w:hAnsi="Times New Roman;sans-serif"/>
          <w:b w:val="false"/>
          <w:color w:val="000000"/>
          <w:sz w:val="22"/>
        </w:rPr>
        <w:t>.</w:t>
      </w:r>
    </w:p>
    <w:p>
      <w:pPr>
        <w:pStyle w:val="TextBody"/>
        <w:spacing w:lineRule="auto" w:line="280"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xml:space="preserve">. Each Grantor shall, in addition to executing and delivering this Agreement, take such other action as may be necessary, or as the Administrative Agent may reasonably request, to perfect the Administrative Agent's security interest in the Intellectual Property constituting Collateral. Concurrently with the delivery of each Compliance Certificate following the creation or other acquisition of any Intellectual Property constituting Collateral by any Grantor after the date hereof which is registered or becomes registered or the subject of an application for registration with the United States Copyright Office or the United States Patent and Trademark Office, as applicable, such Grantor shall modify this Agreement by amending </w:t>
      </w:r>
      <w:r>
        <w:rPr>
          <w:rFonts w:ascii="Times New Roman;sans-serif" w:hAnsi="Times New Roman;sans-serif"/>
          <w:b w:val="false"/>
          <w:color w:val="000000"/>
          <w:sz w:val="22"/>
          <w:u w:val="single"/>
        </w:rPr>
        <w:t>Schedule 6</w:t>
      </w:r>
      <w:r>
        <w:rPr>
          <w:color w:val="000000"/>
        </w:rPr>
        <w:t xml:space="preserve"> </w:t>
      </w:r>
      <w:r>
        <w:rPr>
          <w:rFonts w:ascii="Times New Roman;sans-serif" w:hAnsi="Times New Roman;sans-serif"/>
          <w:b w:val="false"/>
          <w:color w:val="000000"/>
          <w:sz w:val="22"/>
        </w:rPr>
        <w:t xml:space="preserve">to include any such Intellectual Property which becomes part of the Collateral and which was not included on </w:t>
      </w:r>
      <w:r>
        <w:rPr>
          <w:rFonts w:ascii="Times New Roman;sans-serif" w:hAnsi="Times New Roman;sans-serif"/>
          <w:b w:val="false"/>
          <w:color w:val="000000"/>
          <w:sz w:val="22"/>
          <w:u w:val="single"/>
        </w:rPr>
        <w:t>Schedule 6</w:t>
      </w:r>
      <w:r>
        <w:rPr>
          <w:color w:val="000000"/>
        </w:rPr>
        <w:t xml:space="preserve"> </w:t>
      </w:r>
      <w:r>
        <w:rPr>
          <w:rFonts w:ascii="Times New Roman;sans-serif" w:hAnsi="Times New Roman;sans-serif"/>
          <w:b w:val="false"/>
          <w:color w:val="000000"/>
          <w:sz w:val="22"/>
        </w:rPr>
        <w:t>as of the date hereof and record an amendment to an existing Intellectual Property Security Agreement with the United States Copyright Office or the United States Patent and Trademark Office, as applicable, and take such other action as may be necessary, or as the Administrative Agent or the Required Lenders may reasonably request, to perfect the Administrative Agent' s security interest in such Intellectual Property.</w:t>
      </w:r>
    </w:p>
    <w:p>
      <w:pPr>
        <w:pStyle w:val="TextBody"/>
        <w:spacing w:lineRule="auto" w:line="280"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Bailees</w:t>
      </w:r>
      <w:r>
        <w:rPr>
          <w:rFonts w:ascii="Times New Roman;sans-serif" w:hAnsi="Times New Roman;sans-serif"/>
          <w:b w:val="false"/>
          <w:color w:val="000000"/>
          <w:sz w:val="22"/>
        </w:rPr>
        <w:t>. At any time and from time to time, the Administrative Agent may give notice to any Person holding all or any portion of the Collateral that such Person is holding such Collateral as the agent and bailee of, and as pledge holder for, the Administrative Agent, and obtain such Person's written acknowledgment thereof. Without limiting the generality of the foregoing, each Grantor will, upon written request from the Administrative Agent, join with the Administrative Agent in notifying any Person who has possession of any Collateral of the Administrative Agent's security interest therein and shall use commercially reasonable efforts to obtain an acknowledgment from such Person that it is holding the Collateral for the benefit of the Administrative Agent. Notwithstanding the foregoing, if no Event of Default exists, a Grantor shall not be required to obtain and deliver to the Administrative Agent acknowledgements from any such Person who has possession or control of Collateral, if such Person holds Collateral having a value not exceeding $250,000.</w:t>
      </w:r>
    </w:p>
    <w:p>
      <w:pPr>
        <w:pStyle w:val="TextBody"/>
        <w:spacing w:lineRule="auto" w:line="280"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Each Grantor will cooperate with the Administrative Agent in obtaining control (as defined in the UCC) of Collateral consisting of any Deposit Accounts, Electronic Chattel Paper, Investment Property, Securities Accounts or Letter-of-Credit Rights (with respect to the latter, in excess of $250,000, and only upon request of the Administrative Agent), including delivery of springing control agreements, as the Administrative Agent may reasonably request, to perfect and continue perfected, maintain the priority of or provide notice of the Administrative Agent's security interest in such Collateral.</w:t>
      </w:r>
    </w:p>
    <w:p>
      <w:pPr>
        <w:pStyle w:val="TextBody"/>
        <w:spacing w:lineRule="auto" w:line="280"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Additional Subsidiaries</w:t>
      </w:r>
      <w:r>
        <w:rPr>
          <w:rFonts w:ascii="Times New Roman;sans-serif" w:hAnsi="Times New Roman;sans-serif"/>
          <w:b w:val="false"/>
          <w:color w:val="000000"/>
          <w:sz w:val="22"/>
        </w:rPr>
        <w:t xml:space="preserve">. To the extent required under the Credit Agreement, in the event that any Grantor acquires rights in any Subsidiary after the date hereof, it shall deliver to the Administrative Agent a completed pledge supplement, substantially in the form of </w:t>
      </w:r>
      <w:r>
        <w:rPr>
          <w:rFonts w:ascii="Times New Roman;sans-serif" w:hAnsi="Times New Roman;sans-serif"/>
          <w:b w:val="false"/>
          <w:color w:val="000000"/>
          <w:sz w:val="22"/>
          <w:u w:val="single"/>
        </w:rPr>
        <w:t>Annex 2</w:t>
      </w:r>
      <w:r>
        <w:rPr>
          <w:color w:val="000000"/>
        </w:rPr>
        <w:t xml:space="preserve"> </w:t>
      </w:r>
      <w:r>
        <w:rPr>
          <w:rFonts w:ascii="Times New Roman;sans-serif" w:hAnsi="Times New Roman;sans-serif"/>
          <w:b w:val="false"/>
          <w:color w:val="000000"/>
          <w:sz w:val="22"/>
        </w:rPr>
        <w:t xml:space="preserve">(the </w:t>
      </w:r>
      <w:r>
        <w:rPr>
          <w:color w:val="000000"/>
        </w:rPr>
        <w:t>“</w:t>
      </w:r>
      <w:r>
        <w:rPr>
          <w:rFonts w:ascii="Times New Roman;sans-serif" w:hAnsi="Times New Roman;sans-serif"/>
          <w:b/>
          <w:i/>
          <w:color w:val="000000"/>
          <w:sz w:val="22"/>
        </w:rPr>
        <w:t>Pledge Supplement</w:t>
      </w:r>
      <w:r>
        <w:rPr>
          <w:color w:val="000000"/>
        </w:rPr>
        <w:t>”</w:t>
      </w:r>
      <w:r>
        <w:rPr>
          <w:rFonts w:ascii="Times New Roman;sans-serif" w:hAnsi="Times New Roman;sans-serif"/>
          <w:b w:val="false"/>
          <w:color w:val="000000"/>
          <w:sz w:val="22"/>
        </w:rPr>
        <w:t>), together with all schedules thereto, reflecting the pledge of the Capital Stock of such new Subsidiary (except to the extent such Capital Stock consists of Excluded Assets). Notwithstanding the foregoing, it is understood and agreed that the security interest of the Administrative Agent shall attach to the Pledged Collateral related to such Subsidiary immediately upon any Grantor's acquisition of rights therein and shall not be affected by the failure of any Grantor to deliver a Pledge Supplement.</w:t>
      </w:r>
    </w:p>
    <w:p>
      <w:pPr>
        <w:pStyle w:val="TextBody"/>
        <w:spacing w:lineRule="auto" w:line="280" w:before="0" w:after="180"/>
        <w:jc w:val="center"/>
        <w:rPr/>
      </w:pPr>
      <w:r>
        <w:rPr>
          <w:rFonts w:ascii="Times New Roman;sans-serif" w:hAnsi="Times New Roman;sans-serif"/>
          <w:b w:val="false"/>
          <w:color w:val="000000"/>
          <w:sz w:val="22"/>
        </w:rPr>
        <w:t>SECTION 4.</w:t>
      </w:r>
      <w:r>
        <w:rPr>
          <w:rFonts w:ascii="Times New Roman;sans-serif" w:hAnsi="Times New Roman;sans-serif"/>
          <w:b w:val="false"/>
          <w:color w:val="111111"/>
          <w:sz w:val="22"/>
        </w:rPr>
        <w:t>REPRESENTATIONS AND WARRANTIES</w:t>
      </w:r>
    </w:p>
    <w:p>
      <w:pPr>
        <w:pStyle w:val="TextBody"/>
        <w:spacing w:lineRule="auto" w:line="28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the representations and warranties of the Grantors set forth in the Credit Agreement, which are incorporated herein by this reference, and to induce the Administrative Agent and the Lenders to enter into the Credit Agreement and to induce the Lenders to make their respective extensions of credit to the Borrower thereunder, each Grantor hereby represents and warrants (it being </w:t>
      </w:r>
      <w:r>
        <w:br w:type="page"/>
      </w:r>
    </w:p>
    <w:p>
      <w:pPr>
        <w:pStyle w:val="TextBody"/>
        <w:spacing w:before="0" w:after="0"/>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60655"/>
                <wp:effectExtent l="0" t="0" r="0" b="0"/>
                <wp:wrapNone/>
                <wp:docPr id="448" name="Frame4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8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understood that none of the following applies to Excluded Assets) to the Administrative Agent and each other Secured Party that, as of the date hereof:</w:t>
      </w:r>
    </w:p>
    <w:p>
      <w:pPr>
        <w:pStyle w:val="TextBody"/>
        <w:spacing w:lineRule="auto" w:line="288" w:before="0" w:after="180"/>
        <w:ind w:left="0" w:right="0" w:firstLine="72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Title; No Other Liens</w:t>
      </w:r>
      <w:r>
        <w:rPr>
          <w:rFonts w:ascii="Times New Roman;sans-serif" w:hAnsi="Times New Roman;sans-serif"/>
          <w:b w:val="false"/>
          <w:color w:val="000000"/>
          <w:sz w:val="22"/>
        </w:rPr>
        <w:t xml:space="preserve">. Except for the Liens permitted to exist on the Collateral by </w:t>
      </w:r>
      <w:r>
        <w:rPr>
          <w:rFonts w:ascii="Times New Roman;sans-serif" w:hAnsi="Times New Roman;sans-serif"/>
          <w:b w:val="false"/>
          <w:color w:val="000000"/>
          <w:sz w:val="22"/>
          <w:u w:val="single"/>
        </w:rPr>
        <w:t>Section 7.3</w:t>
      </w:r>
      <w:r>
        <w:rPr>
          <w:color w:val="000000"/>
        </w:rPr>
        <w:t xml:space="preserve"> </w:t>
      </w:r>
      <w:r>
        <w:rPr>
          <w:rFonts w:ascii="Times New Roman;sans-serif" w:hAnsi="Times New Roman;sans-serif"/>
          <w:b w:val="false"/>
          <w:color w:val="000000"/>
          <w:sz w:val="22"/>
        </w:rPr>
        <w:t>of the Credit Agreement, such Grantor owns each item of the Collateral in which a Lien is granted by it free and clear of any and all Liens.</w:t>
      </w:r>
    </w:p>
    <w:p>
      <w:pPr>
        <w:pStyle w:val="TextBody"/>
        <w:spacing w:lineRule="auto" w:line="288" w:before="0" w:after="180"/>
        <w:ind w:left="0" w:right="0" w:firstLine="72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Perfected Liens</w:t>
      </w:r>
      <w:r>
        <w:rPr>
          <w:rFonts w:ascii="Times New Roman;sans-serif" w:hAnsi="Times New Roman;sans-serif"/>
          <w:b w:val="false"/>
          <w:color w:val="000000"/>
          <w:sz w:val="22"/>
        </w:rPr>
        <w:t xml:space="preserve">. The security interests granted to the Administrative Agent pursuant to this Agreement (a) upon completion of the filings and other actions specified on </w:t>
      </w:r>
      <w:r>
        <w:rPr>
          <w:rFonts w:ascii="Times New Roman;sans-serif" w:hAnsi="Times New Roman;sans-serif"/>
          <w:b w:val="false"/>
          <w:color w:val="000000"/>
          <w:sz w:val="22"/>
          <w:u w:val="single"/>
        </w:rPr>
        <w:t>Schedule 3</w:t>
      </w:r>
      <w:r>
        <w:rPr>
          <w:color w:val="000000"/>
        </w:rPr>
        <w:t xml:space="preserve"> </w:t>
      </w:r>
      <w:r>
        <w:rPr>
          <w:rFonts w:ascii="Times New Roman;sans-serif" w:hAnsi="Times New Roman;sans-serif"/>
          <w:b w:val="false"/>
          <w:color w:val="000000"/>
          <w:sz w:val="22"/>
        </w:rPr>
        <w:t>(which, in the case of all filings and other documents referred to on said Schedule, have been delivered to the Administrative Agent in completed and duly (if applicable) executed form) will constitute valid perfected security interests in all of the Collateral in favor of the Administrative Agent, for the ratable benefit of the Secured Parties, as collateral security for the Secured Obligations, enforceable in accordance with the terms hereof against any creditors of any Grantor and any Persons purporting to purchase any Collateral from any Grantor, and (b) are prior to all other Liens on the Collateral in existence on the date hereof except for (i) Liens permitted by the Credit Agreement which have priority over the Liens of the Administrative Agent on the Collateral (for the ratable benefit of the Secured Parties) by operation of law, and (ii) in the case of Collateral other than Pledged Collateral, Liens permitted by Section 7.3 of the Credit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Jurisdiction of Organization; Chief Executive Office and Locations of Books</w:t>
      </w:r>
      <w:r>
        <w:rPr>
          <w:rFonts w:ascii="Times New Roman;sans-serif" w:hAnsi="Times New Roman;sans-serif"/>
          <w:b w:val="false"/>
          <w:color w:val="000000"/>
          <w:sz w:val="22"/>
        </w:rPr>
        <w:t xml:space="preserve">. On the date hereof, such Grantor's jurisdiction of incorporation or organization, identification number from the jurisdiction of incorporation or organization (if any), and the location of such Grantor's chief executive office or sole place of business, as the case may be, or in relation or in relation to the UK Grantors, Centre of Main Interests, are specified on </w:t>
      </w:r>
      <w:r>
        <w:rPr>
          <w:rFonts w:ascii="Times New Roman;sans-serif" w:hAnsi="Times New Roman;sans-serif"/>
          <w:b w:val="false"/>
          <w:color w:val="000000"/>
          <w:sz w:val="22"/>
          <w:u w:val="single"/>
        </w:rPr>
        <w:t>Schedule 4</w:t>
      </w:r>
      <w:r>
        <w:rPr>
          <w:rFonts w:ascii="Times New Roman;sans-serif" w:hAnsi="Times New Roman;sans-serif"/>
          <w:b w:val="false"/>
          <w:color w:val="000000"/>
          <w:sz w:val="22"/>
        </w:rPr>
        <w:t xml:space="preserve">. On the date hereof, all locations where Books pertaining to the Rights to Payment of such Grantor are kept, including all equipment necessary for accessing such Books and the names and addresses of all service bureaus, computer or data processing companies and other Persons keeping any Books or collecting Rights to Payment for such Grantor, are set forth in </w:t>
      </w:r>
      <w:r>
        <w:rPr>
          <w:rFonts w:ascii="Times New Roman;sans-serif" w:hAnsi="Times New Roman;sans-serif"/>
          <w:b w:val="false"/>
          <w:color w:val="000000"/>
          <w:sz w:val="22"/>
          <w:u w:val="single"/>
        </w:rPr>
        <w:t>Schedule 4</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4.4</w:t>
      </w:r>
      <w:r>
        <w:rPr>
          <w:rFonts w:ascii="Times New Roman;sans-serif" w:hAnsi="Times New Roman;sans-serif"/>
          <w:b w:val="false"/>
          <w:color w:val="000000"/>
          <w:sz w:val="22"/>
          <w:u w:val="single"/>
        </w:rPr>
        <w:t>Inventory and Equipment</w:t>
      </w:r>
      <w:r>
        <w:rPr>
          <w:rFonts w:ascii="Times New Roman;sans-serif" w:hAnsi="Times New Roman;sans-serif"/>
          <w:b w:val="false"/>
          <w:color w:val="000000"/>
          <w:sz w:val="22"/>
        </w:rPr>
        <w:t xml:space="preserve">. On the date hereof (a) the Inventory and (b) the Equipment ( other than mobile goods) are kept at the locations listed on </w:t>
      </w:r>
      <w:r>
        <w:rPr>
          <w:rFonts w:ascii="Times New Roman;sans-serif" w:hAnsi="Times New Roman;sans-serif"/>
          <w:b w:val="false"/>
          <w:color w:val="000000"/>
          <w:sz w:val="22"/>
          <w:u w:val="single"/>
        </w:rPr>
        <w:t>Schedule 5</w:t>
      </w:r>
      <w:r>
        <w:rPr>
          <w:rFonts w:ascii="Times New Roman;sans-serif" w:hAnsi="Times New Roman;sans-serif"/>
          <w:b w:val="false"/>
          <w:color w:val="000000"/>
          <w:sz w:val="22"/>
        </w:rPr>
        <w:t xml:space="preserve">. </w:t>
      </w:r>
    </w:p>
    <w:p>
      <w:pPr>
        <w:pStyle w:val="TextBody"/>
        <w:spacing w:lineRule="auto" w:line="276" w:before="0" w:after="18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spacing w:lineRule="auto" w:line="276" w:before="0" w:after="180"/>
        <w:ind w:left="0" w:right="0" w:firstLine="720"/>
        <w:jc w:val="both"/>
        <w:rPr/>
      </w:pPr>
      <w:r>
        <w:rPr>
          <w:rFonts w:ascii="Times New Roman;sans-serif" w:hAnsi="Times New Roman;sans-serif"/>
          <w:b w:val="false"/>
          <w:color w:val="000000"/>
          <w:sz w:val="22"/>
        </w:rPr>
        <w:t>4.6</w:t>
      </w:r>
      <w:r>
        <w:rPr>
          <w:rFonts w:ascii="Times New Roman;sans-serif" w:hAnsi="Times New Roman;sans-serif"/>
          <w:b w:val="false"/>
          <w:color w:val="000000"/>
          <w:sz w:val="22"/>
          <w:u w:val="single"/>
        </w:rPr>
        <w:t>Pledged Collateral</w:t>
      </w:r>
      <w:r>
        <w:rPr>
          <w:rFonts w:ascii="Times New Roman;sans-serif" w:hAnsi="Times New Roman;sans-serif"/>
          <w:b w:val="false"/>
          <w:color w:val="000000"/>
          <w:sz w:val="22"/>
        </w:rPr>
        <w:t xml:space="preserve">. (a) All of the Pledged Stock held by such Grantor has been duly and validly issued, and is fully paid and non-assessable (to the extent such concepts are applicable in the relevant jurisdiction), subject in the case of Pledged Stock constituting partnership interests or limited liability company membership interests to future assessments required under any applicable law and any applicable partnership or operating agreement, (b) such Grantor is the legal record and beneficial owner thereof, (c) in the case of Pledged Stock of a Subsidiary of such Grantor or Pledged Collateral of such Grantor constituting Instruments issued by a Subsidiary of such Grantor, there are no restrictions on the transferability of such Pledged Collateral or such additional Pledged Collateral to the Administrative Agent or with respect to the foreclosure, transfer or disposition thereof by the Administrative Agent, except as provided under applicable securities or “Blue Sky” laws, (d) the Pledged Stock pledged by such Grantor constitutes all of the issued and outstanding shares of Capital Stock of each Issuer owned by such Grantor ( except for Excluded Assets), and, other than with respect to Capital Stock constituting Excluded Assets, such Grantor owns no securities convertible into or exchangeable for any shares of Capital Stock of any such Issuer that do not constitute Pledged Stock hereunder, ( e) any and all Pledged Collateral Agreements which affect or relate to the voting or giving of written consents with respect to any of the Pledged Stock pledged by such Grantor have been disclosed to the Administrative Agent, and (f) as to each such Pledged Collateral Agreement relating to the Pledged Stock pledged by such Grantor, (i) to the </w:t>
      </w:r>
      <w:r>
        <w:br w:type="page"/>
      </w:r>
    </w:p>
    <w:p>
      <w:pPr>
        <w:pStyle w:val="TextBody"/>
        <w:spacing w:before="0" w:after="0"/>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60655"/>
                <wp:effectExtent l="0" t="0" r="0" b="0"/>
                <wp:wrapNone/>
                <wp:docPr id="449" name="Frame4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76"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best knowledge of such Grantor, such Pledged Collateral Agreement contains the entire agreement between the parties thereto with respect to the subject matter thereof and is in full force and effect in accordance with its terms, (ii) to the best knowledge of such Grantor party thereto, there exists no material violation or material default under any such Pledged Collateral Agreement by such Grantor or the other parties thereto, and (iii) such Grantor has not knowingly waived or released any of its material rights under or otherwise consented to a material departure from the terms and provisions of any such Pledged Collateral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4.7</w:t>
      </w:r>
      <w:r>
        <w:rPr>
          <w:rFonts w:ascii="Times New Roman;sans-serif" w:hAnsi="Times New Roman;sans-serif"/>
          <w:b w:val="false"/>
          <w:color w:val="000000"/>
          <w:sz w:val="22"/>
          <w:u w:val="single"/>
        </w:rPr>
        <w:t>Investment Accounts</w:t>
      </w:r>
      <w:r>
        <w:rPr>
          <w:rFonts w:ascii="Times New Roman;sans-serif" w:hAnsi="Times New Roman;sans-serif"/>
          <w:b w:val="false"/>
          <w:color w:val="000000"/>
          <w:sz w:val="22"/>
        </w:rPr>
        <w:t xml:space="preserve">. (a) On the date hereof,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sets forth under the headings “Securities Accounts” and “Commodity Accounts”, respectively, all of the Securities Accounts and Commodity Accounts in which such Grantor has an interest. Except as disclosed to the Administrative Agent, such Grantor is the sole entitlement holder of each such Securities Account and Commodity Account, and such Grantor has not consented to, and is not otherwise aware of, any Person (other than the Administrative Agent) having “control” (within the meanings of Sections 8-106 and 9-106 of the UCC) over, or any other interest in, any such Securities Account or Commodity Account or any securities or other property credited thereto;</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On the date hereof, </w:t>
      </w:r>
      <w:r>
        <w:rPr>
          <w:rFonts w:ascii="Times New Roman;sans-serif" w:hAnsi="Times New Roman;sans-serif"/>
          <w:b w:val="false"/>
          <w:color w:val="000000"/>
          <w:sz w:val="22"/>
          <w:u w:val="single"/>
        </w:rPr>
        <w:t>Schedule 2</w:t>
      </w:r>
      <w:r>
        <w:rPr>
          <w:color w:val="000000"/>
        </w:rPr>
        <w:t xml:space="preserve"> </w:t>
      </w:r>
      <w:r>
        <w:rPr>
          <w:rFonts w:ascii="Times New Roman;sans-serif" w:hAnsi="Times New Roman;sans-serif"/>
          <w:b w:val="false"/>
          <w:color w:val="000000"/>
          <w:sz w:val="22"/>
        </w:rPr>
        <w:t>sets forth under the heading “Deposit Accounts” all of the Deposit Accounts in which such Grantor has an interest and, except as otherwise disclosed to the Administrative Agent, such Grantor is the sole account holder of each such Deposit Account and, other than with respect to Excluded Accounts, such Grantor has not consented to, and is not otherwise aware of, any Person (other than the Administrative Agent) having either sole dominion and control (within the meaning of common law) or “control” (within the meaning of Section 9-104 of the UCC) over, or any other interest in, any such Deposit Account or any money or other property deposited therein; and</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Except as otherwise permitted under the Credit Agreement, in each case to the extent requested by the Administrative Agent and to the extent the following property constitutes Collateral, such Grantor has taken all actions necessary or desirable to: (i) establish the Administrative Agent's “control” (within the meanings of Sections 8-106 and 9-106 of the UCC) over any Certificated Securities (as defined in Section 9-102 of the UCC); (ii) establish the Administrative Agent's “control” (within the meanings of Sections 8-106 and 9-106 of the UCC) over any portion of the Investment Accounts constituting Securities Accounts, Commodity Accounts, Securities Entitlements or Uncertificated Securities (each as defined in Section 9-102 of the UCC); (iii) establish the Administrative Agent's “control” (within the meaning of Section 9-104 of the UCC) over all Deposit Accounts; and (iv) deliver all Instruments (as defined in Section 9-102 of the UCC) to the Administrative Agent to the extent required hereunder.</w:t>
      </w:r>
    </w:p>
    <w:p>
      <w:pPr>
        <w:pStyle w:val="TextBody"/>
        <w:spacing w:lineRule="auto" w:line="288" w:before="0" w:after="180"/>
        <w:ind w:left="0" w:right="0" w:firstLine="720"/>
        <w:jc w:val="both"/>
        <w:rPr/>
      </w:pPr>
      <w:r>
        <w:rPr>
          <w:rFonts w:ascii="Times New Roman;sans-serif" w:hAnsi="Times New Roman;sans-serif"/>
          <w:b w:val="false"/>
          <w:color w:val="000000"/>
          <w:sz w:val="22"/>
        </w:rPr>
        <w:t>4.8</w:t>
      </w:r>
      <w:r>
        <w:rPr>
          <w:rFonts w:ascii="Times New Roman;sans-serif" w:hAnsi="Times New Roman;sans-serif"/>
          <w:b w:val="false"/>
          <w:color w:val="000000"/>
          <w:sz w:val="22"/>
          <w:u w:val="single"/>
        </w:rPr>
        <w:t>Receivables</w:t>
      </w:r>
      <w:r>
        <w:rPr>
          <w:rFonts w:ascii="Times New Roman;sans-serif" w:hAnsi="Times New Roman;sans-serif"/>
          <w:b w:val="false"/>
          <w:color w:val="000000"/>
          <w:sz w:val="22"/>
        </w:rPr>
        <w:t>. No amount payable to such Grantor under or in connection with any Receivable or other Right to Payment is evidenced by any Instrument (other than checks, drafts or other Instruments that will be promptly deposited in an Investment Account) or Chattel Paper which has not been delivered to the Administrative Agent; provided however that no Grantor shall be required to deliver any Instrument in an amount less than $100,000.</w:t>
      </w:r>
    </w:p>
    <w:p>
      <w:pPr>
        <w:pStyle w:val="TextBody"/>
        <w:spacing w:lineRule="auto" w:line="288" w:before="0" w:after="180"/>
        <w:ind w:left="0" w:right="0" w:firstLine="720"/>
        <w:jc w:val="both"/>
        <w:rPr/>
      </w:pPr>
      <w:r>
        <w:rPr>
          <w:rFonts w:ascii="Times New Roman;sans-serif" w:hAnsi="Times New Roman;sans-serif"/>
          <w:b w:val="false"/>
          <w:color w:val="000000"/>
          <w:sz w:val="22"/>
        </w:rPr>
        <w:t>4.9</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Schedule 6</w:t>
      </w:r>
      <w:r>
        <w:rPr>
          <w:color w:val="000000"/>
        </w:rPr>
        <w:t xml:space="preserve"> </w:t>
      </w:r>
      <w:r>
        <w:rPr>
          <w:rFonts w:ascii="Times New Roman;sans-serif" w:hAnsi="Times New Roman;sans-serif"/>
          <w:b w:val="false"/>
          <w:color w:val="000000"/>
          <w:sz w:val="22"/>
        </w:rPr>
        <w:t>lists all registrations and applications for Intellectual Property (including, without limitation, registered Copyrights, Patents, Trademarks and all applications therefor) existing as of the date hereof, as well as all Copyright Licenses, Patent Licenses and Trademark Licenses, in each case owned by such Grantor in its own name and which are in effect on the date hereof, other than non-exclusive Intellectual Property Licenses entered in the ordinary course of business and off-the-shelf software and/or hardware licenses.</w:t>
      </w:r>
      <w:r>
        <w:br w:type="page"/>
      </w:r>
    </w:p>
    <w:p>
      <w:pPr>
        <w:pStyle w:val="TextBody"/>
        <w:spacing w:before="0" w:after="0"/>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60655"/>
                <wp:effectExtent l="0" t="0" r="0" b="0"/>
                <wp:wrapNone/>
                <wp:docPr id="450" name="Frame4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Grantor owns, or is licensed to use, or otherwise has valid rights to use, all Intellectual Property necessary for the conduct of its business as currently conducted. No written material claim has been asserted and is pending by any Person challenging or questioning any Grantor's use of any Intellectual Property or the validity or effectiveness of any Grantor's Intellectual Property, nor does any Grantor know of any valid basis for any such claim. To each Grantor's knowledge, the use of lntellectual Property by each Grantor, and the conduct of such Grantor's business, as currently conducted, does not infringe on or otherwise violate the rights of any Person in any material respect.</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Except as set forth in Schedule 6, on the date hereof, none of the Intellectual Property is the subject of any exclusive licensing or franchise agreement pursuant to which such Grantor is the licensor or franchisor.</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No holding, decision or judgment has been rendered by any Governmental Authority which would limit, cancel or question the validity of, or such Grantor's rights in, any Intellectual Property owned by such Guarantor or, to such Grantor's knowledge, in any Intellectual Property licensed by such Guarantor, in any respect that could reasonably be expected to have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To Grantor's knowledge, no action or proceeding is pending, or, to the knowledge of such Grantor, threatened, on the date hereof (i) seeking to limit, cancel or question the validity of any material Intellectual Property or such Grantor's ownership interest therein, or (ii) which, if adversely determined, would have a Material Adverse Effect.</w:t>
      </w:r>
    </w:p>
    <w:p>
      <w:pPr>
        <w:pStyle w:val="TextBody"/>
        <w:spacing w:lineRule="auto" w:line="288" w:before="0" w:after="180"/>
        <w:ind w:left="0" w:right="0" w:firstLine="720"/>
        <w:jc w:val="both"/>
        <w:rPr/>
      </w:pPr>
      <w:r>
        <w:rPr>
          <w:rFonts w:ascii="Times New Roman;sans-serif" w:hAnsi="Times New Roman;sans-serif"/>
          <w:b w:val="false"/>
          <w:color w:val="000000"/>
          <w:sz w:val="22"/>
        </w:rPr>
        <w:t>4.10</w:t>
      </w:r>
      <w:r>
        <w:rPr>
          <w:rFonts w:ascii="Times New Roman;sans-serif" w:hAnsi="Times New Roman;sans-serif"/>
          <w:b w:val="false"/>
          <w:color w:val="000000"/>
          <w:sz w:val="22"/>
          <w:u w:val="single"/>
        </w:rPr>
        <w:t>Instruments</w:t>
      </w:r>
      <w:r>
        <w:rPr>
          <w:rFonts w:ascii="Times New Roman;sans-serif" w:hAnsi="Times New Roman;sans-serif"/>
          <w:b w:val="false"/>
          <w:color w:val="000000"/>
          <w:sz w:val="22"/>
        </w:rPr>
        <w:t>. (i) Such Grantor has not previously assigned any interest in any Instruments (including but not limited to the Pledged Notes) held by such Grantor ( other than such interests as will be released on or before the date hereof or as otherwise expressly permitted under the Credit Agreement), and (ii) no Person other than such Grantor owns an interest in such Instruments (whether as joint holders, participants or otherwise).</w:t>
      </w:r>
    </w:p>
    <w:p>
      <w:pPr>
        <w:pStyle w:val="TextBody"/>
        <w:spacing w:lineRule="auto" w:line="288" w:before="0" w:after="180"/>
        <w:ind w:left="0" w:right="0" w:firstLine="720"/>
        <w:jc w:val="both"/>
        <w:rPr/>
      </w:pPr>
      <w:r>
        <w:rPr>
          <w:rFonts w:ascii="Times New Roman;sans-serif" w:hAnsi="Times New Roman;sans-serif"/>
          <w:b w:val="false"/>
          <w:color w:val="000000"/>
          <w:sz w:val="22"/>
        </w:rPr>
        <w:t>4.11</w:t>
      </w:r>
      <w:r>
        <w:rPr>
          <w:rFonts w:ascii="Times New Roman;sans-serif" w:hAnsi="Times New Roman;sans-serif"/>
          <w:b w:val="false"/>
          <w:color w:val="000000"/>
          <w:sz w:val="22"/>
          <w:u w:val="single"/>
        </w:rPr>
        <w:t>Letter of Credit Rights</w:t>
      </w:r>
      <w:r>
        <w:rPr>
          <w:rFonts w:ascii="Times New Roman;sans-serif" w:hAnsi="Times New Roman;sans-serif"/>
          <w:b w:val="false"/>
          <w:color w:val="000000"/>
          <w:sz w:val="22"/>
        </w:rPr>
        <w:t xml:space="preserve">. Such Grantor does not have any Letter-of-Credit Rights having a potential value in excess of $500,000 except as set forth in </w:t>
      </w:r>
      <w:r>
        <w:rPr>
          <w:rFonts w:ascii="Times New Roman;sans-serif" w:hAnsi="Times New Roman;sans-serif"/>
          <w:b w:val="false"/>
          <w:color w:val="000000"/>
          <w:sz w:val="22"/>
          <w:u w:val="single"/>
        </w:rPr>
        <w:t>Schedule 7</w:t>
      </w:r>
      <w:r>
        <w:rPr>
          <w:color w:val="000000"/>
        </w:rPr>
        <w:t xml:space="preserve"> </w:t>
      </w:r>
      <w:r>
        <w:rPr>
          <w:rFonts w:ascii="Times New Roman;sans-serif" w:hAnsi="Times New Roman;sans-serif"/>
          <w:b w:val="false"/>
          <w:color w:val="000000"/>
          <w:sz w:val="22"/>
        </w:rPr>
        <w:t xml:space="preserve">or as have been notified to the Administrative Agent in accordance with </w:t>
      </w:r>
      <w:r>
        <w:rPr>
          <w:rFonts w:ascii="Times New Roman;sans-serif" w:hAnsi="Times New Roman;sans-serif"/>
          <w:b w:val="false"/>
          <w:color w:val="000000"/>
          <w:sz w:val="22"/>
          <w:u w:val="single"/>
        </w:rPr>
        <w:t>Section 5.22</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val="false"/>
          <w:color w:val="000000"/>
          <w:sz w:val="22"/>
        </w:rPr>
        <w:t>4.12</w:t>
      </w:r>
      <w:r>
        <w:rPr>
          <w:rFonts w:ascii="Times New Roman;sans-serif" w:hAnsi="Times New Roman;sans-serif"/>
          <w:b w:val="false"/>
          <w:color w:val="000000"/>
          <w:sz w:val="22"/>
          <w:u w:val="single"/>
        </w:rPr>
        <w:t>Commercial Tort Claims</w:t>
      </w:r>
      <w:r>
        <w:rPr>
          <w:rFonts w:ascii="Times New Roman;sans-serif" w:hAnsi="Times New Roman;sans-serif"/>
          <w:b w:val="false"/>
          <w:color w:val="000000"/>
          <w:sz w:val="22"/>
        </w:rPr>
        <w:t xml:space="preserve">. Such Grantor does not have any active Commercial Tort Claims having a potential value in excess of $500,000 except as set forth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 xml:space="preserve">or as have been notified to the Administrative Agent in accordance with </w:t>
      </w:r>
      <w:r>
        <w:rPr>
          <w:rFonts w:ascii="Times New Roman;sans-serif" w:hAnsi="Times New Roman;sans-serif"/>
          <w:b w:val="false"/>
          <w:color w:val="000000"/>
          <w:sz w:val="22"/>
          <w:u w:val="single"/>
        </w:rPr>
        <w:t>Section 5.21</w:t>
      </w:r>
      <w:r>
        <w:rPr>
          <w:rFonts w:ascii="Times New Roman;sans-serif" w:hAnsi="Times New Roman;sans-serif"/>
          <w:b w:val="false"/>
          <w:color w:val="000000"/>
          <w:sz w:val="22"/>
        </w:rPr>
        <w:t>.</w:t>
      </w:r>
    </w:p>
    <w:p>
      <w:pPr>
        <w:pStyle w:val="TextBody"/>
        <w:spacing w:lineRule="auto" w:line="288" w:before="0" w:after="180"/>
        <w:jc w:val="center"/>
        <w:rPr/>
      </w:pPr>
      <w:r>
        <w:rPr>
          <w:rFonts w:ascii="Times New Roman;sans-serif" w:hAnsi="Times New Roman;sans-serif"/>
          <w:b w:val="false"/>
          <w:color w:val="000000"/>
          <w:sz w:val="22"/>
        </w:rPr>
        <w:t>SECTION 5.</w:t>
      </w:r>
      <w:r>
        <w:rPr>
          <w:rFonts w:ascii="Times New Roman;sans-serif" w:hAnsi="Times New Roman;sans-serif"/>
          <w:b w:val="false"/>
          <w:color w:val="111111"/>
          <w:sz w:val="22"/>
        </w:rPr>
        <w:t>COVENANTS</w:t>
      </w:r>
    </w:p>
    <w:p>
      <w:pPr>
        <w:pStyle w:val="TextBody"/>
        <w:spacing w:lineRule="auto" w:line="288"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the covenants of the Grantors set forth in the Credit Agreement, which are incorporated herein by this reference, each Grantor covenants and agrees with the Administrative Agent and the other Secured Parties that, from and after the date of this Agreement until the Discharge of Obligations: </w:t>
      </w:r>
    </w:p>
    <w:p>
      <w:pPr>
        <w:pStyle w:val="TextBody"/>
        <w:spacing w:lineRule="auto" w:line="288" w:before="0" w:after="180"/>
        <w:ind w:left="0" w:right="0" w:firstLine="720"/>
        <w:jc w:val="both"/>
        <w:rPr/>
      </w:pPr>
      <w:r>
        <w:rPr>
          <w:rFonts w:ascii="Times New Roman;sans-serif" w:hAnsi="Times New Roman;sans-serif"/>
          <w:b w:val="false"/>
          <w:color w:val="000000"/>
          <w:sz w:val="22"/>
        </w:rPr>
        <w:t>5.1</w:t>
      </w:r>
      <w:r>
        <w:rPr>
          <w:rFonts w:ascii="Times New Roman;sans-serif" w:hAnsi="Times New Roman;sans-serif"/>
          <w:b w:val="false"/>
          <w:color w:val="000000"/>
          <w:sz w:val="22"/>
          <w:u w:val="single"/>
        </w:rPr>
        <w:t>Delivery of Instruments, Certificated Securities and Chattel Paper</w:t>
      </w:r>
      <w:r>
        <w:rPr>
          <w:rFonts w:ascii="Times New Roman;sans-serif" w:hAnsi="Times New Roman;sans-serif"/>
          <w:b w:val="false"/>
          <w:color w:val="000000"/>
          <w:sz w:val="22"/>
        </w:rPr>
        <w:t xml:space="preserve">. If any amount payable under or in connection with any of the Collateral shall be or become evidenced by any Instrument (other than checks, drafts or other Instruments that will be promptly deposited in an Investment Account), Certificated Security or Chattel Paper evidencing an amount in excess of $250,000, such Instrument, Certificated Security or Chattel Paper shall be promptly delivered to the Administrative Agent, duly indorsed in a manner satisfactory to the Administrative Agent, to be held as Collateral pursuant to this Agreement. </w:t>
      </w:r>
      <w:r>
        <w:br w:type="page"/>
      </w:r>
    </w:p>
    <w:p>
      <w:pPr>
        <w:pStyle w:val="TextBody"/>
        <w:spacing w:before="0" w:after="0"/>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60655"/>
                <wp:effectExtent l="0" t="0" r="0" b="0"/>
                <wp:wrapNone/>
                <wp:docPr id="451" name="Frame4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2"/>
        </w:rPr>
        <w:t>5.2</w:t>
      </w:r>
      <w:r>
        <w:rPr>
          <w:rFonts w:ascii="Times New Roman;sans-serif" w:hAnsi="Times New Roman;sans-serif"/>
          <w:b w:val="false"/>
          <w:color w:val="000000"/>
          <w:sz w:val="22"/>
          <w:u w:val="single"/>
        </w:rPr>
        <w:t>Maintenance of Insurance</w:t>
      </w:r>
      <w:r>
        <w:rPr>
          <w:rFonts w:ascii="Times New Roman;sans-serif" w:hAnsi="Times New Roman;sans-serif"/>
          <w:b w:val="false"/>
          <w:color w:val="000000"/>
          <w:sz w:val="22"/>
        </w:rPr>
        <w:t xml:space="preserve">. </w:t>
      </w:r>
    </w:p>
    <w:p>
      <w:pPr>
        <w:pStyle w:val="TextBody"/>
        <w:spacing w:lineRule="auto" w:line="288" w:before="0" w:after="18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The Grantors shall maintain insurance as required pursuant to Section 6.6 of the Credit Agreement.</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Except as otherwise agreed by the Administrative Agent, all applicable insurance policies shall (i) provide that no cancellation, material reduction in amount, material change in coverage, non-renewal or amendment thereof shall be effective until at least twenty (20) days after delivery to the Administrative Agent of written notice thereof and (ii) name the Administrative Agent as an additional insured party or lender’s loss payee, as applicable. </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Unless and Event of Default shall have occurred and be continuing and the Administrative Agent shall have exercised its rights pursuant to Section 8.2 of the Credit Agreement, (A) all proceeds from insurance policies shall be paid to the Borrower or applicable Grantor, (B) to the extent the Administrative Agent receives any proceeds, the Administrative Agent shall promptly turn over to the Borrower any amounts received by it as an additional insured or loss payee under any property insurance maintained by the Borrower and the other Grantors, and (C) the Administrative Agent agrees that the Borrower and/or Guarantors shall have the sole right to adjust or settle any claims under such insurance;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Section 5.2(c) shall not affect the Borrower’s obligations under Section 2.12 of the Credit Agreement. </w:t>
      </w:r>
    </w:p>
    <w:p>
      <w:pPr>
        <w:pStyle w:val="TextBody"/>
        <w:spacing w:lineRule="auto" w:line="288" w:before="0" w:after="180"/>
        <w:ind w:left="0" w:right="0" w:firstLine="720"/>
        <w:jc w:val="both"/>
        <w:rPr/>
      </w:pPr>
      <w:r>
        <w:rPr>
          <w:rFonts w:ascii="Times New Roman;sans-serif" w:hAnsi="Times New Roman;sans-serif"/>
          <w:b w:val="false"/>
          <w:color w:val="000000"/>
          <w:sz w:val="22"/>
        </w:rPr>
        <w:t>5.3</w:t>
      </w:r>
      <w:r>
        <w:rPr>
          <w:rFonts w:ascii="Times New Roman;sans-serif" w:hAnsi="Times New Roman;sans-serif"/>
          <w:b w:val="false"/>
          <w:color w:val="000000"/>
          <w:sz w:val="22"/>
          <w:u w:val="single"/>
        </w:rPr>
        <w:t>Maintenance of Perfected Security Interest; Further Documentation</w:t>
      </w:r>
      <w:r>
        <w:rPr>
          <w:rFonts w:ascii="Times New Roman;sans-serif" w:hAnsi="Times New Roman;sans-serif"/>
          <w:b w:val="false"/>
          <w:color w:val="000000"/>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Such Grantor shall maintain the security interests of the Administrative Agent (for the benefit of the Secured Parties) created by this Agreement as perfected security interests having at least the priority described in </w:t>
      </w:r>
      <w:r>
        <w:rPr>
          <w:rFonts w:ascii="Times New Roman;sans-serif" w:hAnsi="Times New Roman;sans-serif"/>
          <w:b w:val="false"/>
          <w:color w:val="000000"/>
          <w:sz w:val="22"/>
          <w:u w:val="single"/>
        </w:rPr>
        <w:t>Section 4.2</w:t>
      </w:r>
      <w:r>
        <w:rPr>
          <w:color w:val="000000"/>
        </w:rPr>
        <w:t xml:space="preserve"> </w:t>
      </w:r>
      <w:r>
        <w:rPr>
          <w:rFonts w:ascii="Times New Roman;sans-serif" w:hAnsi="Times New Roman;sans-serif"/>
          <w:b w:val="false"/>
          <w:color w:val="000000"/>
          <w:sz w:val="22"/>
        </w:rPr>
        <w:t xml:space="preserve">and shall defend such security interests against the claims and demands of all Persons whomsoever, subject to the rights of such Grantor under the Loan Documents to dispose of the Collateral.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Upon the Administrative Agent’s reasonable request but no more frequently than monthly, such Grantor will furnish to the Administrative Agent from time to time statements and schedules further identifying and describing the assets and property of such Grantor constituting Collateral and such other reports in connection therewith as the Administrative Agent may reasonably request, all in reasonable detail. </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At any time and from time to time, upon the written request of the Administrative Agent, and at the sole expense of such Grantor, such Grantor will promptly and duly execute and deliver, and have filed or recorded, as applicable,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(including, with respect to the UK Grantors, the Companies Act 2006) with respect to the security interests created hereby and (ii) in the case of Investment Property, Investment Accounts, Letter-of-Credit Rights and any other relevant Collateral, taking any actions necessary to enable the Administrative Agent to obtain “control” (within the meaning of the UCC) with respect thereto to the extent required hereunder. </w:t>
      </w:r>
    </w:p>
    <w:p>
      <w:pPr>
        <w:pStyle w:val="TextBody"/>
        <w:spacing w:lineRule="auto" w:line="288" w:before="0" w:after="180"/>
        <w:ind w:left="0" w:right="0" w:firstLine="720"/>
        <w:jc w:val="both"/>
        <w:rPr/>
      </w:pPr>
      <w:r>
        <w:rPr>
          <w:rFonts w:ascii="Times New Roman;sans-serif" w:hAnsi="Times New Roman;sans-serif"/>
          <w:b w:val="false"/>
          <w:color w:val="000000"/>
          <w:sz w:val="22"/>
        </w:rPr>
        <w:t>5.4</w:t>
      </w:r>
      <w:r>
        <w:rPr>
          <w:rFonts w:ascii="Times New Roman;sans-serif" w:hAnsi="Times New Roman;sans-serif"/>
          <w:b w:val="false"/>
          <w:color w:val="000000"/>
          <w:sz w:val="22"/>
          <w:u w:val="single"/>
        </w:rPr>
        <w:t>Changes in Locations, Name, Etc</w:t>
      </w:r>
      <w:r>
        <w:rPr>
          <w:rFonts w:ascii="Times New Roman;sans-serif" w:hAnsi="Times New Roman;sans-serif"/>
          <w:b w:val="false"/>
          <w:color w:val="000000"/>
          <w:sz w:val="22"/>
        </w:rPr>
        <w:t xml:space="preserve">. Such Grantor will not, except upon written notice to the Administrative Agent within the time periods set forth below and delivery to the Administrative Agent of (a) all additional executed financing statements and other documents reasonably requested by </w:t>
      </w:r>
      <w:r>
        <w:br w:type="page"/>
      </w:r>
    </w:p>
    <w:p>
      <w:pPr>
        <w:pStyle w:val="TextBody"/>
        <w:spacing w:before="0" w:after="0"/>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60655"/>
                <wp:effectExtent l="0" t="0" r="0" b="0"/>
                <wp:wrapNone/>
                <wp:docPr id="452" name="Frame4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the Administrative Agent to maintain the validity, perfection and priority of the security interests provided for herein, and (b) if applicable, a written supplement to </w:t>
      </w:r>
      <w:r>
        <w:rPr>
          <w:rFonts w:ascii="Times New Roman;sans-serif" w:hAnsi="Times New Roman;sans-serif"/>
          <w:b w:val="false"/>
          <w:color w:val="000000"/>
          <w:sz w:val="22"/>
          <w:u w:val="single"/>
        </w:rPr>
        <w:t>Schedule 4</w:t>
      </w:r>
      <w:r>
        <w:rPr>
          <w:color w:val="000000"/>
        </w:rPr>
        <w:t xml:space="preserve"> </w:t>
      </w:r>
      <w:r>
        <w:rPr>
          <w:rFonts w:ascii="Times New Roman;sans-serif" w:hAnsi="Times New Roman;sans-serif"/>
          <w:b w:val="false"/>
          <w:color w:val="000000"/>
          <w:sz w:val="22"/>
        </w:rPr>
        <w:t xml:space="preserve">showing the relevant new jurisdiction of incorporation or organization, location of chief executive office or sole place of business, as appropriate, or in the case of the UK Grantors, Centre of Main Interests: </w:t>
      </w:r>
    </w:p>
    <w:p>
      <w:pPr>
        <w:pStyle w:val="TextBody"/>
        <w:spacing w:lineRule="auto" w:line="288"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unless prior written notice is given to the Administrative Agent, change its jurisdiction of incorporation or organization, identification number from the jurisdiction of organization (if any) or the location of its chief executive office or sole place of business, as appropriate, or in the case of the UK Grantors, Centre of Main Interests, from that referred to in </w:t>
      </w:r>
      <w:r>
        <w:rPr>
          <w:rFonts w:ascii="Times New Roman;sans-serif" w:hAnsi="Times New Roman;sans-serif"/>
          <w:b w:val="false"/>
          <w:color w:val="000000"/>
          <w:sz w:val="22"/>
          <w:u w:val="single"/>
        </w:rPr>
        <w:t>Section 4.3</w:t>
      </w:r>
      <w:r>
        <w:rPr>
          <w:rFonts w:ascii="Times New Roman;sans-serif" w:hAnsi="Times New Roman;sans-serif"/>
          <w:b w:val="false"/>
          <w:color w:val="000000"/>
          <w:sz w:val="22"/>
        </w:rPr>
        <w:t xml:space="preserve">; </w:t>
      </w:r>
    </w:p>
    <w:p>
      <w:pPr>
        <w:pStyle w:val="TextBody"/>
        <w:spacing w:lineRule="auto" w:line="288"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unless written notice is given to the Administrative Agent within ten (10) days after such change, change its name; or </w:t>
      </w:r>
    </w:p>
    <w:p>
      <w:pPr>
        <w:pStyle w:val="TextBody"/>
        <w:spacing w:lineRule="auto" w:line="288"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 xml:space="preserve">unless written notice is given to the Administrative Agent within thirty (30) days after such location, locate any Collateral in any state or other jurisdiction other than those in which such Grantor operates as of the Closing Date, other than (A) mobile Goods, (B) Equipment and Inventory out for repair, in transit, at other locations in connection with repair or refurbishment thereof in the ordinary course of business or in the possession of employees and service providers of Grantors in the ordinary course of business, (C) pursuant to dispositions to third parties to the extent permitted under the Credit Agreement, (D) movement of Collateral from one disclosed location to another disclosed location; and (E) Equipment having fair market value in the aggregate of less than $500,000. </w:t>
      </w:r>
    </w:p>
    <w:p>
      <w:pPr>
        <w:pStyle w:val="TextBody"/>
        <w:spacing w:lineRule="auto" w:line="288" w:before="0" w:after="180"/>
        <w:ind w:left="0" w:right="0" w:firstLine="720"/>
        <w:jc w:val="both"/>
        <w:rPr/>
      </w:pPr>
      <w:r>
        <w:rPr>
          <w:rFonts w:ascii="Times New Roman;sans-serif" w:hAnsi="Times New Roman;sans-serif"/>
          <w:b w:val="false"/>
          <w:color w:val="000000"/>
          <w:sz w:val="22"/>
        </w:rPr>
        <w:t>5.5</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Such Grantor will advise the Administrative Agent promptly, in reasonable detail, of: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any Lien (other than Liens permitted under Section 7.3 of the Credit Agreement) on any of the Collateral; and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occurrence of any other event which could reasonably be expected to have a material adverse effect on the aggregate value of the Collateral or on the security interests created hereby. </w:t>
      </w:r>
    </w:p>
    <w:p>
      <w:pPr>
        <w:pStyle w:val="TextBody"/>
        <w:spacing w:lineRule="auto" w:line="288" w:before="0" w:after="180"/>
        <w:ind w:left="0" w:right="0" w:firstLine="720"/>
        <w:jc w:val="both"/>
        <w:rPr/>
      </w:pPr>
      <w:r>
        <w:rPr>
          <w:rFonts w:ascii="Times New Roman;sans-serif" w:hAnsi="Times New Roman;sans-serif"/>
          <w:b w:val="false"/>
          <w:color w:val="000000"/>
          <w:sz w:val="22"/>
        </w:rPr>
        <w:t>5.6</w:t>
      </w:r>
      <w:r>
        <w:rPr>
          <w:rFonts w:ascii="Times New Roman;sans-serif" w:hAnsi="Times New Roman;sans-serif"/>
          <w:b w:val="false"/>
          <w:color w:val="000000"/>
          <w:sz w:val="22"/>
          <w:u w:val="single"/>
        </w:rPr>
        <w:t>Instruments; Investment Property</w:t>
      </w:r>
      <w:r>
        <w:rPr>
          <w:rFonts w:ascii="Times New Roman;sans-serif" w:hAnsi="Times New Roman;sans-serif"/>
          <w:b w:val="false"/>
          <w:color w:val="000000"/>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Upon the request of the Administrative Agent, if any Grantor shall have obtained or otherwise acquired any Instruments, Documents, Chattel Paper and certificated securities with respect to any Investment Property, in each case with a value in excess of $250,000 individually or $750,000 in the aggregate, such Grantor will (i) promptly deliver to the Administrative Agent, or an agent designated by it, appropriately endorsed or accompanied by appropriate instruments of transfer or assignment, all Instruments, Documents, Chattel Paper and certificated securities with respect to any Investment Property held by such Grantor, all letters of credit of such Grantor, and all other Rights to Payment held by such Grantor at any time evidenced by promissory notes, trade acceptances or other instruments, and (ii) provide such notice, obtain such acknowledgments and take all such other action, with respect to any Chattel Paper, Documents and Letter-of-Credit Rights held by such Grantor, as the Administrative Agent shall reasonably specify to perfect a security interest therein. </w:t>
      </w:r>
    </w:p>
    <w:p>
      <w:pPr>
        <w:pStyle w:val="TextBody"/>
        <w:spacing w:lineRule="auto" w:line="276"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such Grantor shall become entitled to receive or shall receive any certificate (including any certificate representing a dividend or a distribution in connection with any reclassification, increase or reduction of capital or any certificate issued in connection with any reorganization), option or rights in respect of the Capital Stock of any Issuer, whether in addition to, in substitution of, as a conversion of, or in exchange for, any Pledged Collateral, or otherwise in respect thereof, such Grantor shall accept the same as the agent of the Administrative Agent and the other Secured Parties, hold the same in trust for the Administrative Agent and the other Secured Parties and deliver the same forthwith to </w:t>
      </w:r>
      <w:r>
        <w:br w:type="page"/>
      </w:r>
    </w:p>
    <w:p>
      <w:pPr>
        <w:pStyle w:val="TextBody"/>
        <w:spacing w:before="0" w:after="0"/>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60655"/>
                <wp:effectExtent l="0" t="0" r="0" b="0"/>
                <wp:wrapNone/>
                <wp:docPr id="453" name="Frame4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276" w:before="0" w:after="180"/>
        <w:jc w:val="both"/>
        <w:rPr/>
      </w:pPr>
      <w:r>
        <w:rPr>
          <w:rFonts w:ascii="Times New Roman;sans-serif" w:hAnsi="Times New Roman;sans-serif"/>
          <w:b w:val="false"/>
          <w:color w:val="000000"/>
          <w:sz w:val="22"/>
        </w:rPr>
        <w:t xml:space="preserve">the Administrative Agent in the exact form received, duly indorsed by such Grantor to the Administrative Agent, if required, together with an undated stock power covering such certificate duly executed in blank by such Grantor and with, if the Administrative Agent so requests, signature guaranteed, to be held by the Administrative Agent, subject to the terms hereof, as additional collateral security for the Secured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no event shall this </w:t>
      </w:r>
      <w:r>
        <w:rPr>
          <w:rFonts w:ascii="Times New Roman;sans-serif" w:hAnsi="Times New Roman;sans-serif"/>
          <w:b w:val="false"/>
          <w:color w:val="000000"/>
          <w:sz w:val="22"/>
          <w:u w:val="single"/>
        </w:rPr>
        <w:t>Section 5.6(b)</w:t>
      </w:r>
      <w:r>
        <w:rPr>
          <w:color w:val="000000"/>
        </w:rPr>
        <w:t xml:space="preserve"> </w:t>
      </w:r>
      <w:r>
        <w:rPr>
          <w:rFonts w:ascii="Times New Roman;sans-serif" w:hAnsi="Times New Roman;sans-serif"/>
          <w:b w:val="false"/>
          <w:color w:val="000000"/>
          <w:sz w:val="22"/>
        </w:rPr>
        <w:t xml:space="preserve">apply to any Excluded Assets. Any sums paid upon or in respect of the Investment Property upon the liquidation or dissolution of any Issuer shall, unless otherwise subject to a perfected security interest in favor of the Administrative Agent (including by way of being deposited in a Deposit Account or Securities Account that is subject to a perfected security interest in favor of the Administrative Agent), be paid over to the Administrative Agent to be held by it hereunder as additional collateral security for the Secured Obligations, and in case any distribution of capital shall be made on or in respect of the Investment Property or any property shall be distributed upon or with respect to the Investment Property pursuant to the recapitalization or reclassification of the capital of any Issuer or pursuant to the reorganization thereof, the property so distributed shall, unless otherwise subject to a perfected security interest in favor of the Administrative Agent (including by way of being deposited in a Deposit Account or Securities Account that is subject to a perfected security interest in favor of the Administrative Agent), be delivered to the Administrative Agent to be held by it hereunder as additional collateral security for the Secured Obligations. If any sums of money or property so paid or distributed in respect of such Investment Property shall be received by such Grantor, such Grantor shall, until such money or property is paid or delivered to the Administrative Agent, unless otherwise subject to a perfected security interest in favor of the Administrative Agent (including by way of being deposited in a Deposit Account or Securities Account that is subject to a perfected security interest in favor of the Administrative Agent), hold such money or property in trust for the Administrative Agent and the other Secured Parties, segregated from other funds of such Grantor, as additional collateral security for the Secured Obligations. </w:t>
      </w:r>
    </w:p>
    <w:p>
      <w:pPr>
        <w:pStyle w:val="TextBody"/>
        <w:spacing w:lineRule="auto" w:line="276"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 the case of any Grantor which is an Issuer, such Issuer agrees that (i) it will be bound by the terms of this Agreement relating to the Capital Stock issued by it that constitutes Collateral and will comply with such terms insofar as such terms are applicable to it, (ii) it will notify the Administrative Agent promptly (to the extent any action would be required to be taken in response to such events under Sections 5.6(a) and (b)) in writing of the occurrence of any of the events described in </w:t>
      </w:r>
      <w:r>
        <w:rPr>
          <w:rFonts w:ascii="Times New Roman;sans-serif" w:hAnsi="Times New Roman;sans-serif"/>
          <w:b w:val="false"/>
          <w:color w:val="000000"/>
          <w:sz w:val="22"/>
          <w:u w:val="single"/>
        </w:rPr>
        <w:t>Section 5.6(a)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with respect to the Pledged Collateral issued by it and (iii) the terms of </w:t>
      </w:r>
      <w:r>
        <w:rPr>
          <w:rFonts w:ascii="Times New Roman;sans-serif" w:hAnsi="Times New Roman;sans-serif"/>
          <w:b w:val="false"/>
          <w:color w:val="000000"/>
          <w:sz w:val="22"/>
          <w:u w:val="single"/>
        </w:rPr>
        <w:t>Sections 6.3(c)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6.7</w:t>
      </w:r>
      <w:r>
        <w:rPr>
          <w:color w:val="000000"/>
        </w:rPr>
        <w:t xml:space="preserve"> </w:t>
      </w:r>
      <w:r>
        <w:rPr>
          <w:rFonts w:ascii="Times New Roman;sans-serif" w:hAnsi="Times New Roman;sans-serif"/>
          <w:b w:val="false"/>
          <w:color w:val="000000"/>
          <w:sz w:val="22"/>
        </w:rPr>
        <w:t xml:space="preserve">shall apply to it,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with respect to all actions that may be required of it pursuant to </w:t>
      </w:r>
      <w:r>
        <w:rPr>
          <w:rFonts w:ascii="Times New Roman;sans-serif" w:hAnsi="Times New Roman;sans-serif"/>
          <w:b w:val="false"/>
          <w:color w:val="000000"/>
          <w:sz w:val="22"/>
          <w:u w:val="single"/>
        </w:rPr>
        <w:t>Section 6.3(c)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6.7</w:t>
      </w:r>
      <w:r>
        <w:rPr>
          <w:color w:val="000000"/>
        </w:rPr>
        <w:t xml:space="preserve"> </w:t>
      </w:r>
      <w:r>
        <w:rPr>
          <w:rFonts w:ascii="Times New Roman;sans-serif" w:hAnsi="Times New Roman;sans-serif"/>
          <w:b w:val="false"/>
          <w:color w:val="000000"/>
          <w:sz w:val="22"/>
        </w:rPr>
        <w:t xml:space="preserve">with respect to the Capital Stock issued by it that constitutes Collateral. </w:t>
      </w:r>
    </w:p>
    <w:p>
      <w:pPr>
        <w:pStyle w:val="TextBody"/>
        <w:spacing w:lineRule="auto" w:line="276" w:before="0" w:after="180"/>
        <w:ind w:left="0" w:right="0" w:firstLine="720"/>
        <w:jc w:val="both"/>
        <w:rPr/>
      </w:pPr>
      <w:r>
        <w:rPr>
          <w:rFonts w:ascii="Times New Roman;sans-serif" w:hAnsi="Times New Roman;sans-serif"/>
          <w:b w:val="false"/>
          <w:color w:val="000000"/>
          <w:sz w:val="22"/>
        </w:rPr>
        <w:t>5.7</w:t>
      </w:r>
      <w:r>
        <w:rPr>
          <w:rFonts w:ascii="Times New Roman;sans-serif" w:hAnsi="Times New Roman;sans-serif"/>
          <w:b w:val="false"/>
          <w:color w:val="000000"/>
          <w:sz w:val="22"/>
          <w:u w:val="single"/>
        </w:rPr>
        <w:t>Securities Accounts; Deposit Accounts</w:t>
      </w:r>
      <w:r>
        <w:rPr>
          <w:rFonts w:ascii="Times New Roman;sans-serif" w:hAnsi="Times New Roman;sans-serif"/>
          <w:b w:val="false"/>
          <w:color w:val="000000"/>
          <w:sz w:val="22"/>
        </w:rPr>
        <w:t xml:space="preserve">. </w:t>
      </w:r>
    </w:p>
    <w:p>
      <w:pPr>
        <w:pStyle w:val="TextBody"/>
        <w:spacing w:lineRule="auto" w:line="276"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With respect to any Securities Account, such Grantor shall (i) cause any applicable securities intermediary maintaining such Securities Account to show on its books that the Administrative Agent is the entitlement holder with respect to such Securities Account, and, (ii) cause such securities intermediary to enter into an agreement in form and substance satisfactory to the Administrative Agent with respect to such Securities Account pursuant to which such securities intermediary shall agree to comply with the Administrative Agent’s “entitlement orders” without further consent by such Grantor; and </w:t>
      </w:r>
    </w:p>
    <w:p>
      <w:pPr>
        <w:pStyle w:val="TextBody"/>
        <w:spacing w:lineRule="auto" w:line="276"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 respect to any Deposit Account, such Grantor shall enter into and shall cause the depositary institution maintaining such account to enter into an agreement in form and substance reasonably satisfactory to the Administrative Agent pursuant to which the Administrative Agent shall be granted “control” (within the meaning of Section 9104 of the UCC) over such Deposit Account. </w:t>
      </w:r>
    </w:p>
    <w:p>
      <w:pPr>
        <w:pStyle w:val="TextBody"/>
        <w:spacing w:lineRule="auto" w:line="276"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Administrative Agent agrees that it will only communicate “entitlement orders” or “notices of exclusive control” or similar instructions with respect to the Deposit Accounts and </w:t>
      </w:r>
      <w:r>
        <w:br w:type="page"/>
      </w:r>
    </w:p>
    <w:p>
      <w:pPr>
        <w:pStyle w:val="TextBody"/>
        <w:spacing w:before="0" w:after="0"/>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60655"/>
                <wp:effectExtent l="0" t="0" r="0" b="0"/>
                <wp:wrapNone/>
                <wp:docPr id="454" name="Frame4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lineRule="auto" w:line="276"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Securities Accounts of the Grantors after the occurrence and during the continuance of an Event of Default. </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Such Grantor shall give the Administrative Agent immediate notice of the establishment of any new Deposit Account and of any new Securities Account established by such Grantor. </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avoidance of doubt, this Section 5.7 shall not apply to any Excluded Accounts. </w:t>
      </w:r>
    </w:p>
    <w:p>
      <w:pPr>
        <w:pStyle w:val="TextBody"/>
        <w:spacing w:lineRule="auto" w:line="288" w:before="0" w:after="180"/>
        <w:ind w:left="0" w:right="0" w:firstLine="720"/>
        <w:rPr/>
      </w:pPr>
      <w:r>
        <w:rPr>
          <w:rFonts w:ascii="Times New Roman;sans-serif" w:hAnsi="Times New Roman;sans-serif"/>
          <w:b w:val="false"/>
          <w:color w:val="000000"/>
          <w:sz w:val="22"/>
        </w:rPr>
        <w:t>5.8</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xml:space="preserve">. In each case, unless it is permitted by the Credit Agreement to do otherwise: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Such Grantor will, and will use commercially reasonable efforts to cause its licensees to, (i) continue to use each material Trademark in order to maintain such material Trademark in full force free from any claim of abandonment for non-use, (ii) maintain as in the past the quality of products and services offered under each such material Trademark, (iii) use each such material Trademark with the appropriate notice of registration and all other notices and legends required by applicable Requirements of Law, and (iv) not (and not knowingly permit any licensee or sublicensee thereof to) do any act or knowingly omit to do any act whereby any such material Trademark may become invalidated or impaired in any way.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Such Grantor will, and will use commercially reasonable efforts to cause its licensees to, not knowingly do any act, or omit to do any act, whereby any material Patent owned by such Grantor would reasonably be expected to become forfeited, abandoned or dedicated to the public. </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Such Grantor will not (and will use commercially reasonable efforts to not permit any licensee or sublicensee thereof to) do any act or knowingly omit to do any act whereby any such material Copyrights may become invalidated or otherwise materially impaired. Such Grantor will not knowingly do any act whereby any material portion of such Copyrights would reasonably be expected to fall into the public domain. </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Such Grantor will, and will use commercially reasonable efforts to cause its licensees to, not do any act that knowingly uses any material Intellectual Property to infringe the intellectual property rights of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Such Grantor will notify the Administrative Agent promptly if it knows that any application or registration relating to any material registered Intellectual Property may become forfeited, abandoned or dedicated to the public, or of any material adverse determination or development (including, without limitation, the institution of, or any such determination or development in, any proceeding in the United States Patent and Trademark Office, the United States Copyright Office or any court or tribunal in any country, but excluding typical communications in the ordinary course or prosecution, such as office actions and the like)) regarding such Grantor’s ownership of, or the validity of, any material registered Intellectual Property or such Grantor’s right to register the same or to own and maintain the same. </w:t>
      </w:r>
    </w:p>
    <w:p>
      <w:pPr>
        <w:pStyle w:val="TextBody"/>
        <w:spacing w:lineRule="auto" w:line="288" w:before="0" w:after="18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Whenever such Grantor, either by itself or through any agent, employee, licensee or designee, shall file an application for the registration of any Patent or Trademark with the United States Patent and Trademark Office or any similar office or agency in any other country or political subdivision thereof, such Grantor shall report (i) the initial application to and (ii) the corresponding grant, if any, of the Patent or Trademark from the United States Patent and Trademark Office to the Administrative Agent at the times specified in Section 6.2(b) of the Credit Agreement. Whenever such Grantor, either by itself or through any agent, employee, licensee or designee, shall file an application for the registration of any </w:t>
      </w:r>
      <w:r>
        <w:br w:type="page"/>
      </w:r>
    </w:p>
    <w:p>
      <w:pPr>
        <w:pStyle w:val="TextBody"/>
        <w:spacing w:before="0" w:after="0"/>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60655"/>
                <wp:effectExtent l="0" t="0" r="0" b="0"/>
                <wp:wrapNone/>
                <wp:docPr id="455" name="Frame4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Copyright with the United States Copyright Office, such Grantor shall report the filing of the initial application to the Administrative Agent at the times specified in Section 6.2(b) of the Credit Agreement. Upon request of the Administrative Agent, other than in respect of intent-to-use trademark or service mark applications, such Grantor shall execute and deliver, and have recorded, any and all agreements, instruments, documents, and papers as the Administrative Agent may reasonably request to evidence the Administrative Agent’s and the other Secured Parties’ security interest in any Copyright, Patent or Trademark and the goodwill and general intangibles of such Grantor relating thereto or represented thereby. </w:t>
      </w:r>
    </w:p>
    <w:p>
      <w:pPr>
        <w:pStyle w:val="TextBody"/>
        <w:spacing w:lineRule="auto" w:line="288" w:before="0" w:after="18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Such Grantor will take all reasonable and necessary steps that it reasonably deems appropriate under the circumstances, including, without limitation, in any proceeding before the United States Patent and Trademark Office, the United States Copyright Office or any similar office or agency in any other country, to maintain and pursue each material application filed by or on behalf of such Grantor (and to obtain the relevant registration) and to maintain each corresponding registration of the material United States Intellectual Property of such Grantor, including filing of applications for renewal, affidavits of use and affidavits of incontestability. </w:t>
      </w:r>
    </w:p>
    <w:p>
      <w:pPr>
        <w:pStyle w:val="TextBody"/>
        <w:spacing w:lineRule="auto" w:line="288" w:before="0" w:after="18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In the event that Grantor becomes aware that any material Intellectual Property of such Grantor is infringed or misappropriated or diluted by a third party, such Grantor shall take such actions as such Grantor shall reasonably deem appropriate under the circumstances to protect such Intellectual Property.</w:t>
      </w:r>
    </w:p>
    <w:p>
      <w:pPr>
        <w:pStyle w:val="TextBody"/>
        <w:spacing w:lineRule="auto" w:line="288" w:before="0" w:after="18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Notwithstanding the foregoing, any Grantor may refrain from taking, or shall be permitted to take, as the case may be, any actions otherwise prohibited or required this Section 5.8 with respect to Intellectual Property that it determines in its reasonable business judgment not to be commercially desirable or useful to the business of the Borrower and its subsidiaries, taken as a whole, or worth protecting or maintaining (including without limitation by abandoning, failing to defend or maintain or causing any such Intellectual Property to become unenforceable, abandoned, invalidated or publicly available). </w:t>
      </w:r>
    </w:p>
    <w:p>
      <w:pPr>
        <w:pStyle w:val="TextBody"/>
        <w:spacing w:lineRule="auto" w:line="288" w:before="0" w:after="180"/>
        <w:ind w:left="0" w:right="0" w:firstLine="720"/>
        <w:jc w:val="both"/>
        <w:rPr/>
      </w:pPr>
      <w:r>
        <w:rPr>
          <w:rFonts w:ascii="Times New Roman;sans-serif" w:hAnsi="Times New Roman;sans-serif"/>
          <w:b w:val="false"/>
          <w:color w:val="000000"/>
          <w:sz w:val="22"/>
        </w:rPr>
        <w:t>5.9</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5.10</w:t>
      </w:r>
      <w:r>
        <w:rPr>
          <w:rFonts w:ascii="Times New Roman;sans-serif" w:hAnsi="Times New Roman;sans-serif"/>
          <w:b w:val="false"/>
          <w:color w:val="000000"/>
          <w:sz w:val="22"/>
          <w:u w:val="single"/>
        </w:rPr>
        <w:t>Defense of Collateral</w:t>
      </w:r>
      <w:r>
        <w:rPr>
          <w:rFonts w:ascii="Times New Roman;sans-serif" w:hAnsi="Times New Roman;sans-serif"/>
          <w:b w:val="false"/>
          <w:color w:val="000000"/>
          <w:sz w:val="22"/>
        </w:rPr>
        <w:t xml:space="preserve">. Consistent with its reasonable business judgment, Grantors will use commercially reasonable efforts to appear in and defend any action, suit or proceeding which may affect to a material extent its title to, or right or interest in, or the Administrative Agent’s right or interest in, any material portion of the Collateral. </w:t>
      </w:r>
    </w:p>
    <w:p>
      <w:pPr>
        <w:pStyle w:val="TextBody"/>
        <w:spacing w:lineRule="auto" w:line="288" w:before="0" w:after="180"/>
        <w:ind w:left="0" w:right="0" w:firstLine="720"/>
        <w:jc w:val="both"/>
        <w:rPr/>
      </w:pPr>
      <w:r>
        <w:rPr>
          <w:rFonts w:ascii="Times New Roman;sans-serif" w:hAnsi="Times New Roman;sans-serif"/>
          <w:b w:val="false"/>
          <w:color w:val="000000"/>
          <w:sz w:val="22"/>
        </w:rPr>
        <w:t>5.11</w:t>
      </w:r>
      <w:r>
        <w:rPr>
          <w:rFonts w:ascii="Times New Roman;sans-serif" w:hAnsi="Times New Roman;sans-serif"/>
          <w:b w:val="false"/>
          <w:color w:val="000000"/>
          <w:sz w:val="22"/>
          <w:u w:val="single"/>
        </w:rPr>
        <w:t>Preservation of Collateral</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5.8</w:t>
      </w:r>
      <w:r>
        <w:rPr>
          <w:rFonts w:ascii="Times New Roman;sans-serif" w:hAnsi="Times New Roman;sans-serif"/>
          <w:b w:val="false"/>
          <w:color w:val="000000"/>
          <w:sz w:val="22"/>
        </w:rPr>
        <w:t xml:space="preserve">, and except as otherwise permitted by the Credit Agreement, Grantors will do and perform all reasonable acts that may be necessary and appropriate to maintain, preserve and protect the Collateral. </w:t>
      </w:r>
    </w:p>
    <w:p>
      <w:pPr>
        <w:pStyle w:val="TextBody"/>
        <w:spacing w:lineRule="auto" w:line="288" w:before="0" w:after="180"/>
        <w:ind w:left="0" w:right="0" w:firstLine="720"/>
        <w:jc w:val="both"/>
        <w:rPr/>
      </w:pPr>
      <w:r>
        <w:rPr>
          <w:rFonts w:ascii="Times New Roman;sans-serif" w:hAnsi="Times New Roman;sans-serif"/>
          <w:b w:val="false"/>
          <w:color w:val="000000"/>
          <w:sz w:val="22"/>
        </w:rPr>
        <w:t>5.12</w:t>
      </w:r>
      <w:r>
        <w:rPr>
          <w:rFonts w:ascii="Times New Roman;sans-serif" w:hAnsi="Times New Roman;sans-serif"/>
          <w:b w:val="false"/>
          <w:color w:val="000000"/>
          <w:sz w:val="22"/>
          <w:u w:val="single"/>
        </w:rPr>
        <w:t>Compliance with Laws, Etc</w:t>
      </w:r>
      <w:r>
        <w:rPr>
          <w:rFonts w:ascii="Times New Roman;sans-serif" w:hAnsi="Times New Roman;sans-serif"/>
          <w:b w:val="false"/>
          <w:color w:val="000000"/>
          <w:sz w:val="22"/>
        </w:rPr>
        <w:t xml:space="preserve">. Such Grantor will comply in all material respects with all laws, regulations and ordinances, and all policies of insurance, relating in a material way to the possession, operation, maintenance and control of the Collateral, except where the failure to so comply therewith, either individually or in the aggregate, would not reasonably be expected to result in a Material Adverse Effect. </w:t>
      </w:r>
    </w:p>
    <w:p>
      <w:pPr>
        <w:pStyle w:val="TextBody"/>
        <w:spacing w:lineRule="auto" w:line="288" w:before="0" w:after="180"/>
        <w:ind w:left="0" w:right="0" w:firstLine="720"/>
        <w:jc w:val="both"/>
        <w:rPr/>
      </w:pPr>
      <w:r>
        <w:rPr>
          <w:rFonts w:ascii="Times New Roman;sans-serif" w:hAnsi="Times New Roman;sans-serif"/>
          <w:b w:val="false"/>
          <w:color w:val="000000"/>
          <w:sz w:val="22"/>
        </w:rPr>
        <w:t>5.13</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5.14</w:t>
      </w:r>
      <w:r>
        <w:rPr>
          <w:rFonts w:ascii="Times New Roman;sans-serif" w:hAnsi="Times New Roman;sans-serif"/>
          <w:b w:val="false"/>
          <w:color w:val="000000"/>
          <w:sz w:val="22"/>
          <w:u w:val="single"/>
        </w:rPr>
        <w:t>Location of Collateral</w:t>
      </w:r>
      <w:r>
        <w:rPr>
          <w:rFonts w:ascii="Times New Roman;sans-serif" w:hAnsi="Times New Roman;sans-serif"/>
          <w:b w:val="false"/>
          <w:color w:val="000000"/>
          <w:sz w:val="22"/>
        </w:rPr>
        <w:t xml:space="preserve">. Except as permitted under Section 5.4 above, such Grantor will keep all material Collateral held by such Grantor at the locations set forth in </w:t>
      </w:r>
      <w:r>
        <w:rPr>
          <w:rFonts w:ascii="Times New Roman;sans-serif" w:hAnsi="Times New Roman;sans-serif"/>
          <w:b w:val="false"/>
          <w:color w:val="000000"/>
          <w:sz w:val="22"/>
          <w:u w:val="single"/>
        </w:rPr>
        <w:t>Schedule 5</w:t>
      </w:r>
      <w:r>
        <w:rPr>
          <w:color w:val="000000"/>
        </w:rPr>
        <w:t xml:space="preserve"> </w:t>
      </w:r>
      <w:r>
        <w:rPr>
          <w:rFonts w:ascii="Times New Roman;sans-serif" w:hAnsi="Times New Roman;sans-serif"/>
          <w:b w:val="false"/>
          <w:color w:val="000000"/>
          <w:sz w:val="22"/>
        </w:rPr>
        <w:t xml:space="preserve">or at such other locations as may be disclosed in writing to the Administrative Agent and will not remove any such </w:t>
      </w:r>
      <w:r>
        <w:br w:type="page"/>
      </w:r>
    </w:p>
    <w:p>
      <w:pPr>
        <w:pStyle w:val="TextBody"/>
        <w:spacing w:before="0" w:after="0"/>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60655"/>
                <wp:effectExtent l="0" t="0" r="0" b="0"/>
                <wp:wrapNone/>
                <wp:docPr id="456" name="Frame4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Collateral from such locations (other than in connection with sales of Inventory in the ordinary course of such Grantor’s business, the movement of Collateral as part of such Grantor’s supply chain and in the ordinary course of such Grantor’s business, other dispositions permitted by Section 7.5 of the Credit Agreement and movements of Collateral from one disclosed location to another disclosed location within the United States). Notwithstanding any other provision of this Agreement, no Grantor will in any event remove any Collateral located in England and Wales where such Collateral is real estate, shares securities or intellectual property. </w:t>
      </w:r>
    </w:p>
    <w:p>
      <w:pPr>
        <w:pStyle w:val="TextBody"/>
        <w:spacing w:lineRule="auto" w:line="288" w:before="0" w:after="180"/>
        <w:ind w:left="0" w:right="0" w:firstLine="720"/>
        <w:jc w:val="both"/>
        <w:rPr/>
      </w:pPr>
      <w:r>
        <w:rPr>
          <w:rFonts w:ascii="Times New Roman;sans-serif" w:hAnsi="Times New Roman;sans-serif"/>
          <w:b w:val="false"/>
          <w:color w:val="000000"/>
          <w:sz w:val="22"/>
        </w:rPr>
        <w:t>5.15</w:t>
      </w:r>
      <w:r>
        <w:rPr>
          <w:rFonts w:ascii="Times New Roman;sans-serif" w:hAnsi="Times New Roman;sans-serif"/>
          <w:b w:val="false"/>
          <w:color w:val="000000"/>
          <w:sz w:val="22"/>
          <w:u w:val="single"/>
        </w:rPr>
        <w:t>Maintenance of Records</w:t>
      </w:r>
      <w:r>
        <w:rPr>
          <w:rFonts w:ascii="Times New Roman;sans-serif" w:hAnsi="Times New Roman;sans-serif"/>
          <w:b w:val="false"/>
          <w:color w:val="000000"/>
          <w:sz w:val="22"/>
        </w:rPr>
        <w:t xml:space="preserve">. Such Grantor will keep accurate and complete Books with respect to Collateral held by such Grantor, disclosing the Administrative Agent’s security interest hereunder. </w:t>
      </w:r>
    </w:p>
    <w:p>
      <w:pPr>
        <w:pStyle w:val="TextBody"/>
        <w:spacing w:lineRule="auto" w:line="288" w:before="0" w:after="180"/>
        <w:ind w:left="0" w:right="0" w:firstLine="720"/>
        <w:jc w:val="both"/>
        <w:rPr/>
      </w:pPr>
      <w:r>
        <w:rPr>
          <w:rFonts w:ascii="Times New Roman;sans-serif" w:hAnsi="Times New Roman;sans-serif"/>
          <w:b w:val="false"/>
          <w:color w:val="000000"/>
          <w:sz w:val="22"/>
        </w:rPr>
        <w:t>5.16</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5.17</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xml:space="preserve">. Such Grantor will keep the Collateral held by such Grantor free of all Liens except Liens permitted under Section 7.3 of the Credit Agreement. </w:t>
      </w:r>
    </w:p>
    <w:p>
      <w:pPr>
        <w:pStyle w:val="TextBody"/>
        <w:spacing w:lineRule="auto" w:line="288" w:before="0" w:after="180"/>
        <w:ind w:left="0" w:right="0" w:firstLine="720"/>
        <w:jc w:val="both"/>
        <w:rPr/>
      </w:pPr>
      <w:r>
        <w:rPr>
          <w:rFonts w:ascii="Times New Roman;sans-serif" w:hAnsi="Times New Roman;sans-serif"/>
          <w:b w:val="false"/>
          <w:color w:val="000000"/>
          <w:sz w:val="22"/>
        </w:rPr>
        <w:t>5.18</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xml:space="preserve">. Such Grantor will pay all expenses of protecting, storing, warehousing, insuring, handling and shipping the Collateral held by such Grantor, to the extent the failure to pay any such expenses could reasonably be expected to materially and adversely affect the value of the Collateral. </w:t>
      </w:r>
    </w:p>
    <w:p>
      <w:pPr>
        <w:pStyle w:val="TextBody"/>
        <w:spacing w:lineRule="auto" w:line="288" w:before="0" w:after="180"/>
        <w:ind w:left="0" w:right="0" w:firstLine="720"/>
        <w:jc w:val="both"/>
        <w:rPr/>
      </w:pPr>
      <w:r>
        <w:rPr>
          <w:rFonts w:ascii="Times New Roman;sans-serif" w:hAnsi="Times New Roman;sans-serif"/>
          <w:b w:val="false"/>
          <w:color w:val="000000"/>
          <w:sz w:val="22"/>
        </w:rPr>
        <w:t>5.19</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5.20</w:t>
      </w:r>
      <w:r>
        <w:rPr>
          <w:rFonts w:ascii="Times New Roman;sans-serif" w:hAnsi="Times New Roman;sans-serif"/>
          <w:b w:val="false"/>
          <w:color w:val="000000"/>
          <w:sz w:val="22"/>
          <w:u w:val="single"/>
        </w:rPr>
        <w:t>Chattel Paper</w:t>
      </w:r>
      <w:r>
        <w:rPr>
          <w:rFonts w:ascii="Times New Roman;sans-serif" w:hAnsi="Times New Roman;sans-serif"/>
          <w:b w:val="false"/>
          <w:color w:val="000000"/>
          <w:sz w:val="22"/>
        </w:rPr>
        <w:t xml:space="preserve">. Such Grantor will not create any Chattel Paper with a face amount in excess of $250,000 without placing a legend on such Chattel Paper acceptable to the Administrative Agent indicating that the Administrative Agent has a security interest in such Chattel Paper. Such Grantor will give the Administrative Agent immediate notice if such Grantor at any time holds or acquires an interest in any Chattel Paper with a face amount in excess of $500,000, including any Electronic Chattel Paper and shall comply, in all respects, with the provisions of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hereof. </w:t>
      </w:r>
    </w:p>
    <w:p>
      <w:pPr>
        <w:pStyle w:val="TextBody"/>
        <w:spacing w:lineRule="auto" w:line="288" w:before="0" w:after="180"/>
        <w:ind w:left="0" w:right="0" w:firstLine="720"/>
        <w:jc w:val="both"/>
        <w:rPr/>
      </w:pPr>
      <w:r>
        <w:rPr>
          <w:rFonts w:ascii="Times New Roman;sans-serif" w:hAnsi="Times New Roman;sans-serif"/>
          <w:b w:val="false"/>
          <w:color w:val="000000"/>
          <w:sz w:val="22"/>
        </w:rPr>
        <w:t>5.21</w:t>
      </w:r>
      <w:r>
        <w:rPr>
          <w:rFonts w:ascii="Times New Roman;sans-serif" w:hAnsi="Times New Roman;sans-serif"/>
          <w:b w:val="false"/>
          <w:color w:val="000000"/>
          <w:sz w:val="22"/>
          <w:u w:val="single"/>
        </w:rPr>
        <w:t>Commercial Tort Claims</w:t>
      </w:r>
      <w:r>
        <w:rPr>
          <w:rFonts w:ascii="Times New Roman;sans-serif" w:hAnsi="Times New Roman;sans-serif"/>
          <w:b w:val="false"/>
          <w:color w:val="000000"/>
          <w:sz w:val="22"/>
        </w:rPr>
        <w:t xml:space="preserve">. Such Grantor will give the Administrative Agent prompt notice (but in any event, with three (3) Business days after acquisition) if such Grantor shall at any time hold or acquire any Commercial Tort Claim with a potential value in excess of $500,000. </w:t>
      </w:r>
    </w:p>
    <w:p>
      <w:pPr>
        <w:pStyle w:val="TextBody"/>
        <w:spacing w:lineRule="auto" w:line="288" w:before="0" w:after="180"/>
        <w:ind w:left="0" w:right="0" w:firstLine="720"/>
        <w:jc w:val="both"/>
        <w:rPr/>
      </w:pPr>
      <w:r>
        <w:rPr>
          <w:rFonts w:ascii="Times New Roman;sans-serif" w:hAnsi="Times New Roman;sans-serif"/>
          <w:b w:val="false"/>
          <w:color w:val="000000"/>
          <w:sz w:val="22"/>
        </w:rPr>
        <w:t>5.22</w:t>
      </w:r>
      <w:r>
        <w:rPr>
          <w:rFonts w:ascii="Times New Roman;sans-serif" w:hAnsi="Times New Roman;sans-serif"/>
          <w:b w:val="false"/>
          <w:color w:val="000000"/>
          <w:sz w:val="22"/>
          <w:u w:val="single"/>
        </w:rPr>
        <w:t>Letter-of-Credit Rights</w:t>
      </w:r>
      <w:r>
        <w:rPr>
          <w:rFonts w:ascii="Times New Roman;sans-serif" w:hAnsi="Times New Roman;sans-serif"/>
          <w:b w:val="false"/>
          <w:color w:val="000000"/>
          <w:sz w:val="22"/>
        </w:rPr>
        <w:t xml:space="preserve">. Such Grantor will give the Administrative Agent prompt notice if such Grantor shall at any time hold or acquire any Letter-of-Credit Rights with a potential value in excess of $500,000. </w:t>
      </w:r>
    </w:p>
    <w:p>
      <w:pPr>
        <w:pStyle w:val="TextBody"/>
        <w:spacing w:lineRule="auto" w:line="288" w:before="0" w:after="180"/>
        <w:ind w:left="0" w:right="0" w:firstLine="720"/>
        <w:jc w:val="both"/>
        <w:rPr/>
      </w:pPr>
      <w:r>
        <w:rPr>
          <w:rFonts w:ascii="Times New Roman;sans-serif" w:hAnsi="Times New Roman;sans-serif"/>
          <w:b w:val="false"/>
          <w:color w:val="000000"/>
          <w:sz w:val="22"/>
        </w:rPr>
        <w:t>5.23</w:t>
      </w:r>
      <w:r>
        <w:rPr>
          <w:rFonts w:ascii="Times New Roman;sans-serif" w:hAnsi="Times New Roman;sans-serif"/>
          <w:b w:val="false"/>
          <w:color w:val="000000"/>
          <w:sz w:val="22"/>
          <w:u w:val="single"/>
        </w:rPr>
        <w:t>Shareholder Agreements and Other Agreements</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Such Grantor shall comply with all of its obligations under any shareholders agreement, operating agreement, partnership agreement, voting trust, proxy agreement or other written agreement or written understanding (collectively, the </w:t>
      </w:r>
      <w:r>
        <w:rPr>
          <w:color w:val="111111"/>
        </w:rPr>
        <w:t>“</w:t>
      </w:r>
      <w:r>
        <w:rPr>
          <w:rFonts w:ascii="Times New Roman;sans-serif" w:hAnsi="Times New Roman;sans-serif"/>
          <w:b/>
          <w:i/>
          <w:color w:val="000000"/>
          <w:sz w:val="22"/>
        </w:rPr>
        <w:t>Pledged Collateral Agreements”</w:t>
      </w:r>
      <w:r>
        <w:rPr>
          <w:rFonts w:ascii="Times New Roman;sans-serif" w:hAnsi="Times New Roman;sans-serif"/>
          <w:b w:val="false"/>
          <w:color w:val="000000"/>
          <w:sz w:val="22"/>
        </w:rPr>
        <w:t xml:space="preserve">) to which it is a party and shall enforce all of its rights thereunder, except, with respect to any such Pledged Collateral Agreement relating to any Pledged Collateral issued by a Person other than a Subsidiary of a Grantor, to the extent the failure to enforce any such rights could not reasonably be expected to materially and adversely affect the value of the material Pledged Collateral to which any such Pledged Collateral Agreement relates.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Such Grantor agrees that no Pledged Stock (i) shall be dealt in or traded on any securities exchange or in any securities market, (ii) shall constitute an investment company security, or (iii) shall be held by such Grantor in a Securities Account. </w:t>
      </w:r>
      <w:r>
        <w:br w:type="page"/>
      </w:r>
    </w:p>
    <w:p>
      <w:pPr>
        <w:pStyle w:val="TextBody"/>
        <w:spacing w:before="0" w:after="0"/>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60655"/>
                <wp:effectExtent l="0" t="0" r="0" b="0"/>
                <wp:wrapNone/>
                <wp:docPr id="457" name="Frame4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Subject to the terms and conditions of the Credit Agreement, including </w:t>
      </w:r>
      <w:r>
        <w:rPr>
          <w:rFonts w:ascii="Times New Roman;sans-serif" w:hAnsi="Times New Roman;sans-serif"/>
          <w:b w:val="false"/>
          <w:color w:val="000000"/>
          <w:sz w:val="22"/>
          <w:u w:val="single"/>
        </w:rPr>
        <w:t>Sections 7.3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7.5</w:t>
      </w:r>
      <w:r>
        <w:rPr>
          <w:color w:val="000000"/>
        </w:rPr>
        <w:t xml:space="preserve"> </w:t>
      </w:r>
      <w:r>
        <w:rPr>
          <w:rFonts w:ascii="Times New Roman;sans-serif" w:hAnsi="Times New Roman;sans-serif"/>
          <w:b w:val="false"/>
          <w:color w:val="000000"/>
          <w:sz w:val="22"/>
        </w:rPr>
        <w:t>thereof, such Grantor shall not vote to enable or take any other action to amend or terminate, or waive compliance with any of the terms of, any such Pledged Collateral Agreement, certificate or articles of incorporation, bylaws or other organizational documents in any way that materially and adversely affects the validity, perfection or priority of the Administrative Agent’s security interest therein.</w:t>
      </w:r>
    </w:p>
    <w:p>
      <w:pPr>
        <w:pStyle w:val="TextBody"/>
        <w:spacing w:lineRule="auto" w:line="288" w:before="0" w:after="180"/>
        <w:ind w:left="0" w:right="0" w:firstLine="720"/>
        <w:jc w:val="both"/>
        <w:rPr/>
      </w:pPr>
      <w:r>
        <w:rPr>
          <w:rFonts w:ascii="Times New Roman;sans-serif" w:hAnsi="Times New Roman;sans-serif"/>
          <w:b w:val="false"/>
          <w:color w:val="000000"/>
          <w:sz w:val="22"/>
        </w:rPr>
        <w:t>5.24</w:t>
      </w:r>
      <w:r>
        <w:rPr>
          <w:rFonts w:ascii="Times New Roman;sans-serif" w:hAnsi="Times New Roman;sans-serif"/>
          <w:b w:val="false"/>
          <w:color w:val="000000"/>
          <w:sz w:val="22"/>
          <w:u w:val="single"/>
        </w:rPr>
        <w:t>Government Receivables</w:t>
      </w:r>
      <w:r>
        <w:rPr>
          <w:rFonts w:ascii="Times New Roman;sans-serif" w:hAnsi="Times New Roman;sans-serif"/>
          <w:b w:val="false"/>
          <w:color w:val="000000"/>
          <w:sz w:val="22"/>
        </w:rPr>
        <w:t>. Such Grantor will notify the Administrative Agent on a quarterly basis of any Accounts in excess of $500,000 in the aggregate in which the Account Debtor is a United States government entity or any department, agency or instrumentality thereof, and, if reasonably requested by the Administrative Agent upon the occurrence of and during the continuance of a Default, Grantors shall submit the documentation required under the Assignment of Claims Act to the government of the United States seeking approval of the novation or assignment of each contract relating to such Accounts and deliver to the Administrative Agent such documentation reasonably necessary to comply with the Assignment of Claims Act with respect to the assignment of the right of payment in respect of all contracts relating to such Accounts.</w:t>
      </w:r>
    </w:p>
    <w:p>
      <w:pPr>
        <w:pStyle w:val="TextBody"/>
        <w:spacing w:lineRule="auto" w:line="288" w:before="0" w:after="180"/>
        <w:jc w:val="center"/>
        <w:rPr/>
      </w:pPr>
      <w:r>
        <w:rPr>
          <w:rFonts w:ascii="Times New Roman;sans-serif" w:hAnsi="Times New Roman;sans-serif"/>
          <w:b w:val="false"/>
          <w:color w:val="111111"/>
          <w:sz w:val="22"/>
        </w:rPr>
        <w:t>SECTION 6.</w:t>
      </w:r>
      <w:r>
        <w:rPr>
          <w:rFonts w:ascii="Times New Roman;sans-serif" w:hAnsi="Times New Roman;sans-serif"/>
          <w:b w:val="false"/>
          <w:color w:val="000000"/>
          <w:sz w:val="22"/>
        </w:rPr>
        <w:t xml:space="preserve">REMEDIAL PROVISIONS </w:t>
      </w:r>
    </w:p>
    <w:p>
      <w:pPr>
        <w:pStyle w:val="TextBody"/>
        <w:spacing w:lineRule="auto" w:line="288"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Grantor covenants and agrees with the Administrative Agent and the other Secured Parties that, from and after the date of this Agreement until the Discharge of Obligations: </w:t>
      </w:r>
    </w:p>
    <w:p>
      <w:pPr>
        <w:pStyle w:val="TextBody"/>
        <w:spacing w:lineRule="auto" w:line="288" w:before="0" w:after="180"/>
        <w:ind w:left="0" w:right="0" w:firstLine="720"/>
        <w:jc w:val="both"/>
        <w:rPr/>
      </w:pPr>
      <w:r>
        <w:rPr>
          <w:rFonts w:ascii="Times New Roman;sans-serif" w:hAnsi="Times New Roman;sans-serif"/>
          <w:b w:val="false"/>
          <w:color w:val="000000"/>
          <w:sz w:val="22"/>
        </w:rPr>
        <w:t>6.1</w:t>
      </w:r>
      <w:r>
        <w:rPr>
          <w:rFonts w:ascii="Times New Roman;sans-serif" w:hAnsi="Times New Roman;sans-serif"/>
          <w:b w:val="false"/>
          <w:color w:val="000000"/>
          <w:sz w:val="22"/>
          <w:u w:val="single"/>
        </w:rPr>
        <w:t>Certain Matters Relating to Receivables</w:t>
      </w:r>
      <w:r>
        <w:rPr>
          <w:rFonts w:ascii="Times New Roman;sans-serif" w:hAnsi="Times New Roman;sans-serif"/>
          <w:b w:val="false"/>
          <w:color w:val="000000"/>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(2) Business Days) deposited by such Grantor in the exact form received, duly indorsed by such Grantor to the Administrative Agent if required, in a Collateral Account over which the Administrative Agent has control, subject to withdrawal by the Administrative Agent for the account of the Secured Parties only as provided in </w:t>
      </w:r>
      <w:r>
        <w:rPr>
          <w:rFonts w:ascii="Times New Roman;sans-serif" w:hAnsi="Times New Roman;sans-serif"/>
          <w:b w:val="false"/>
          <w:color w:val="000000"/>
          <w:sz w:val="22"/>
          <w:u w:val="single"/>
        </w:rPr>
        <w:t>Section 6.5</w:t>
      </w:r>
      <w:r>
        <w:rPr>
          <w:rFonts w:ascii="Times New Roman;sans-serif" w:hAnsi="Times New Roman;sans-serif"/>
          <w:b w:val="false"/>
          <w:color w:val="000000"/>
          <w:sz w:val="22"/>
        </w:rPr>
        <w:t xml:space="preserve">, and (ii) until so turned over, shall be held by such Grantor in trust for the Administrative Agent and the other Secured Parties, segregated from other funds of such Grantor. After the occurrence and during the continuance of an Event of Default, each such deposit of Proceeds of Receivables shall be accompanied by a report identifying in reasonable detail the nature and source of the payments included in the deposit.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the Administrative Agent’s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 </w:t>
      </w:r>
    </w:p>
    <w:p>
      <w:pPr>
        <w:pStyle w:val="TextBody"/>
        <w:spacing w:lineRule="auto" w:line="288" w:before="0" w:after="180"/>
        <w:ind w:left="0" w:right="0" w:firstLine="720"/>
        <w:jc w:val="both"/>
        <w:rPr/>
      </w:pPr>
      <w:r>
        <w:rPr>
          <w:rFonts w:ascii="Times New Roman;sans-serif" w:hAnsi="Times New Roman;sans-serif"/>
          <w:b w:val="false"/>
          <w:color w:val="000000"/>
          <w:sz w:val="22"/>
        </w:rPr>
        <w:t>6.2</w:t>
      </w:r>
      <w:r>
        <w:rPr>
          <w:rFonts w:ascii="Times New Roman;sans-serif" w:hAnsi="Times New Roman;sans-serif"/>
          <w:b w:val="false"/>
          <w:color w:val="000000"/>
          <w:sz w:val="22"/>
          <w:u w:val="single"/>
        </w:rPr>
        <w:t>Communications with Obligors; Grantors Remain Liable</w:t>
      </w:r>
      <w:r>
        <w:rPr>
          <w:rFonts w:ascii="Times New Roman;sans-serif" w:hAnsi="Times New Roman;sans-serif"/>
          <w:b w:val="false"/>
          <w:color w:val="000000"/>
          <w:sz w:val="22"/>
        </w:rPr>
        <w:t>.</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Upon the request of the Administrative Agent, at any time after the occurrence and during the continuance of an Event of Default, each Grantor shall notify obligors on the Receivables </w:t>
      </w:r>
      <w:r>
        <w:br w:type="page"/>
      </w:r>
    </w:p>
    <w:p>
      <w:pPr>
        <w:pStyle w:val="TextBody"/>
        <w:spacing w:before="0" w:after="0"/>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60655"/>
                <wp:effectExtent l="0" t="0" r="0" b="0"/>
                <wp:wrapNone/>
                <wp:docPr id="458" name="Frame4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that the Receivables have been assigned to the Administrative Agent for the ratable benefit of the Secured Parties and that payments in respect thereof shall be made directly to the Administrative Agent. </w:t>
      </w:r>
    </w:p>
    <w:p>
      <w:pPr>
        <w:pStyle w:val="TextBody"/>
        <w:spacing w:lineRule="auto" w:line="276"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Anything herein to the contrary notwithstanding, each Grantor shall remain liable under each agreement giving rise to the Receivables and observe and perform all the conditions and obligations to be observed and performed by it thereunder, all in accordance with the terms of any agreement giving rise thereto. Neither the Administrative Agent nor any other Secured Party shall have any obligation or liability under any Receivable (or any agreement giving rise thereto) by reason of or arising out of this Agreement or the receipt by the Administrative Agent or any Lender of any payment relating thereto, nor shall the Administrative Agent nor any other Secured Party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 </w:t>
      </w:r>
    </w:p>
    <w:p>
      <w:pPr>
        <w:pStyle w:val="TextBody"/>
        <w:spacing w:lineRule="auto" w:line="276" w:before="0" w:after="180"/>
        <w:ind w:left="0" w:right="0" w:firstLine="720"/>
        <w:jc w:val="both"/>
        <w:rPr/>
      </w:pPr>
      <w:r>
        <w:rPr>
          <w:rFonts w:ascii="Times New Roman;sans-serif" w:hAnsi="Times New Roman;sans-serif"/>
          <w:b w:val="false"/>
          <w:color w:val="000000"/>
          <w:sz w:val="22"/>
        </w:rPr>
        <w:t>6.3</w:t>
      </w:r>
      <w:r>
        <w:rPr>
          <w:rFonts w:ascii="Times New Roman;sans-serif" w:hAnsi="Times New Roman;sans-serif"/>
          <w:b w:val="false"/>
          <w:color w:val="000000"/>
          <w:sz w:val="22"/>
          <w:u w:val="single"/>
        </w:rPr>
        <w:t>Investment Property</w:t>
      </w:r>
      <w:r>
        <w:rPr>
          <w:rFonts w:ascii="Times New Roman;sans-serif" w:hAnsi="Times New Roman;sans-serif"/>
          <w:b w:val="false"/>
          <w:color w:val="000000"/>
          <w:sz w:val="22"/>
        </w:rPr>
        <w:t xml:space="preserve">. </w:t>
      </w:r>
    </w:p>
    <w:p>
      <w:pPr>
        <w:pStyle w:val="TextBody"/>
        <w:spacing w:lineRule="auto" w:line="276"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Unless an Event of Default shall have occurred and be continuing and the Administrative Agent shall have given written notice to the relevant Grantor of the Administrative Agent’s intent to exercise its corresponding rights pursuant to </w:t>
      </w:r>
      <w:r>
        <w:rPr>
          <w:rFonts w:ascii="Times New Roman;sans-serif" w:hAnsi="Times New Roman;sans-serif"/>
          <w:b w:val="false"/>
          <w:color w:val="000000"/>
          <w:sz w:val="22"/>
          <w:u w:val="single"/>
        </w:rPr>
        <w:t>Section 6.3(b)</w:t>
      </w:r>
      <w:r>
        <w:rPr>
          <w:rFonts w:ascii="Times New Roman;sans-serif" w:hAnsi="Times New Roman;sans-serif"/>
          <w:b w:val="false"/>
          <w:color w:val="000000"/>
          <w:sz w:val="22"/>
        </w:rPr>
        <w:t xml:space="preserve">, each Grantor shall be permitted to receive all cash dividends paid in respect of the Pledged Collateral and all payments made in respect of the Pledged Notes to the extent permitted by the Credit Agreement, and to exercise all voting and corporate or other organizational rights with respect to the Investment Property of such Grantor;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vote shall be cast or corporate or other organizational right exercised or other action taken that is reasonably likely to materially impair the Collateral or that would be inconsistent with or result in any violation of any provision of the Credit Agreement, this Agreement or any other Loan Document. </w:t>
      </w:r>
    </w:p>
    <w:p>
      <w:pPr>
        <w:pStyle w:val="TextBody"/>
        <w:spacing w:lineRule="auto" w:line="276"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an Event of Default shall occur and be continuing and the Administrative Agent shall give notice of its intent to exercise such rights to the relevant Grantor or Grantors, (i) the Administrative Agent shall have the right (A) to receive any and all cash dividends, payments or other Proceeds paid in respect of the Investment Property (including the Pledged Collateral) of any or all of the Grantors and make application thereof to the Secured Obligations in the order set forth in </w:t>
      </w:r>
      <w:r>
        <w:rPr>
          <w:rFonts w:ascii="Times New Roman;sans-serif" w:hAnsi="Times New Roman;sans-serif"/>
          <w:b w:val="false"/>
          <w:color w:val="000000"/>
          <w:sz w:val="22"/>
          <w:u w:val="single"/>
        </w:rPr>
        <w:t>Section 6.5</w:t>
      </w:r>
      <w:r>
        <w:rPr>
          <w:rFonts w:ascii="Times New Roman;sans-serif" w:hAnsi="Times New Roman;sans-serif"/>
          <w:b w:val="false"/>
          <w:color w:val="000000"/>
          <w:sz w:val="22"/>
        </w:rPr>
        <w:t xml:space="preserve">, and (B) to exchange uncertificated Pledged Collateral for certificated Pledged Collateral and to exchange certificated Pledged Collateral for certificates of larger or smaller denominations, for any purpose consistent with this Agreement (in each case to the extent such exchanges are permitted under the applicable Pledged Collateral Agreements or otherwise agreed upon by the Issuer of such Pledged Collateral), and (ii) any and all of such Investment Property shall be registered in the name of the Administrative Agent or its nominee, and the Administrative Agent or its 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any such Investment Property upon the merger, consolidation, reorganization, recapitalization or other fundamental change in the corporate or other organizational structure of any Issuer, or upon the exercise by any Grantor or the Administrative Agent of any right, privilege or option pertaining to such Investment Property, and in connection therewith, the right to deposit and deliver any and all of such Investment Property with any committee, depositary, transfer agent, registrar or other designated agency upon such terms and conditions as the Administrative Agent may determine), all without liability except to account for property actually received by it, but the Administrative Agent shall </w:t>
      </w:r>
      <w:r>
        <w:br w:type="page"/>
      </w:r>
    </w:p>
    <w:p>
      <w:pPr>
        <w:pStyle w:val="TextBody"/>
        <w:spacing w:before="0" w:after="0"/>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60655"/>
                <wp:effectExtent l="0" t="0" r="0" b="0"/>
                <wp:wrapNone/>
                <wp:docPr id="459" name="Frame4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lineRule="auto" w:line="276"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have no duty to any Grantor to exercise any such right, privilege or option and shall not be responsible for any failure to do so or delay in so doing. In order to permit Administrative Agent to exercise the voting and consensual rights with respect to the Investment Property to which it may be entitled hereunder and to receive all dividends and other distributions to which it may be entitled to receive hereunder with respect to the Investment Property, each Grantor shall promptly execute and deliver to Administrative Agent all such proxies, dividend payment orders and other instruments as Administrative Agent may from time to time reasonably request, and without limiting the foregoing, each Grantor hereby grants to Administrative Agent an IRREVOCABLE PROXY COUPLED WITH AN INTEREST to exercise, all the voting rights applicable to such Investment Property and to exercise all other rights, powers, privileges and remedies to which a holder of the Investment Property would be entitled, which proxy shall only be effective, automatically (and without any further action on the part of the Grantor or the Administrative Agent), upon the occurrence and during the continuance of an Event of Default; provided, that, such rights, powers, privileges and remedies shall terminate upon Discharge of Obligations, and, provided, further, that such rights, powers, privileges and remedies shall only be exercisable in accordance with and subject to the terms of this Section 6.3(b). </w:t>
      </w:r>
    </w:p>
    <w:p>
      <w:pPr>
        <w:pStyle w:val="TextBody"/>
        <w:spacing w:lineRule="auto" w:line="276"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Each Grantor hereby authorizes and instructs each Issuer of any Pledged Collateral or Pledged Notes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Collateral or, as applicable, the Pledged Notes directly to the Administrative Agent. </w:t>
      </w:r>
    </w:p>
    <w:p>
      <w:pPr>
        <w:pStyle w:val="TextBody"/>
        <w:spacing w:lineRule="auto" w:line="276"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If an Event of Default shall have occurred and be continuing, the Administrative Agent shall have the right to apply the balance from any Deposit Account or Securities Account or instruct the bank or securities intermediary at which any Deposit Account or Securities Account is maintained to pay the balance of any Deposit Account or Securities Account to or for the benefit of the Administrative Agent; provided that the Administrative Agent shall not have such right with respect to Excluded Accounts. The parties hereto agree and acknowledge that the Administrative Agent shall not exercise “control” of any Deposit Account or Securities Account unless and until an Event of Default has occurred and is continuing. </w:t>
      </w:r>
    </w:p>
    <w:p>
      <w:pPr>
        <w:pStyle w:val="TextBody"/>
        <w:spacing w:lineRule="auto" w:line="276" w:before="0" w:after="180"/>
        <w:ind w:left="0" w:right="0" w:firstLine="720"/>
        <w:jc w:val="both"/>
        <w:rPr/>
      </w:pPr>
      <w:r>
        <w:rPr>
          <w:rFonts w:ascii="Times New Roman;sans-serif" w:hAnsi="Times New Roman;sans-serif"/>
          <w:b w:val="false"/>
          <w:color w:val="000000"/>
          <w:sz w:val="22"/>
        </w:rPr>
        <w:t>6.4</w:t>
      </w:r>
      <w:r>
        <w:rPr>
          <w:rFonts w:ascii="Times New Roman;sans-serif" w:hAnsi="Times New Roman;sans-serif"/>
          <w:b w:val="false"/>
          <w:color w:val="000000"/>
          <w:sz w:val="22"/>
          <w:u w:val="single"/>
        </w:rPr>
        <w:t>Proceeds to be Turned Over To Administrative Agent</w:t>
      </w:r>
      <w:r>
        <w:rPr>
          <w:rFonts w:ascii="Times New Roman;sans-serif" w:hAnsi="Times New Roman;sans-serif"/>
          <w:b w:val="false"/>
          <w:color w:val="000000"/>
          <w:sz w:val="22"/>
        </w:rPr>
        <w:t xml:space="preserve">. In addition to the rights of the Administrative Agent and the other Secured Parties specified in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 xml:space="preserve">with respect to payments of Receivables, if an Event of Default shall occur and be continuing, all Proceeds received by any Grantor consisting of cash, checks, Cash Equivalents and other near-cash items shall be held by such Grantor in trust for the Administrative Agent and the other Secured Parties,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shall be held by the Administrative Agent in a Collateral Account over which it maintains control, within the meaning of the UCC. All Proceeds while held by the Administrative Agent in a Collateral Account (or by such Grantor in trust for the Administrative Agent and the other Secured Parties) shall continue to be held as collateral security for all the Secured Obligations and shall not constitute payment thereof until applied as provided in </w:t>
      </w:r>
      <w:r>
        <w:rPr>
          <w:rFonts w:ascii="Times New Roman;sans-serif" w:hAnsi="Times New Roman;sans-serif"/>
          <w:b w:val="false"/>
          <w:color w:val="000000"/>
          <w:sz w:val="22"/>
          <w:u w:val="single"/>
        </w:rPr>
        <w:t>Section 6.5</w:t>
      </w:r>
      <w:r>
        <w:rPr>
          <w:rFonts w:ascii="Times New Roman;sans-serif" w:hAnsi="Times New Roman;sans-serif"/>
          <w:b w:val="false"/>
          <w:color w:val="000000"/>
          <w:sz w:val="22"/>
        </w:rPr>
        <w:t>.</w:t>
      </w:r>
    </w:p>
    <w:p>
      <w:pPr>
        <w:pStyle w:val="TextBody"/>
        <w:spacing w:lineRule="auto" w:line="276" w:before="0" w:after="180"/>
        <w:ind w:left="0" w:right="0" w:firstLine="720"/>
        <w:jc w:val="both"/>
        <w:rPr/>
      </w:pPr>
      <w:r>
        <w:rPr>
          <w:rFonts w:ascii="Times New Roman;sans-serif" w:hAnsi="Times New Roman;sans-serif"/>
          <w:b w:val="false"/>
          <w:color w:val="000000"/>
          <w:sz w:val="22"/>
        </w:rPr>
        <w:t>6.5</w:t>
      </w:r>
      <w:r>
        <w:rPr>
          <w:rFonts w:ascii="Times New Roman;sans-serif" w:hAnsi="Times New Roman;sans-serif"/>
          <w:b w:val="false"/>
          <w:color w:val="000000"/>
          <w:sz w:val="22"/>
          <w:u w:val="single"/>
        </w:rPr>
        <w:t>Application of Proceeds</w:t>
      </w:r>
      <w:r>
        <w:rPr>
          <w:rFonts w:ascii="Times New Roman;sans-serif" w:hAnsi="Times New Roman;sans-serif"/>
          <w:b w:val="false"/>
          <w:color w:val="000000"/>
          <w:sz w:val="22"/>
        </w:rPr>
        <w:t>. If an Event of Default shall have occurred and be continuing, at any time at the Administrative Agent’s election, the Administrative Agent may apply all or any part of Proceeds constituting Collateral, whether or not held in any Collateral Account, in payment of the Secured Obligations in accordance with Section 8.3 of the Credit Agreement.</w:t>
      </w:r>
      <w:r>
        <w:br w:type="page"/>
      </w:r>
    </w:p>
    <w:p>
      <w:pPr>
        <w:pStyle w:val="TextBody"/>
        <w:spacing w:before="0" w:after="0"/>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60655"/>
                <wp:effectExtent l="0" t="0" r="0" b="0"/>
                <wp:wrapNone/>
                <wp:docPr id="460" name="Frame4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lineRule="auto" w:line="276" w:before="0" w:after="180"/>
        <w:ind w:left="0" w:right="0" w:firstLine="720"/>
        <w:jc w:val="both"/>
        <w:rPr/>
      </w:pPr>
      <w:r>
        <w:rPr>
          <w:rFonts w:ascii="Times New Roman;sans-serif" w:hAnsi="Times New Roman;sans-serif"/>
          <w:b w:val="false"/>
          <w:color w:val="000000"/>
          <w:sz w:val="22"/>
        </w:rPr>
        <w:t>6.6</w:t>
      </w:r>
      <w:r>
        <w:rPr>
          <w:rFonts w:ascii="Times New Roman;sans-serif" w:hAnsi="Times New Roman;sans-serif"/>
          <w:b w:val="false"/>
          <w:color w:val="000000"/>
          <w:sz w:val="22"/>
          <w:u w:val="single"/>
        </w:rPr>
        <w:t>Code and Other Remedies</w:t>
      </w:r>
      <w:r>
        <w:rPr>
          <w:rFonts w:ascii="Times New Roman;sans-serif" w:hAnsi="Times New Roman;sans-serif"/>
          <w:b w:val="false"/>
          <w:color w:val="000000"/>
          <w:sz w:val="22"/>
        </w:rPr>
        <w:t xml:space="preserve">. If an Event of Default shall occur and be continuing, the Administrative Agent, on behalf of the Secured Parties, may exercise, in addition to all other rights and remedies granted to them in this Agreement and in any other instrument or agreement securing, evidencing or relating to the Secured Obligations,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other Secured Party or elsewhere upon such terms and conditions as it may deem advisable and at such prices as it may deem best, for cash or on credit or for future delivery without assumption of any credit risk. The Administrative Agent or any other Secured Party shall have the right in such circumstances,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in such circumstances,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w:t>
      </w:r>
      <w:r>
        <w:rPr>
          <w:rFonts w:ascii="Times New Roman;sans-serif" w:hAnsi="Times New Roman;sans-serif"/>
          <w:b w:val="false"/>
          <w:color w:val="000000"/>
          <w:sz w:val="22"/>
          <w:u w:val="single"/>
        </w:rPr>
        <w:t>Section 6.6</w:t>
      </w:r>
      <w:r>
        <w:rPr>
          <w:rFonts w:ascii="Times New Roman;sans-serif" w:hAnsi="Times New Roman;sans-serif"/>
          <w:b w:val="false"/>
          <w:color w:val="000000"/>
          <w:sz w:val="22"/>
        </w:rPr>
        <w:t xml:space="preserve">, in accordance with the provisions of </w:t>
      </w:r>
      <w:r>
        <w:rPr>
          <w:rFonts w:ascii="Times New Roman;sans-serif" w:hAnsi="Times New Roman;sans-serif"/>
          <w:b w:val="false"/>
          <w:color w:val="000000"/>
          <w:sz w:val="22"/>
          <w:u w:val="single"/>
        </w:rPr>
        <w:t>Section 6.5</w:t>
      </w:r>
      <w:r>
        <w:rPr>
          <w:rFonts w:ascii="Times New Roman;sans-serif" w:hAnsi="Times New Roman;sans-serif"/>
          <w:b w:val="false"/>
          <w:color w:val="000000"/>
          <w:sz w:val="22"/>
        </w:rPr>
        <w:t xml:space="preserve">, only after deducting all reasonable costs and expenses of every kind incurred in connection therewith or incidental to the care or safekeeping of any of the Collateral or in any way relating to the Collateral or the rights of the Administrative Agent and the other Secured Parties hereunder, including, without limitation, reasonable attorneys’ fees and disbursements, to the payment in whole or in part of the Secured Obligations, in such order as is contemplated by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 xml:space="preserve">of the Credit Agreement, and only after such application and after the payment by the Administrative Agent of any other amount required by any provision of law, including Section 9-615(a)(3) of the UCC, but only to the extent of the surplus, if any, owing to any Grantor. To the extent permitted by applicable law, each Grantor waives all claims, damages and demands it may acquire against the Administrative Agent or any other Secured Party arising out of the exercise by any of them of any rights hereunder, except to the extent caused by the gross negligence or willful misconduct of the Administrative Agent or such Secured Party or their respective agents. If any notice of a proposed sale or other disposition of Collateral shall be required by law, such notice shall be deemed reasonable and proper if given at least ten (10) days before such sale or other disposition. If an Event of Default has occurred and is continuing, Administrative Agent may, in addition to other rights and remedies provided for herein, in the other Loan Documents, or otherwise available to it under applicable law and without the requirement of notice to or upon any Grantor or any other Person (which notice is hereby expressly waived to the maximum extent permitted by the Code or any other applicable law), (i) with respect to any Grantor’s Deposit Accounts in which Administrative Agent’s Liens are perfected by control under Section 9-104 or any other section of the UCC, instruct the bank maintaining such Deposit Account for the applicable Grantor to pay the balance of such Deposit Account to or for the benefit of the Administrative Agent, and (ii) with respect to any Grantor’s Securities Accounts in which Administrative Agent’s Liens are perfected by control under Section 9-106 or any other section of the UCC, instruct the securities intermediary maintaining such Securities Account for the applicable Grantor to (A) transfer any cash in such Securities Account to or for the benefit of Administrative Agent, or (B) liquidate any financial assets in such Securities Account that are customarily sold on a recognized market and transfer the cash proceeds thereof to or for the benefit of Administrative Agent, in each case above, for application to and repayment of the Secured Obligations. Each Grantor hereby acknowledges that the Secured Obligations arise out of a commercial transaction, and agrees that if an Event of Default shall occur and be continuing Administrative Agent shall have the right to an </w:t>
      </w:r>
      <w:r>
        <w:br w:type="page"/>
      </w:r>
    </w:p>
    <w:p>
      <w:pPr>
        <w:pStyle w:val="TextBody"/>
        <w:spacing w:before="0" w:after="0"/>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60655"/>
                <wp:effectExtent l="0" t="0" r="0" b="0"/>
                <wp:wrapNone/>
                <wp:docPr id="461" name="Frame4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lineRule="auto" w:line="276"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immediate writ of possession without notice of a hearing. In such circumstances, Administrative Agent shall have the right to the appointment of a receiver for the properties and assets of each Grantor, and each Grantor hereby consents to such rights and such appointment and hereby waives any objection such Grantor may have thereto or the right to have a bond or other security posted by Administrative Agent.</w:t>
      </w:r>
    </w:p>
    <w:p>
      <w:pPr>
        <w:pStyle w:val="TextBody"/>
        <w:spacing w:lineRule="auto" w:line="288" w:before="0" w:after="180"/>
        <w:ind w:left="0" w:right="0" w:firstLine="720"/>
        <w:jc w:val="both"/>
        <w:rPr/>
      </w:pPr>
      <w:r>
        <w:rPr>
          <w:rFonts w:ascii="Times New Roman;sans-serif" w:hAnsi="Times New Roman;sans-serif"/>
          <w:b w:val="false"/>
          <w:color w:val="000000"/>
          <w:sz w:val="22"/>
        </w:rPr>
        <w:t>6.7</w:t>
      </w:r>
      <w:r>
        <w:rPr>
          <w:rFonts w:ascii="Times New Roman;sans-serif" w:hAnsi="Times New Roman;sans-serif"/>
          <w:b w:val="false"/>
          <w:color w:val="000000"/>
          <w:sz w:val="22"/>
          <w:u w:val="single"/>
        </w:rPr>
        <w:t>Registration Waiver</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the Administrative Agent shall determine to exercise its right to sell any or all of the Pledged Stock pursuant to </w:t>
      </w:r>
      <w:r>
        <w:rPr>
          <w:rFonts w:ascii="Times New Roman;sans-serif" w:hAnsi="Times New Roman;sans-serif"/>
          <w:b w:val="false"/>
          <w:color w:val="000000"/>
          <w:sz w:val="22"/>
          <w:u w:val="single"/>
        </w:rPr>
        <w:t>Section 6.6</w:t>
      </w:r>
      <w:r>
        <w:rPr>
          <w:rFonts w:ascii="Times New Roman;sans-serif" w:hAnsi="Times New Roman;sans-serif"/>
          <w:b w:val="false"/>
          <w:color w:val="000000"/>
          <w:sz w:val="22"/>
        </w:rPr>
        <w:t xml:space="preserve">, 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Subject to its compliance with state securities laws applicable to private sales,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 </w:t>
      </w:r>
    </w:p>
    <w:p>
      <w:pPr>
        <w:pStyle w:val="TextBody"/>
        <w:spacing w:lineRule="auto" w:line="288" w:before="0" w:after="18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Grantor agrees to use commercially reasonable efforts to do or cause to be done all such other acts as may be necessary to make such sale or sales of all or any portion of the Pledged Stock pursuant to this </w:t>
      </w:r>
      <w:r>
        <w:rPr>
          <w:rFonts w:ascii="Times New Roman;sans-serif" w:hAnsi="Times New Roman;sans-serif"/>
          <w:b w:val="false"/>
          <w:color w:val="000000"/>
          <w:sz w:val="22"/>
          <w:u w:val="single"/>
        </w:rPr>
        <w:t>Section 6.7</w:t>
      </w:r>
      <w:r>
        <w:rPr>
          <w:color w:val="000000"/>
        </w:rPr>
        <w:t xml:space="preserve"> </w:t>
      </w:r>
      <w:r>
        <w:rPr>
          <w:rFonts w:ascii="Times New Roman;sans-serif" w:hAnsi="Times New Roman;sans-serif"/>
          <w:b w:val="false"/>
          <w:color w:val="000000"/>
          <w:sz w:val="22"/>
        </w:rPr>
        <w:t xml:space="preserve">valid and binding and in compliance with any applicable Requirement of Law. Each Grantor further agrees that a breach of any of the covenants contained in this </w:t>
      </w:r>
      <w:r>
        <w:rPr>
          <w:rFonts w:ascii="Times New Roman;sans-serif" w:hAnsi="Times New Roman;sans-serif"/>
          <w:b w:val="false"/>
          <w:color w:val="000000"/>
          <w:sz w:val="22"/>
          <w:u w:val="single"/>
        </w:rPr>
        <w:t>Section 6.7</w:t>
      </w:r>
      <w:r>
        <w:rPr>
          <w:color w:val="000000"/>
        </w:rPr>
        <w:t xml:space="preserve"> </w:t>
      </w:r>
      <w:r>
        <w:rPr>
          <w:rFonts w:ascii="Times New Roman;sans-serif" w:hAnsi="Times New Roman;sans-serif"/>
          <w:b w:val="false"/>
          <w:color w:val="000000"/>
          <w:sz w:val="22"/>
        </w:rPr>
        <w:t xml:space="preserve">will cause irreparable injury to the Administrative Agent and the other Secured Parties, that the Administrative Agent and the other Secured Parties have no adequate remedy at law in respect of such breach and, as a consequence, that each and every covenant contained in this </w:t>
      </w:r>
      <w:r>
        <w:rPr>
          <w:rFonts w:ascii="Times New Roman;sans-serif" w:hAnsi="Times New Roman;sans-serif"/>
          <w:b w:val="false"/>
          <w:color w:val="000000"/>
          <w:sz w:val="22"/>
          <w:u w:val="single"/>
        </w:rPr>
        <w:t>Section 6.7</w:t>
      </w:r>
      <w:r>
        <w:rPr>
          <w:color w:val="000000"/>
        </w:rPr>
        <w:t xml:space="preserve"> </w:t>
      </w:r>
      <w:r>
        <w:rPr>
          <w:rFonts w:ascii="Times New Roman;sans-serif" w:hAnsi="Times New Roman;sans-serif"/>
          <w:b w:val="false"/>
          <w:color w:val="000000"/>
          <w:sz w:val="22"/>
        </w:rPr>
        <w:t>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pStyle w:val="TextBody"/>
        <w:spacing w:lineRule="auto" w:line="288" w:before="0" w:after="180"/>
        <w:ind w:left="0" w:right="0" w:firstLine="720"/>
        <w:jc w:val="both"/>
        <w:rPr/>
      </w:pPr>
      <w:r>
        <w:rPr>
          <w:rFonts w:ascii="Times New Roman;sans-serif" w:hAnsi="Times New Roman;sans-serif"/>
          <w:b w:val="false"/>
          <w:color w:val="000000"/>
          <w:sz w:val="22"/>
        </w:rPr>
        <w:t>6.8</w:t>
      </w:r>
      <w:r>
        <w:rPr>
          <w:rFonts w:ascii="Times New Roman;sans-serif" w:hAnsi="Times New Roman;sans-serif"/>
          <w:b w:val="false"/>
          <w:color w:val="000000"/>
          <w:sz w:val="22"/>
          <w:u w:val="single"/>
        </w:rPr>
        <w:t>Intellectual Property License</w:t>
      </w:r>
      <w:r>
        <w:rPr>
          <w:rFonts w:ascii="Times New Roman;sans-serif" w:hAnsi="Times New Roman;sans-serif"/>
          <w:b w:val="false"/>
          <w:color w:val="000000"/>
          <w:sz w:val="22"/>
        </w:rPr>
        <w:t xml:space="preserve">. Solely for the purpose of enabling the Administrative Agent to exercise rights and remedies under this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 xml:space="preserve">and solely exercisable at such time as the Administrative Agent shall be lawfully entitled to exercise such rights and remedies, each Grantor hereby grants to the Administrative Agent, for the benefit of the Secured Parties, an irrevocable, non-exclusive, worldwide license (exercisable without payment of royalty or other compensation to such Grantor), subject, in the case of Trademarks, to sufficient rights to quality control and inspection in favor of such Grantor to avoid the risk of invalidation of said Trademarks, to use, operate under, license, or sublicense any Intellectual Property now owned or hereafter acquired by the Grantors, effective only upon and during the time in which the Administrative Agent is permitted to exercise remedies hereunder and only for so long as such period continues. The license described in this Section 6.8 shall terminate automatically upon the Discharge of Obligations, provided that such license shall only be exercisable in accordance with and subject to the terms of this Section 6.8. </w:t>
      </w:r>
    </w:p>
    <w:p>
      <w:pPr>
        <w:pStyle w:val="TextBody"/>
        <w:spacing w:lineRule="auto" w:line="288" w:before="0" w:after="180"/>
        <w:ind w:left="0" w:right="0" w:firstLine="720"/>
        <w:jc w:val="both"/>
        <w:rPr/>
      </w:pPr>
      <w:r>
        <w:rPr>
          <w:rFonts w:ascii="Times New Roman;sans-serif" w:hAnsi="Times New Roman;sans-serif"/>
          <w:b w:val="false"/>
          <w:color w:val="000000"/>
          <w:sz w:val="22"/>
        </w:rPr>
        <w:t>6.9</w:t>
      </w:r>
      <w:r>
        <w:rPr>
          <w:rFonts w:ascii="Times New Roman;sans-serif" w:hAnsi="Times New Roman;sans-serif"/>
          <w:b w:val="false"/>
          <w:color w:val="000000"/>
          <w:sz w:val="22"/>
          <w:u w:val="single"/>
        </w:rPr>
        <w:t>Deficiency</w:t>
      </w:r>
      <w:r>
        <w:rPr>
          <w:rFonts w:ascii="Times New Roman;sans-serif" w:hAnsi="Times New Roman;sans-serif"/>
          <w:b w:val="false"/>
          <w:color w:val="000000"/>
          <w:sz w:val="22"/>
        </w:rPr>
        <w:t>. Each Grantor shall remain liable for any deficiency if the proceeds of any sale or other disposition of the Collateral are insufficient to pay its Secured Obligations and the reasonable fees and disbursements of any attorneys employed by the Administrative Agent or any other Secured Party to collect such deficiency.</w:t>
      </w:r>
      <w:r>
        <w:br w:type="page"/>
      </w:r>
    </w:p>
    <w:p>
      <w:pPr>
        <w:pStyle w:val="TextBody"/>
        <w:spacing w:before="0" w:after="0"/>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60655"/>
                <wp:effectExtent l="0" t="0" r="0" b="0"/>
                <wp:wrapNone/>
                <wp:docPr id="462" name="Frame4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lineRule="auto" w:line="280" w:before="0" w:after="180"/>
        <w:jc w:val="center"/>
        <w:rPr/>
      </w:pPr>
      <w:r>
        <w:rPr>
          <w:rFonts w:ascii="Times New Roman;sans-serif" w:hAnsi="Times New Roman;sans-serif"/>
          <w:b w:val="false"/>
          <w:color w:val="000000"/>
          <w:sz w:val="22"/>
        </w:rPr>
        <w:t>SECTION 7.</w:t>
      </w:r>
      <w:r>
        <w:rPr>
          <w:rFonts w:ascii="Times New Roman;sans-serif" w:hAnsi="Times New Roman;sans-serif"/>
          <w:b w:val="false"/>
          <w:color w:val="000000"/>
          <w:sz w:val="22"/>
        </w:rPr>
        <w:t xml:space="preserve">THE ADMINISTRATIVE AGENT </w:t>
      </w:r>
    </w:p>
    <w:p>
      <w:pPr>
        <w:pStyle w:val="TextBody"/>
        <w:spacing w:lineRule="auto" w:line="28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Grantor covenants and agrees with the Administrative Agent and the other Secured Parties that: </w:t>
      </w:r>
    </w:p>
    <w:p>
      <w:pPr>
        <w:pStyle w:val="TextBody"/>
        <w:spacing w:lineRule="auto" w:line="280" w:before="0" w:after="180"/>
        <w:ind w:left="0" w:right="0" w:firstLine="720"/>
        <w:jc w:val="both"/>
        <w:rPr/>
      </w:pPr>
      <w:r>
        <w:rPr>
          <w:rFonts w:ascii="Times New Roman;sans-serif" w:hAnsi="Times New Roman;sans-serif"/>
          <w:b w:val="false"/>
          <w:color w:val="000000"/>
          <w:sz w:val="22"/>
        </w:rPr>
        <w:t>7.1</w:t>
      </w:r>
      <w:r>
        <w:rPr>
          <w:rFonts w:ascii="Times New Roman;sans-serif" w:hAnsi="Times New Roman;sans-serif"/>
          <w:b w:val="false"/>
          <w:color w:val="000000"/>
          <w:sz w:val="22"/>
          <w:u w:val="single"/>
        </w:rPr>
        <w:t>Administrative Agent’s Appointment as Attorney-in-Fact, etc</w:t>
      </w:r>
      <w:r>
        <w:rPr>
          <w:rFonts w:ascii="Times New Roman;sans-serif" w:hAnsi="Times New Roman;sans-serif"/>
          <w:b w:val="false"/>
          <w:color w:val="000000"/>
          <w:sz w:val="22"/>
        </w:rPr>
        <w:t xml:space="preserve">. </w:t>
      </w:r>
    </w:p>
    <w:p>
      <w:pPr>
        <w:pStyle w:val="TextBody"/>
        <w:spacing w:lineRule="auto" w:line="280"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Grantor hereby irrevocably constitutes and appoints the Administrative Agent and any officer or agent thereof, with full power of substitution, as its true and lawful attorney-in-fact with full irrevocable power and authority, coupled with an interest, in the place and stead of such Grantor and in the name of such Grantor or in its own name, for the purpose of carrying out the terms of this Agreement, to take, following the occurrence of an Event of Default and while it is continuing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 after the occurrence of an Event of Default and while it is continuing: </w:t>
      </w:r>
    </w:p>
    <w:p>
      <w:pPr>
        <w:pStyle w:val="TextBody"/>
        <w:spacing w:lineRule="auto" w:line="280" w:before="0" w:after="18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 </w:t>
      </w:r>
    </w:p>
    <w:p>
      <w:pPr>
        <w:pStyle w:val="TextBody"/>
        <w:spacing w:lineRule="auto" w:line="280" w:before="0" w:after="18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in the case of any Intellectual Property, execute and deliver, and have recorded, any and all agreements, instruments, documents and papers as the Administrative Agent may request to give effect to the license granted to the Administrative Agent pursuant to </w:t>
      </w:r>
      <w:r>
        <w:rPr>
          <w:rFonts w:ascii="Times New Roman;sans-serif" w:hAnsi="Times New Roman;sans-serif"/>
          <w:b w:val="false"/>
          <w:color w:val="000000"/>
          <w:sz w:val="22"/>
          <w:u w:val="single"/>
        </w:rPr>
        <w:t>Section 6.8</w:t>
      </w:r>
      <w:r>
        <w:rPr>
          <w:rFonts w:ascii="Times New Roman;sans-serif" w:hAnsi="Times New Roman;sans-serif"/>
          <w:b w:val="false"/>
          <w:color w:val="000000"/>
          <w:sz w:val="22"/>
        </w:rPr>
        <w:t xml:space="preserve">; </w:t>
      </w:r>
    </w:p>
    <w:p>
      <w:pPr>
        <w:pStyle w:val="TextBody"/>
        <w:spacing w:lineRule="auto" w:line="280" w:before="0" w:after="18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rPr>
        <w:t xml:space="preserve">pay or discharge taxes and Liens levied or placed on or threatened against the Collateral, effect any repairs or any insurance called for by the terms of this Agreement and pay all or any part of the premiums therefor and the costs thereof; </w:t>
      </w:r>
    </w:p>
    <w:p>
      <w:pPr>
        <w:pStyle w:val="TextBody"/>
        <w:spacing w:lineRule="auto" w:line="280" w:before="0" w:after="18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rPr>
        <w:t xml:space="preserve">execute, in connection with any sale provided for in </w:t>
      </w:r>
      <w:r>
        <w:rPr>
          <w:rFonts w:ascii="Times New Roman;sans-serif" w:hAnsi="Times New Roman;sans-serif"/>
          <w:b w:val="false"/>
          <w:color w:val="000000"/>
          <w:sz w:val="22"/>
          <w:u w:val="single"/>
        </w:rPr>
        <w:t>Section 6.6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6.7</w:t>
      </w:r>
      <w:r>
        <w:rPr>
          <w:rFonts w:ascii="Times New Roman;sans-serif" w:hAnsi="Times New Roman;sans-serif"/>
          <w:b w:val="false"/>
          <w:color w:val="000000"/>
          <w:sz w:val="22"/>
        </w:rPr>
        <w:t xml:space="preserve">, any endorsements, assignments or other instruments of conveyance or transfer with respect to the Collateral; and </w:t>
      </w:r>
    </w:p>
    <w:p>
      <w:pPr>
        <w:pStyle w:val="TextBody"/>
        <w:spacing w:lineRule="auto" w:line="278" w:before="0" w:after="18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 xml:space="preserve">(A) direct any party liable for any payment under any of the Collateral to make payment of any and all moneys due or to become due thereunder directly to the Administrative Agent or as the Administrative Agent shall direct; (B) ask or demand for, collect, and receive payment of and receipt for, any and all moneys, claims and other amounts due or to become due at any time in respect of or arising out of any Collateral; (C) sign and indorse any invoices, freight or express bills, bills of lading, storage or warehouse receipts, drafts against debtors, assignments, verifications, notices and other documents in connection with any of the Collateral; (D) commence and prosecute any suits, actions or proceedings at law or in equity in any court of competent jurisdiction to collect the Collateral or any portion thereof and to enforce any other right in respect of any Collateral; (E) defend any suit, action or proceeding brought against such Grantor with respect to any Collateral; (F) settle, compromise or adjust any such suit, action or proceeding and, in connection therewith, give such discharges or releases as the Administrative Agent may deem appropriate; (G) (a)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(b) assign any Intellectual Property Licenses that are included as Collateral to which a Grantor is a party except to the extent that any implied prohibitions on assignment </w:t>
      </w:r>
      <w:r>
        <w:br w:type="page"/>
      </w:r>
    </w:p>
    <w:p>
      <w:pPr>
        <w:pStyle w:val="TextBody"/>
        <w:spacing w:before="0" w:after="0"/>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60655"/>
                <wp:effectExtent l="0" t="0" r="0" b="0"/>
                <wp:wrapNone/>
                <wp:docPr id="463" name="Frame4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lineRule="auto" w:line="27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any anti-assignment provision therein is not invalidated by Section 9-408 of the UCC; and (H)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other Secured Parties’ security interests therein and to effect the intent of this Agreement, all as fully and effectively as such Grantor might do. </w:t>
      </w:r>
    </w:p>
    <w:p>
      <w:pPr>
        <w:pStyle w:val="TextBody"/>
        <w:spacing w:lineRule="auto" w:line="276" w:before="0" w:after="180"/>
        <w:ind w:left="0" w:right="0" w:firstLine="720"/>
        <w:jc w:val="both"/>
        <w:rPr/>
      </w:pPr>
      <w:r>
        <w:rPr>
          <w:rFonts w:ascii="Times New Roman;sans-serif" w:hAnsi="Times New Roman;sans-serif"/>
          <w:b w:val="false"/>
          <w:color w:val="000000"/>
          <w:sz w:val="22"/>
        </w:rPr>
        <w:t xml:space="preserve">Anything in this </w:t>
      </w:r>
      <w:r>
        <w:rPr>
          <w:rFonts w:ascii="Times New Roman;sans-serif" w:hAnsi="Times New Roman;sans-serif"/>
          <w:b w:val="false"/>
          <w:color w:val="000000"/>
          <w:sz w:val="22"/>
          <w:u w:val="single"/>
        </w:rPr>
        <w:t>Section 7.1(a)</w:t>
      </w:r>
      <w:r>
        <w:rPr>
          <w:color w:val="000000"/>
        </w:rPr>
        <w:t xml:space="preserve"> </w:t>
      </w:r>
      <w:r>
        <w:rPr>
          <w:rFonts w:ascii="Times New Roman;sans-serif" w:hAnsi="Times New Roman;sans-serif"/>
          <w:b w:val="false"/>
          <w:color w:val="000000"/>
          <w:sz w:val="22"/>
        </w:rPr>
        <w:t xml:space="preserve">to the contrary notwithstanding, the Administrative Agent agrees that it will not exercise any rights under the power of attorney provided for in this </w:t>
      </w:r>
      <w:r>
        <w:rPr>
          <w:rFonts w:ascii="Times New Roman;sans-serif" w:hAnsi="Times New Roman;sans-serif"/>
          <w:b w:val="false"/>
          <w:color w:val="000000"/>
          <w:sz w:val="22"/>
          <w:u w:val="single"/>
        </w:rPr>
        <w:t>Section 7.1(a)</w:t>
      </w:r>
      <w:r>
        <w:rPr>
          <w:color w:val="000000"/>
        </w:rPr>
        <w:t xml:space="preserve"> </w:t>
      </w:r>
      <w:r>
        <w:rPr>
          <w:rFonts w:ascii="Times New Roman;sans-serif" w:hAnsi="Times New Roman;sans-serif"/>
          <w:b w:val="false"/>
          <w:color w:val="000000"/>
          <w:sz w:val="22"/>
        </w:rPr>
        <w:t xml:space="preserve">unless an Event of Default shall have occurred and be continuing. </w:t>
      </w:r>
    </w:p>
    <w:p>
      <w:pPr>
        <w:pStyle w:val="TextBody"/>
        <w:spacing w:lineRule="auto" w:line="276"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any Grantor fails to perform or comply with any of its agreements contained herein, the Administrative Agent, at its option, but without any obligation so to do, may perform or comply, or otherwise cause performance or compliance, with such agreement. </w:t>
      </w:r>
    </w:p>
    <w:p>
      <w:pPr>
        <w:pStyle w:val="TextBody"/>
        <w:spacing w:lineRule="auto" w:line="276"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expenses of the Administrative Agent incurred in connection with actions undertaken as provided in this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xml:space="preserve">, together with interest thereon at a rate per annum equal to the highest rate per annum at which interest would then be payable on any category of ABR Loans under the Credit Agreement, from the date of payment by the Administrative Agent to the date reimbursed by the relevant Grantor, shall be payable by such Grantor to the Administrative Agent on demand. </w:t>
      </w:r>
    </w:p>
    <w:p>
      <w:pPr>
        <w:pStyle w:val="TextBody"/>
        <w:spacing w:lineRule="auto" w:line="276"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 </w:t>
      </w:r>
    </w:p>
    <w:p>
      <w:pPr>
        <w:pStyle w:val="TextBody"/>
        <w:spacing w:lineRule="auto" w:line="276" w:before="0" w:after="180"/>
        <w:ind w:left="0" w:right="0" w:firstLine="720"/>
        <w:jc w:val="both"/>
        <w:rPr/>
      </w:pPr>
      <w:r>
        <w:rPr>
          <w:rFonts w:ascii="Times New Roman;sans-serif" w:hAnsi="Times New Roman;sans-serif"/>
          <w:b w:val="false"/>
          <w:color w:val="000000"/>
          <w:sz w:val="22"/>
        </w:rPr>
        <w:t>7.2</w:t>
      </w:r>
      <w:r>
        <w:rPr>
          <w:rFonts w:ascii="Times New Roman;sans-serif" w:hAnsi="Times New Roman;sans-serif"/>
          <w:b w:val="false"/>
          <w:color w:val="000000"/>
          <w:sz w:val="22"/>
          <w:u w:val="single"/>
        </w:rPr>
        <w:t>Duty of Administrative Agent</w:t>
      </w:r>
      <w:r>
        <w:rPr>
          <w:rFonts w:ascii="Times New Roman;sans-serif" w:hAnsi="Times New Roman;sans-serif"/>
          <w:b w:val="false"/>
          <w:color w:val="000000"/>
          <w:sz w:val="22"/>
        </w:rPr>
        <w:t xml:space="preserve">. The Administrative Agent’s sole duty with respect to the custody, safekeeping and physical preservation of the Collateral in its possession, under Section 9-207 of the UCC or otherwise, shall be to deal with it in the same manner as the Administrative Agent deals with similar property for its own account. Neither the Administrative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other Secured Parties hereunder are solely to protect the Administrative Agent’s and the other Secured Parties’ interests in the Collateral and shall not impose any duty upon the Administrative Agent or any other Secured Party to exercise any such powers. The Administrative Agent and the other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 </w:t>
      </w:r>
    </w:p>
    <w:p>
      <w:pPr>
        <w:pStyle w:val="TextBody"/>
        <w:spacing w:lineRule="auto" w:line="276" w:before="0" w:after="180"/>
        <w:ind w:left="0" w:right="0" w:firstLine="720"/>
        <w:jc w:val="both"/>
        <w:rPr/>
      </w:pPr>
      <w:r>
        <w:rPr>
          <w:rFonts w:ascii="Times New Roman;sans-serif" w:hAnsi="Times New Roman;sans-serif"/>
          <w:b w:val="false"/>
          <w:color w:val="000000"/>
          <w:sz w:val="22"/>
        </w:rPr>
        <w:t>7.3</w:t>
      </w:r>
      <w:r>
        <w:rPr>
          <w:rFonts w:ascii="Times New Roman;sans-serif" w:hAnsi="Times New Roman;sans-serif"/>
          <w:b w:val="false"/>
          <w:color w:val="000000"/>
          <w:sz w:val="22"/>
          <w:u w:val="single"/>
        </w:rPr>
        <w:t>Authority of Administrative Agent</w:t>
      </w:r>
      <w:r>
        <w:rPr>
          <w:rFonts w:ascii="Times New Roman;sans-serif" w:hAnsi="Times New Roman;sans-serif"/>
          <w:b w:val="false"/>
          <w:color w:val="000000"/>
          <w:sz w:val="22"/>
        </w:rPr>
        <w:t xml:space="preserve">.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 Secured Parties, be governed by the Credit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w:t>
      </w:r>
      <w:r>
        <w:br w:type="page"/>
      </w:r>
    </w:p>
    <w:p>
      <w:pPr>
        <w:pStyle w:val="TextBody"/>
        <w:spacing w:before="0" w:after="0"/>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60655"/>
                <wp:effectExtent l="0" t="0" r="0" b="0"/>
                <wp:wrapNone/>
                <wp:docPr id="464" name="Frame4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lineRule="auto" w:line="276"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act or refrain from acting, and no Grantor shall be under any obligation, or entitlement, to make any inquiry respecting such authority.</w:t>
      </w:r>
    </w:p>
    <w:p>
      <w:pPr>
        <w:pStyle w:val="TextBody"/>
        <w:spacing w:lineRule="auto" w:line="288" w:before="0" w:after="180"/>
        <w:jc w:val="center"/>
        <w:rPr/>
      </w:pPr>
      <w:r>
        <w:rPr>
          <w:rFonts w:ascii="Times New Roman;sans-serif" w:hAnsi="Times New Roman;sans-serif"/>
          <w:b w:val="false"/>
          <w:color w:val="000000"/>
          <w:sz w:val="22"/>
        </w:rPr>
        <w:t>SECTION 8.</w:t>
      </w:r>
      <w:r>
        <w:rPr>
          <w:rFonts w:ascii="Times New Roman;sans-serif" w:hAnsi="Times New Roman;sans-serif"/>
          <w:b w:val="false"/>
          <w:color w:val="000000"/>
          <w:sz w:val="22"/>
        </w:rPr>
        <w:t xml:space="preserve">MISCELLANEOUS </w:t>
      </w:r>
    </w:p>
    <w:p>
      <w:pPr>
        <w:pStyle w:val="TextBody"/>
        <w:spacing w:lineRule="auto" w:line="288" w:before="0" w:after="180"/>
        <w:ind w:left="0" w:right="0" w:firstLine="720"/>
        <w:jc w:val="both"/>
        <w:rPr/>
      </w:pPr>
      <w:r>
        <w:rPr>
          <w:rFonts w:ascii="Times New Roman;sans-serif" w:hAnsi="Times New Roman;sans-serif"/>
          <w:b w:val="false"/>
          <w:color w:val="000000"/>
          <w:sz w:val="22"/>
        </w:rPr>
        <w:t>8.1</w:t>
      </w:r>
      <w:r>
        <w:rPr>
          <w:rFonts w:ascii="Times New Roman;sans-serif" w:hAnsi="Times New Roman;sans-serif"/>
          <w:b w:val="false"/>
          <w:color w:val="000000"/>
          <w:sz w:val="22"/>
          <w:u w:val="single"/>
        </w:rPr>
        <w:t>Amendments in Writing</w:t>
      </w:r>
      <w:r>
        <w:rPr>
          <w:rFonts w:ascii="Times New Roman;sans-serif" w:hAnsi="Times New Roman;sans-serif"/>
          <w:b w:val="false"/>
          <w:color w:val="000000"/>
          <w:sz w:val="22"/>
        </w:rPr>
        <w:t xml:space="preserve">. None of the terms or provisions of this Agreement may be waived, amended, supplemented or otherwise modified except in accordance with Section 10.1 of the Credit Agreement. </w:t>
      </w:r>
    </w:p>
    <w:p>
      <w:pPr>
        <w:pStyle w:val="TextBody"/>
        <w:spacing w:lineRule="auto" w:line="288" w:before="0" w:after="180"/>
        <w:ind w:left="0" w:right="0" w:firstLine="720"/>
        <w:jc w:val="both"/>
        <w:rPr/>
      </w:pPr>
      <w:r>
        <w:rPr>
          <w:rFonts w:ascii="Times New Roman;sans-serif" w:hAnsi="Times New Roman;sans-serif"/>
          <w:b w:val="false"/>
          <w:color w:val="000000"/>
          <w:sz w:val="22"/>
        </w:rPr>
        <w:t>8.2</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requests and demands to or upon the Administrative Agent or any Grantor hereunder shall be effected in the manner provided for in Section 10.2 of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notice, request or demand to or upon any Grantor shall be addressed to such Grantor at its notice address set forth on </w:t>
      </w:r>
      <w:r>
        <w:rPr>
          <w:rFonts w:ascii="Times New Roman;sans-serif" w:hAnsi="Times New Roman;sans-serif"/>
          <w:b w:val="false"/>
          <w:color w:val="000000"/>
          <w:sz w:val="22"/>
          <w:u w:val="single"/>
        </w:rPr>
        <w:t>Schedule 1</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8.3</w:t>
      </w:r>
      <w:r>
        <w:rPr>
          <w:rFonts w:ascii="Times New Roman;sans-serif" w:hAnsi="Times New Roman;sans-serif"/>
          <w:b w:val="false"/>
          <w:color w:val="000000"/>
          <w:sz w:val="22"/>
          <w:u w:val="single"/>
        </w:rPr>
        <w:t>No Waiver by Course of Conduct; Cumulative Remedies</w:t>
      </w:r>
      <w:r>
        <w:rPr>
          <w:rFonts w:ascii="Times New Roman;sans-serif" w:hAnsi="Times New Roman;sans-serif"/>
          <w:b w:val="false"/>
          <w:color w:val="000000"/>
          <w:sz w:val="22"/>
        </w:rPr>
        <w:t xml:space="preserve">. Neither the Administrative Agent nor any other Secured Party shall by any act (except by a written instrument pursuant to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delay, indulgence, omission or otherwise be deemed to have waived any right or remedy hereunder or to have acquiesced in any Default or Event of Default, as applicable. No failure to exercise, nor any delay in exercising, on the part of the Administrative Agent or any other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other Secured Party of any right or remedy hereunder on any one occasion shall not be construed as a bar to any right or remedy which the Administrative Agent or such other Secured Party would otherwise have on any future occasion. The rights and remedies herein provided are cumulative, may be exercised singly or concurrently and are not exclusive of any other rights or remedies provided by law.</w:t>
      </w:r>
    </w:p>
    <w:p>
      <w:pPr>
        <w:pStyle w:val="TextBody"/>
        <w:spacing w:lineRule="auto" w:line="288" w:before="0" w:after="180"/>
        <w:ind w:left="0" w:right="0" w:firstLine="720"/>
        <w:jc w:val="both"/>
        <w:rPr/>
      </w:pPr>
      <w:r>
        <w:rPr>
          <w:rFonts w:ascii="Times New Roman;sans-serif" w:hAnsi="Times New Roman;sans-serif"/>
          <w:b w:val="false"/>
          <w:color w:val="000000"/>
          <w:sz w:val="22"/>
        </w:rPr>
        <w:t>8.4</w:t>
      </w:r>
      <w:r>
        <w:rPr>
          <w:rFonts w:ascii="Times New Roman;sans-serif" w:hAnsi="Times New Roman;sans-serif"/>
          <w:b w:val="false"/>
          <w:color w:val="000000"/>
          <w:sz w:val="22"/>
          <w:u w:val="single"/>
        </w:rPr>
        <w:t>Enforcement Expenses; Indemnification</w:t>
      </w:r>
      <w:r>
        <w:rPr>
          <w:rFonts w:ascii="Times New Roman;sans-serif" w:hAnsi="Times New Roman;sans-serif"/>
          <w:b w:val="false"/>
          <w:color w:val="000000"/>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Grantor agrees to pay or reimburse the Administrative Agent and each other Secured Party for all its reasonable costs and expenses incurred in collecting against such Grantor under the guaranty contained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of this Agreement or otherwise enforcing or preserving any rights under this Agreement and the other Loan Documents to which such Guarantor is a party to the same extent as the Borrower pursuant to Section 10.5 of the Credit Agreement.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Grantor agrees to pay, and to save the Administrative Agent and each other Secured Party harmless from, any and all liabilities with respect to, or resulting from any delay in paying, any and all stamp, excise, sales or other similar Taxes (excluding Excluded Taxes, if any), which may be payable or determined to be payable with respect to any of the Collateral or in connection with any of the transactions contemplated by this Agreement to the same extent as the Borrower pursuant to Section 10.5 of the Credit Agreement. </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Each Grantor agrees to pay, and to save the Administrative Agent and each other Secured Party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the Credit Agreement. </w:t>
      </w:r>
    </w:p>
    <w:p>
      <w:pPr>
        <w:pStyle w:val="TextBody"/>
        <w:spacing w:lineRule="auto" w:line="288" w:before="0" w:after="18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agreements in this Section 8.4 shall survive the Discharge of Obligations. </w:t>
      </w:r>
    </w:p>
    <w:p>
      <w:pPr>
        <w:pStyle w:val="TextBody"/>
        <w:spacing w:lineRule="auto" w:line="288" w:before="0" w:after="180"/>
        <w:ind w:left="0" w:right="0" w:firstLine="720"/>
        <w:jc w:val="both"/>
        <w:rPr/>
      </w:pPr>
      <w:r>
        <w:rPr>
          <w:rFonts w:ascii="Times New Roman;sans-serif" w:hAnsi="Times New Roman;sans-serif"/>
          <w:b w:val="false"/>
          <w:color w:val="000000"/>
          <w:sz w:val="22"/>
        </w:rPr>
        <w:t>8.5</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This Agreement shall be binding upon the successors and assigns of each Grantor and shall inure to the benefit of the Administrative Agent and each other Secured </w:t>
      </w:r>
      <w:r>
        <w:br w:type="page"/>
      </w:r>
    </w:p>
    <w:p>
      <w:pPr>
        <w:pStyle w:val="TextBody"/>
        <w:spacing w:before="0" w:after="0"/>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60655"/>
                <wp:effectExtent l="0" t="0" r="0" b="0"/>
                <wp:wrapNone/>
                <wp:docPr id="465" name="Frame4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Party and their respective successors and assigns;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Grantor may assign, transfer or delegate any of its rights or obligations under this Agreement without the prior written consent of the Administrative Agent. </w:t>
      </w:r>
    </w:p>
    <w:p>
      <w:pPr>
        <w:pStyle w:val="TextBody"/>
        <w:spacing w:lineRule="auto" w:line="276" w:before="0" w:after="180"/>
        <w:ind w:left="0" w:right="0" w:firstLine="720"/>
        <w:jc w:val="both"/>
        <w:rPr/>
      </w:pPr>
      <w:r>
        <w:rPr>
          <w:rFonts w:ascii="Times New Roman;sans-serif" w:hAnsi="Times New Roman;sans-serif"/>
          <w:b w:val="false"/>
          <w:color w:val="000000"/>
          <w:sz w:val="22"/>
        </w:rPr>
        <w:t>8.6</w:t>
      </w:r>
      <w:r>
        <w:rPr>
          <w:rFonts w:ascii="Times New Roman;sans-serif" w:hAnsi="Times New Roman;sans-serif"/>
          <w:b w:val="false"/>
          <w:color w:val="000000"/>
          <w:sz w:val="22"/>
          <w:u w:val="single"/>
        </w:rPr>
        <w:t>Set Off</w:t>
      </w:r>
      <w:r>
        <w:rPr>
          <w:rFonts w:ascii="Times New Roman;sans-serif" w:hAnsi="Times New Roman;sans-serif"/>
          <w:b w:val="false"/>
          <w:color w:val="000000"/>
          <w:sz w:val="22"/>
        </w:rPr>
        <w:t xml:space="preserve">. Each Grantor hereby irrevocably authorizes the Administrative Agent and each other Secured Party and any Affiliate thereof at any time and from time to time after the occurrence and during the continuance of an Event of Default,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Secured Party or such Affiliate to or for the credit or the account of such Grantor, or any part thereof in such amounts as the Administrative Agent or such Secured Party may elect, against and on account of the Secured Obligations and liabilities of such Grantor to the Administrative Agent or such Secured Party hereunder and under the other Loan Documents and claims of every nature and description of the Administrative Agent or such Secured Party against such Grantor, in any currency, whether arising hereunder, under the Credit Agreement, any other Loan Document or otherwise, as the Administrative Agent or such Secured Party may elect, whether or not the Administrative Agent or any other Secured Party has made any demand for payment and although such obligations, liabilities and claims may be contingent or unmatured. The rights of the Administrative Agent and each other Secured Party under this </w:t>
      </w:r>
      <w:r>
        <w:rPr>
          <w:rFonts w:ascii="Times New Roman;sans-serif" w:hAnsi="Times New Roman;sans-serif"/>
          <w:b w:val="false"/>
          <w:color w:val="000000"/>
          <w:sz w:val="22"/>
          <w:u w:val="single"/>
        </w:rPr>
        <w:t>Section 8.6</w:t>
      </w:r>
      <w:r>
        <w:rPr>
          <w:color w:val="000000"/>
        </w:rPr>
        <w:t xml:space="preserve"> </w:t>
      </w:r>
      <w:r>
        <w:rPr>
          <w:rFonts w:ascii="Times New Roman;sans-serif" w:hAnsi="Times New Roman;sans-serif"/>
          <w:b w:val="false"/>
          <w:color w:val="000000"/>
          <w:sz w:val="22"/>
        </w:rPr>
        <w:t xml:space="preserve">are in addition to other rights and remedies (including, without limitation, other rights of setoff) which the Administrative Agent or such other Secured Party may have. </w:t>
      </w:r>
    </w:p>
    <w:p>
      <w:pPr>
        <w:pStyle w:val="TextBody"/>
        <w:spacing w:lineRule="auto" w:line="276" w:before="0" w:after="180"/>
        <w:ind w:left="0" w:right="0" w:firstLine="720"/>
        <w:jc w:val="both"/>
        <w:rPr/>
      </w:pPr>
      <w:r>
        <w:rPr>
          <w:rFonts w:ascii="Times New Roman;sans-serif" w:hAnsi="Times New Roman;sans-serif"/>
          <w:b w:val="false"/>
          <w:color w:val="000000"/>
          <w:sz w:val="22"/>
        </w:rPr>
        <w:t>8.7</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and delivered by one or more of the parties to this Agreement on any number of separate counterparts (including delivery by facsimile and/or electronic mail), and all of said counterparts taken together shall be deemed to constitute one and the same instrument. </w:t>
      </w:r>
    </w:p>
    <w:p>
      <w:pPr>
        <w:pStyle w:val="TextBody"/>
        <w:spacing w:lineRule="auto" w:line="276" w:before="0" w:after="180"/>
        <w:ind w:left="0" w:right="0" w:firstLine="720"/>
        <w:jc w:val="both"/>
        <w:rPr/>
      </w:pPr>
      <w:r>
        <w:rPr>
          <w:rFonts w:ascii="Times New Roman;sans-serif" w:hAnsi="Times New Roman;sans-serif"/>
          <w:b w:val="false"/>
          <w:color w:val="000000"/>
          <w:sz w:val="22"/>
        </w:rPr>
        <w:t>8.8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spacing w:lineRule="auto" w:line="276" w:before="0" w:after="180"/>
        <w:ind w:left="0" w:right="0" w:firstLine="720"/>
        <w:jc w:val="both"/>
        <w:rPr/>
      </w:pPr>
      <w:r>
        <w:rPr>
          <w:rFonts w:ascii="Times New Roman;sans-serif" w:hAnsi="Times New Roman;sans-serif"/>
          <w:b w:val="false"/>
          <w:color w:val="000000"/>
          <w:sz w:val="22"/>
        </w:rPr>
        <w:t>8.9</w:t>
      </w:r>
      <w:r>
        <w:rPr>
          <w:rFonts w:ascii="Times New Roman;sans-serif" w:hAnsi="Times New Roman;sans-serif"/>
          <w:b w:val="false"/>
          <w:color w:val="000000"/>
          <w:sz w:val="22"/>
          <w:u w:val="single"/>
        </w:rPr>
        <w:t>Section Headings</w:t>
      </w:r>
      <w:r>
        <w:rPr>
          <w:rFonts w:ascii="Times New Roman;sans-serif" w:hAnsi="Times New Roman;sans-serif"/>
          <w:b w:val="false"/>
          <w:color w:val="000000"/>
          <w:sz w:val="22"/>
        </w:rPr>
        <w:t xml:space="preserve">. The Section headings used in this Agreement are for convenience of reference only and are not to affect the construction hereof or be taken into consideration in the interpretation hereof. </w:t>
      </w:r>
    </w:p>
    <w:p>
      <w:pPr>
        <w:pStyle w:val="TextBody"/>
        <w:spacing w:lineRule="auto" w:line="276" w:before="0" w:after="180"/>
        <w:ind w:left="0" w:right="0" w:firstLine="720"/>
        <w:jc w:val="both"/>
        <w:rPr/>
      </w:pPr>
      <w:r>
        <w:rPr>
          <w:rFonts w:ascii="Times New Roman;sans-serif" w:hAnsi="Times New Roman;sans-serif"/>
          <w:b w:val="false"/>
          <w:color w:val="000000"/>
          <w:sz w:val="22"/>
        </w:rPr>
        <w:t>8.10</w:t>
      </w:r>
      <w:r>
        <w:rPr>
          <w:rFonts w:ascii="Times New Roman;sans-serif" w:hAnsi="Times New Roman;sans-serif"/>
          <w:b w:val="false"/>
          <w:color w:val="000000"/>
          <w:sz w:val="22"/>
          <w:u w:val="single"/>
        </w:rPr>
        <w:t>Integration</w:t>
      </w:r>
      <w:r>
        <w:rPr>
          <w:rFonts w:ascii="Times New Roman;sans-serif" w:hAnsi="Times New Roman;sans-serif"/>
          <w:b w:val="false"/>
          <w:color w:val="000000"/>
          <w:sz w:val="22"/>
        </w:rPr>
        <w:t xml:space="preserve">. This Agreement and the other Loan Documents represent the agreement of the Grantors, the Administrative Agent and the other Secured Parties with respect to the subject matter hereof and thereof, and there are no promises, undertakings, representations or warranties by the Administrative Agent or any other Secured Party relative to subject matter hereof and thereof not expressly set forth or referred to herein or in the other Loan Documents. </w:t>
      </w:r>
    </w:p>
    <w:p>
      <w:pPr>
        <w:pStyle w:val="TextBody"/>
        <w:spacing w:lineRule="auto" w:line="276" w:before="0" w:after="180"/>
        <w:ind w:left="0" w:right="0" w:firstLine="720"/>
        <w:jc w:val="both"/>
        <w:rPr/>
      </w:pPr>
      <w:r>
        <w:rPr>
          <w:rFonts w:ascii="Times New Roman;sans-serif" w:hAnsi="Times New Roman;sans-serif"/>
          <w:b w:val="false"/>
          <w:color w:val="000000"/>
          <w:sz w:val="22"/>
        </w:rPr>
        <w:t>8.11</w:t>
      </w:r>
      <w:r>
        <w:rPr>
          <w:rFonts w:ascii="Times New Roman;sans-serif" w:hAnsi="Times New Roman;sans-serif"/>
          <w:b/>
          <w:color w:val="000000"/>
          <w:sz w:val="22"/>
          <w:u w:val="single"/>
        </w:rPr>
        <w:t>GOVERNING LAW</w:t>
      </w:r>
      <w:r>
        <w:rPr>
          <w:rFonts w:ascii="Times New Roman;sans-serif" w:hAnsi="Times New Roman;sans-serif"/>
          <w:b/>
          <w:color w:val="000000"/>
          <w:sz w:val="22"/>
        </w:rPr>
        <w:t>. THIS AGREEMENT AND ANY CLAIM, CONTROVERSY, DISPUTE, CAUSE OF ACTION, OR PROCEEDING (WHETHER BASED IN CONTRACT, TORT, OR OTHERWISE) BASED UPON, ARISING OUT OF, CONNECTED WITH, OR RELATING TO THIS AGREEMENT, AND THE TRANSACTIONS CONTEMPLATED HEREBY, AND THE RIGHTS AND OBLIGATIONS OF THE PARTIES HEREUNDER, SHALL BE GOVERNED BY, AND CONSTRUED AND INTERPRETED IN ACCORDANCE WITH, THE INTERNAL LAWS (AND NOT THE CONFLICT OF LAW RULES) OF THE STATE OF NEW YORK.</w:t>
      </w:r>
      <w:r>
        <w:rPr>
          <w:color w:val="000000"/>
        </w:rPr>
        <w:t xml:space="preserve"> </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Section 8.11</w:t>
      </w:r>
      <w:r>
        <w:rPr>
          <w:color w:val="000000"/>
        </w:rPr>
        <w:t xml:space="preserve"> </w:t>
      </w:r>
      <w:r>
        <w:rPr>
          <w:rFonts w:ascii="Times New Roman;sans-serif" w:hAnsi="Times New Roman;sans-serif"/>
          <w:b w:val="false"/>
          <w:color w:val="000000"/>
          <w:sz w:val="22"/>
        </w:rPr>
        <w:t>shall survive the Discharge of Obligations.</w:t>
      </w:r>
      <w:r>
        <w:br w:type="page"/>
      </w:r>
    </w:p>
    <w:p>
      <w:pPr>
        <w:pStyle w:val="TextBody"/>
        <w:spacing w:before="0" w:after="0"/>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60655"/>
                <wp:effectExtent l="0" t="0" r="0" b="0"/>
                <wp:wrapNone/>
                <wp:docPr id="466" name="Frame4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2"/>
        </w:rPr>
        <w:t>8.12</w:t>
      </w:r>
      <w:r>
        <w:rPr>
          <w:rFonts w:ascii="Times New Roman;sans-serif" w:hAnsi="Times New Roman;sans-serif"/>
          <w:b w:val="false"/>
          <w:color w:val="000000"/>
          <w:sz w:val="22"/>
          <w:u w:val="single"/>
        </w:rPr>
        <w:t>Submission to Jurisdiction; Waivers</w:t>
      </w:r>
      <w:r>
        <w:rPr>
          <w:rFonts w:ascii="Times New Roman;sans-serif" w:hAnsi="Times New Roman;sans-serif"/>
          <w:b w:val="false"/>
          <w:color w:val="000000"/>
          <w:sz w:val="22"/>
        </w:rPr>
        <w:t xml:space="preserve">. Each Grantor hereby irrevocably and unconditionally agrees that the provisions of Sections 10.14(a) and (c) of the Credit Agreement (relating to submission to jurisdiction and waivers and the waiver of the right to claim or recover any special, exemplary, punitive or consequential damages) shall be incorporated herein,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as if set forth herein in full. This </w:t>
      </w:r>
      <w:r>
        <w:rPr>
          <w:rFonts w:ascii="Times New Roman;sans-serif" w:hAnsi="Times New Roman;sans-serif"/>
          <w:b w:val="false"/>
          <w:color w:val="000000"/>
          <w:sz w:val="22"/>
          <w:u w:val="single"/>
        </w:rPr>
        <w:t>Section 8.12</w:t>
      </w:r>
      <w:r>
        <w:rPr>
          <w:color w:val="000000"/>
        </w:rPr>
        <w:t xml:space="preserve"> </w:t>
      </w:r>
      <w:r>
        <w:rPr>
          <w:rFonts w:ascii="Times New Roman;sans-serif" w:hAnsi="Times New Roman;sans-serif"/>
          <w:b w:val="false"/>
          <w:color w:val="000000"/>
          <w:sz w:val="22"/>
        </w:rPr>
        <w:t xml:space="preserve">shall survive the Discharge of Obligations. </w:t>
      </w:r>
    </w:p>
    <w:p>
      <w:pPr>
        <w:pStyle w:val="TextBody"/>
        <w:spacing w:lineRule="auto" w:line="288" w:before="0" w:after="180"/>
        <w:ind w:left="0" w:right="0" w:firstLine="720"/>
        <w:jc w:val="both"/>
        <w:rPr/>
      </w:pPr>
      <w:r>
        <w:rPr>
          <w:rFonts w:ascii="Times New Roman;sans-serif" w:hAnsi="Times New Roman;sans-serif"/>
          <w:b w:val="false"/>
          <w:color w:val="000000"/>
          <w:sz w:val="22"/>
        </w:rPr>
        <w:t>8.13</w:t>
      </w:r>
      <w:r>
        <w:rPr>
          <w:rFonts w:ascii="Times New Roman;sans-serif" w:hAnsi="Times New Roman;sans-serif"/>
          <w:b w:val="false"/>
          <w:color w:val="000000"/>
          <w:sz w:val="22"/>
          <w:u w:val="single"/>
        </w:rPr>
        <w:t>Acknowledgements</w:t>
      </w:r>
      <w:r>
        <w:rPr>
          <w:rFonts w:ascii="Times New Roman;sans-serif" w:hAnsi="Times New Roman;sans-serif"/>
          <w:b w:val="false"/>
          <w:color w:val="000000"/>
          <w:sz w:val="22"/>
        </w:rPr>
        <w:t xml:space="preserve">. Each Grantor hereby acknowledges that: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it has been advised by counsel in the negotiation, execution and delivery of this Agreement and the other Loan Documents to which it is a party;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neither the Administrative Agent nor any other Secured Party has any fiduciary relationship with or duty to any Grantor arising out of or in connection with this Agreement or any of the other Loan Documents, and the relationship between the Grantors, on the one hand, and the Administrative Agent and the other Secured Parties, on the other hand, in connection herewith or therewith is solely that of debtor and creditor; and </w:t>
      </w:r>
    </w:p>
    <w:p>
      <w:pPr>
        <w:pStyle w:val="TextBody"/>
        <w:spacing w:lineRule="auto" w:line="288" w:before="0" w:after="18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 joint venture is created hereby or by the other Loan Documents or otherwise exists by virtue of the transactions contemplated hereby among any of the Secured Parties or among the Grantors and any of the Secured Parties. </w:t>
      </w:r>
    </w:p>
    <w:p>
      <w:pPr>
        <w:pStyle w:val="TextBody"/>
        <w:spacing w:lineRule="auto" w:line="288" w:before="0" w:after="180"/>
        <w:ind w:left="0" w:right="0" w:firstLine="720"/>
        <w:jc w:val="both"/>
        <w:rPr/>
      </w:pPr>
      <w:r>
        <w:rPr>
          <w:rFonts w:ascii="Times New Roman;sans-serif" w:hAnsi="Times New Roman;sans-serif"/>
          <w:b w:val="false"/>
          <w:color w:val="000000"/>
          <w:sz w:val="22"/>
        </w:rPr>
        <w:t>8.14</w:t>
      </w:r>
      <w:r>
        <w:rPr>
          <w:rFonts w:ascii="Times New Roman;sans-serif" w:hAnsi="Times New Roman;sans-serif"/>
          <w:b w:val="false"/>
          <w:color w:val="000000"/>
          <w:sz w:val="22"/>
          <w:u w:val="single"/>
        </w:rPr>
        <w:t>Additional Grantors</w:t>
      </w:r>
      <w:r>
        <w:rPr>
          <w:rFonts w:ascii="Times New Roman;sans-serif" w:hAnsi="Times New Roman;sans-serif"/>
          <w:b w:val="false"/>
          <w:color w:val="000000"/>
          <w:sz w:val="22"/>
        </w:rPr>
        <w:t xml:space="preserve">. Each Subsidiary of a Grantor that is required to become a party to this Agreement pursuant to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 xml:space="preserve">of the Credit Agreement shall become a Grantor for all purposes of this Agreement upon execution and delivery by such Subsidiary of an Assumption Agreement in the form of </w:t>
      </w:r>
      <w:r>
        <w:rPr>
          <w:rFonts w:ascii="Times New Roman;sans-serif" w:hAnsi="Times New Roman;sans-serif"/>
          <w:b w:val="false"/>
          <w:color w:val="000000"/>
          <w:sz w:val="22"/>
          <w:u w:val="single"/>
        </w:rPr>
        <w:t>Annex 1</w:t>
      </w:r>
      <w:r>
        <w:rPr>
          <w:color w:val="000000"/>
        </w:rPr>
        <w:t xml:space="preserve"> </w:t>
      </w:r>
      <w:r>
        <w:rPr>
          <w:rFonts w:ascii="Times New Roman;sans-serif" w:hAnsi="Times New Roman;sans-serif"/>
          <w:b w:val="false"/>
          <w:color w:val="000000"/>
          <w:sz w:val="22"/>
        </w:rPr>
        <w:t xml:space="preserve">hereto. </w:t>
      </w:r>
    </w:p>
    <w:p>
      <w:pPr>
        <w:pStyle w:val="TextBody"/>
        <w:spacing w:lineRule="auto" w:line="288" w:before="0" w:after="180"/>
        <w:ind w:left="0" w:right="0" w:firstLine="720"/>
        <w:jc w:val="both"/>
        <w:rPr/>
      </w:pPr>
      <w:r>
        <w:rPr>
          <w:rFonts w:ascii="Times New Roman;sans-serif" w:hAnsi="Times New Roman;sans-serif"/>
          <w:b w:val="false"/>
          <w:color w:val="000000"/>
          <w:sz w:val="22"/>
        </w:rPr>
        <w:t>8.15</w:t>
      </w:r>
      <w:r>
        <w:rPr>
          <w:rFonts w:ascii="Times New Roman;sans-serif" w:hAnsi="Times New Roman;sans-serif"/>
          <w:b w:val="false"/>
          <w:color w:val="000000"/>
          <w:sz w:val="22"/>
          <w:u w:val="single"/>
        </w:rPr>
        <w:t>Releases</w:t>
      </w:r>
      <w:r>
        <w:rPr>
          <w:rFonts w:ascii="Times New Roman;sans-serif" w:hAnsi="Times New Roman;sans-serif"/>
          <w:b w:val="false"/>
          <w:color w:val="000000"/>
          <w:sz w:val="22"/>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Upon the Discharge of Obligations, the Collateral shall automatically and without any further action be released from the Liens in favor of the Administrative Agent and the other Secured Parties created hereby, this Agreement shall terminate with respect to the Administrative Agent and the other Secured Parties, and all obligations (other than those expressly stated to survive such termination) of each Grantor to the Administrative Agent or any other Secured Party hereunder shall terminate, all without delivery of any instrument or performance of any act by any party. At the sole expense of any Grantor following any such termination, the Administrative Agent shall promptly deliver such documents as such Grantor shall reasonably request to evidence such termination. </w:t>
      </w:r>
    </w:p>
    <w:p>
      <w:pPr>
        <w:pStyle w:val="TextBody"/>
        <w:spacing w:lineRule="auto" w:line="288" w:before="0" w:after="18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any of the Collateral shall be sold, transferred or otherwise disposed of by any Grantor to a Person that is not a Grantor in a transaction permitted by Section 7 of the Credit Agreement, (i) such Collateral shall be automatically released from the Liens created hereby on such Collateral, and (ii) then the Administrative Agent, at the request and sole expense of such Grantor, shall promptly execute and deliver to such Grantor all releases or other documents reasonably necessary or desirable for the release of the Liens created hereby on such Collateral, as applicable. At the request and sole expense of the Borrower, a Guarantor shall be released from its obligations hereunder in the event that all the Capital Stock of such Guarantor shall be sold, transferred or otherwise disposed of to a Person other than a Grantor in a transaction permitted by Section 7 of the Credit Agreement.</w:t>
      </w:r>
    </w:p>
    <w:p>
      <w:pPr>
        <w:pStyle w:val="TextBody"/>
        <w:spacing w:lineRule="auto" w:line="288" w:before="0" w:after="180"/>
        <w:ind w:left="0" w:right="0" w:firstLine="720"/>
        <w:jc w:val="both"/>
        <w:rPr/>
      </w:pPr>
      <w:r>
        <w:rPr>
          <w:rFonts w:ascii="Times New Roman;sans-serif" w:hAnsi="Times New Roman;sans-serif"/>
          <w:b/>
          <w:color w:val="000000"/>
          <w:sz w:val="22"/>
        </w:rPr>
        <w:t>8.16</w:t>
      </w:r>
      <w:r>
        <w:rPr>
          <w:rFonts w:ascii="Times New Roman;sans-serif" w:hAnsi="Times New Roman;sans-serif"/>
          <w:b/>
          <w:color w:val="000000"/>
          <w:sz w:val="22"/>
        </w:rPr>
        <w:t xml:space="preserve">WAIVER OF JURY TRIAL. EACH GRANTOR AND THE ADMINISTRATIVE AGENT EACH HEREBY IRREVOCABLY AND UNCONDITIONALLY AGREE THAT THE PROVISIONS OF SECTION 10.14(b) OF THE CREDIT AGREEMENT (RELATING TO THE WAIVER OF THE RIGHT TO JURY TRIAL) SHALL BE INCORPORATED HEREIN, </w:t>
      </w:r>
      <w:r>
        <w:rPr>
          <w:rFonts w:ascii="Times New Roman;sans-serif" w:hAnsi="Times New Roman;sans-serif"/>
          <w:b/>
          <w:i/>
          <w:color w:val="000000"/>
          <w:sz w:val="22"/>
        </w:rPr>
        <w:t>MUTATIS MUTANDIS</w:t>
      </w:r>
      <w:r>
        <w:rPr>
          <w:rFonts w:ascii="Times New Roman;sans-serif" w:hAnsi="Times New Roman;sans-serif"/>
          <w:b/>
          <w:color w:val="000000"/>
          <w:sz w:val="22"/>
        </w:rPr>
        <w:t xml:space="preserve">, AS IF SET FORTH HEREIN IN FULL. THIS WAIVER OF THE </w:t>
      </w:r>
      <w:r>
        <w:br w:type="page"/>
      </w:r>
    </w:p>
    <w:p>
      <w:pPr>
        <w:pStyle w:val="TextBody"/>
        <w:spacing w:before="0" w:after="0"/>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60655"/>
                <wp:effectExtent l="0" t="0" r="0" b="0"/>
                <wp:wrapNone/>
                <wp:docPr id="467" name="Frame4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lineRule="auto" w:line="288" w:before="0" w:after="180"/>
        <w:jc w:val="both"/>
        <w:rPr/>
      </w:pPr>
      <w:r>
        <w:rPr>
          <w:rFonts w:ascii="Times New Roman;sans-serif" w:hAnsi="Times New Roman;sans-serif"/>
          <w:b/>
          <w:color w:val="000000"/>
          <w:sz w:val="22"/>
        </w:rPr>
        <w:t xml:space="preserve">RIGHT TO JURY TRIAL IS A MATERIAL INDUCEMENT FOR THE PARTIES HERETO TO ENTER INTO THIS AGREEMENT. EACH PARTY HERETO HAS REVIEWED THIS WAIVER WITH ITS COUNSEL. THIS </w:t>
      </w:r>
      <w:r>
        <w:rPr>
          <w:rFonts w:ascii="Times New Roman;sans-serif" w:hAnsi="Times New Roman;sans-serif"/>
          <w:b/>
          <w:color w:val="000000"/>
          <w:sz w:val="22"/>
          <w:u w:val="single"/>
        </w:rPr>
        <w:t>SECTION 8.16</w:t>
      </w:r>
      <w:r>
        <w:rPr>
          <w:color w:val="000000"/>
        </w:rPr>
        <w:t xml:space="preserve"> </w:t>
      </w:r>
      <w:r>
        <w:rPr>
          <w:rFonts w:ascii="Times New Roman;sans-serif" w:hAnsi="Times New Roman;sans-serif"/>
          <w:b/>
          <w:color w:val="000000"/>
          <w:sz w:val="22"/>
        </w:rPr>
        <w:t>SHALL SURVIVE THE DISCHARGE OF OBLIGATIONS.</w:t>
      </w:r>
    </w:p>
    <w:p>
      <w:pPr>
        <w:pStyle w:val="TextBody"/>
        <w:spacing w:lineRule="auto" w:line="288" w:before="0" w:after="180"/>
        <w:ind w:left="0" w:right="0" w:firstLine="720"/>
        <w:jc w:val="both"/>
        <w:rPr/>
      </w:pPr>
      <w:r>
        <w:rPr>
          <w:rFonts w:ascii="Times New Roman;sans-serif" w:hAnsi="Times New Roman;sans-serif"/>
          <w:b w:val="false"/>
          <w:color w:val="000000"/>
          <w:sz w:val="22"/>
        </w:rPr>
        <w:t>8.17</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Each Lender and the Administrative Agent (for itself and not on behalf of any other party) hereby notifies each Grantor that, pursuant to the requirements of “know your customer” and anti-money laundering rules and regulations, including the Patriot Act and 31 C.F.R. § 1010.230, it is required to obtain, verify and record information that identifies such Grantor, which information includes the names and addresses and other information that will allow such Lender or the Administrative Agent, as applicable, to identify such Grantor and certain of its beneficial owners and other officers in accordance with the Patriot Act and 31 C.F.R. § 1010.230. Each Grantor will, and will cause each of its Subsidiaries to, provide, to the extent commercially reasonable or required by any Requirement of Law, such information and take such actions as are reasonably requested by the Administrative Agent or any Lender to assist the Administrative Agent and the Lenders in maintaining compliance with “know your customer” requirements under the PATRIOT Act, 31 C.F.R. § 1010.230 or other applicable anti-money laundering laws.</w:t>
      </w:r>
    </w:p>
    <w:p>
      <w:pPr>
        <w:pStyle w:val="TextBody"/>
        <w:spacing w:lineRule="auto" w:line="288" w:before="0" w:after="180"/>
        <w:ind w:left="0" w:right="0" w:firstLine="720"/>
        <w:jc w:val="both"/>
        <w:rPr/>
      </w:pPr>
      <w:r>
        <w:rPr>
          <w:rFonts w:ascii="Times New Roman;sans-serif" w:hAnsi="Times New Roman;sans-serif"/>
          <w:b w:val="false"/>
          <w:color w:val="000000"/>
          <w:sz w:val="22"/>
        </w:rPr>
        <w:t>8.18</w:t>
      </w:r>
      <w:r>
        <w:rPr>
          <w:rFonts w:ascii="Times New Roman;sans-serif" w:hAnsi="Times New Roman;sans-serif"/>
          <w:b w:val="false"/>
          <w:color w:val="000000"/>
          <w:sz w:val="22"/>
          <w:u w:val="single"/>
        </w:rPr>
        <w:t>Security Limitations</w:t>
      </w:r>
      <w:r>
        <w:rPr>
          <w:rFonts w:ascii="Times New Roman;sans-serif" w:hAnsi="Times New Roman;sans-serif"/>
          <w:b w:val="false"/>
          <w:color w:val="000000"/>
          <w:sz w:val="22"/>
        </w:rPr>
        <w:t xml:space="preserve">. Solely to the extent of any conflict or inconsistency between the terms of this Agreement and the terms of any UK Security Document then, insofar as such conflict or inconsistency relates to any Collateral or other assets purported to pledged hereunder from time to time located in the jurisdiction covered by such UK Security Document, the terms of such UK Security Document shall prevail. Notwithstanding anything herein to the contrary, with respect to any Collateral constituting Capital Stock of an issuer that is a Foreign Subsidiary (and any Collateral related thereto) that is subject to a valid and perfected lien pursuant to any security agreements, pledge agreements or similar collateral documents that are governed by the laws of the jurisdiction of organization of such Foreign Subsidiary, such Collateral shall not also be subject to the perfection requirements contained herein. </w:t>
      </w:r>
    </w:p>
    <w:p>
      <w:pPr>
        <w:pStyle w:val="TextBody"/>
        <w:spacing w:lineRule="auto" w:line="288" w:before="0" w:after="18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60655"/>
                <wp:effectExtent l="0" t="0" r="0" b="0"/>
                <wp:wrapNone/>
                <wp:docPr id="468" name="Frame46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141111"/>
          <w:sz w:val="20"/>
        </w:rPr>
        <w:t xml:space="preserve">IN WITNESS WHEREOF, each of the undersigned (save for the UK Grantors) </w:t>
      </w:r>
      <w:r>
        <w:rPr>
          <w:rFonts w:ascii="Times New Roman;sans-serif" w:hAnsi="Times New Roman;sans-serif"/>
          <w:b w:val="false"/>
          <w:color w:val="141111"/>
          <w:sz w:val="18"/>
        </w:rPr>
        <w:t xml:space="preserve">has </w:t>
      </w:r>
      <w:r>
        <w:rPr>
          <w:rFonts w:ascii="Times New Roman;sans-serif" w:hAnsi="Times New Roman;sans-serif"/>
          <w:b w:val="false"/>
          <w:color w:val="141111"/>
          <w:sz w:val="22"/>
        </w:rPr>
        <w:t xml:space="preserve">caused this Guarantee </w:t>
      </w:r>
      <w:r>
        <w:rPr>
          <w:rFonts w:ascii="Times New Roman;sans-serif" w:hAnsi="Times New Roman;sans-serif"/>
          <w:b w:val="false"/>
          <w:color w:val="141111"/>
          <w:sz w:val="20"/>
        </w:rPr>
        <w:t xml:space="preserve">and </w:t>
      </w:r>
      <w:r>
        <w:rPr>
          <w:rFonts w:ascii="Times New Roman;sans-serif" w:hAnsi="Times New Roman;sans-serif"/>
          <w:b w:val="false"/>
          <w:color w:val="141111"/>
          <w:sz w:val="22"/>
        </w:rPr>
        <w:t xml:space="preserve">Collateral Agreement </w:t>
      </w:r>
      <w:r>
        <w:rPr>
          <w:rFonts w:ascii="Times New Roman;sans-serif" w:hAnsi="Times New Roman;sans-serif"/>
          <w:b w:val="false"/>
          <w:color w:val="141111"/>
          <w:sz w:val="20"/>
        </w:rPr>
        <w:t xml:space="preserve">to be </w:t>
      </w:r>
      <w:r>
        <w:rPr>
          <w:rFonts w:ascii="Times New Roman;sans-serif" w:hAnsi="Times New Roman;sans-serif"/>
          <w:b w:val="false"/>
          <w:color w:val="141111"/>
          <w:sz w:val="22"/>
        </w:rPr>
        <w:t>duly executed and delivered as of the date first above written</w:t>
      </w:r>
      <w:r>
        <w:rPr>
          <w:rFonts w:ascii="Times New Roman;sans-serif" w:hAnsi="Times New Roman;sans-serif"/>
          <w:b w:val="false"/>
          <w:color w:val="383636"/>
          <w:sz w:val="22"/>
        </w:rPr>
        <w:t xml:space="preserve">, </w:t>
      </w:r>
      <w:r>
        <w:rPr>
          <w:rFonts w:ascii="Times New Roman;sans-serif" w:hAnsi="Times New Roman;sans-serif"/>
          <w:b w:val="false"/>
          <w:color w:val="141111"/>
          <w:sz w:val="22"/>
        </w:rPr>
        <w:t>and the UK Grantors have each executed this Guarantee and Collateral Agreement as a deed as of the date first above written.</w:t>
      </w:r>
    </w:p>
    <w:tbl>
      <w:tblPr>
        <w:tblW w:w="6656" w:type="dxa"/>
        <w:jc w:val="left"/>
        <w:tblInd w:w="0" w:type="dxa"/>
        <w:tblCellMar>
          <w:top w:w="28" w:type="dxa"/>
          <w:left w:w="28" w:type="dxa"/>
          <w:bottom w:w="28" w:type="dxa"/>
          <w:right w:w="28" w:type="dxa"/>
        </w:tblCellMar>
      </w:tblPr>
      <w:tblGrid>
        <w:gridCol w:w="124"/>
        <w:gridCol w:w="109"/>
        <w:gridCol w:w="109"/>
        <w:gridCol w:w="520"/>
        <w:gridCol w:w="418"/>
        <w:gridCol w:w="421"/>
        <w:gridCol w:w="471"/>
        <w:gridCol w:w="471"/>
        <w:gridCol w:w="471"/>
        <w:gridCol w:w="471"/>
        <w:gridCol w:w="471"/>
        <w:gridCol w:w="471"/>
        <w:gridCol w:w="471"/>
        <w:gridCol w:w="471"/>
        <w:gridCol w:w="484"/>
        <w:gridCol w:w="206"/>
        <w:gridCol w:w="206"/>
        <w:gridCol w:w="2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GRANTORS:</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KALTURA, INC.</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25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Yaron Garmazi</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2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Yaron Garmazi</w:t>
            </w:r>
          </w:p>
        </w:tc>
        <w:tc>
          <w:tcPr>
            <w:tcW w:w="7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25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Chief Financial Officer</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4" w:type="dxa"/>
            <w:gridSpan w:val="15"/>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EXECUTED AS A DEED BY KALTURA EUROPE LIMITED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acting by a director in the presence of:</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9"/>
            <w:tcBorders>
              <w:top w:val="dotted"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of director</w:t>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of witness</w:t>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Print name </w:t>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Occupation</w:t>
            </w:r>
          </w:p>
        </w:tc>
        <w:tc>
          <w:tcPr>
            <w:tcW w:w="1413" w:type="dxa"/>
            <w:gridSpan w:val="3"/>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26" w:type="dxa"/>
            <w:gridSpan w:val="3"/>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03" w:type="dxa"/>
            <w:gridSpan w:val="3"/>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260"/>
                <wp:effectExtent l="0" t="0" r="0" b="0"/>
                <wp:wrapNone/>
                <wp:docPr id="469" name="Frame4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141111"/>
          <w:sz w:val="22"/>
        </w:rPr>
        <w:t>IN WITNESS WHEREOF, each of the undersigned (save for the UK Grantors) has caused this Guarantee and Collateral Agreement to be duly executed and delivered as of the date first above written</w:t>
      </w:r>
      <w:r>
        <w:rPr>
          <w:rFonts w:ascii="Times New Roman;sans-serif" w:hAnsi="Times New Roman;sans-serif"/>
          <w:b w:val="false"/>
          <w:color w:val="383636"/>
          <w:sz w:val="22"/>
        </w:rPr>
        <w:t xml:space="preserve">, </w:t>
      </w:r>
      <w:r>
        <w:rPr>
          <w:rFonts w:ascii="Times New Roman;sans-serif" w:hAnsi="Times New Roman;sans-serif"/>
          <w:b w:val="false"/>
          <w:color w:val="141111"/>
          <w:sz w:val="22"/>
        </w:rPr>
        <w:t>and the UK Grantors have each executed this Guarantee and Collateral Agreement as a deed as of the date first above written.</w:t>
      </w:r>
    </w:p>
    <w:tbl>
      <w:tblPr>
        <w:tblW w:w="6656" w:type="dxa"/>
        <w:jc w:val="left"/>
        <w:tblInd w:w="0" w:type="dxa"/>
        <w:tblCellMar>
          <w:top w:w="28" w:type="dxa"/>
          <w:left w:w="28" w:type="dxa"/>
          <w:bottom w:w="28" w:type="dxa"/>
          <w:right w:w="28" w:type="dxa"/>
        </w:tblCellMar>
      </w:tblPr>
      <w:tblGrid>
        <w:gridCol w:w="124"/>
        <w:gridCol w:w="109"/>
        <w:gridCol w:w="109"/>
        <w:gridCol w:w="520"/>
        <w:gridCol w:w="418"/>
        <w:gridCol w:w="421"/>
        <w:gridCol w:w="471"/>
        <w:gridCol w:w="471"/>
        <w:gridCol w:w="471"/>
        <w:gridCol w:w="471"/>
        <w:gridCol w:w="471"/>
        <w:gridCol w:w="471"/>
        <w:gridCol w:w="471"/>
        <w:gridCol w:w="471"/>
        <w:gridCol w:w="484"/>
        <w:gridCol w:w="206"/>
        <w:gridCol w:w="206"/>
        <w:gridCol w:w="2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GRANTORS:</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KALTURA, INC.</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252" w:type="dxa"/>
            <w:gridSpan w:val="9"/>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2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Yaron Garmazi</w:t>
            </w:r>
          </w:p>
        </w:tc>
        <w:tc>
          <w:tcPr>
            <w:tcW w:w="7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25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Chief Financial Officer</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4" w:type="dxa"/>
            <w:gridSpan w:val="15"/>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EXECUTED AS A DEED BY KALTURA EUROPE LIMITED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acting by a director in the presence of:</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12"/>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Michal Tsur</w:t>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9"/>
            <w:tcBorders>
              <w:top w:val="dotted"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of director</w:t>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of witness</w:t>
            </w:r>
          </w:p>
        </w:tc>
        <w:tc>
          <w:tcPr>
            <w:tcW w:w="212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Eran Shalev</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Print name </w:t>
            </w:r>
          </w:p>
        </w:tc>
        <w:tc>
          <w:tcPr>
            <w:tcW w:w="354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Eran Shalev</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4955" w:type="dxa"/>
            <w:gridSpan w:val="12"/>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4" w:type="dxa"/>
            <w:gridSpan w:val="15"/>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4" w:type="dxa"/>
            <w:gridSpan w:val="15"/>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Occupation</w:t>
            </w:r>
          </w:p>
        </w:tc>
        <w:tc>
          <w:tcPr>
            <w:tcW w:w="3542" w:type="dxa"/>
            <w:gridSpan w:val="9"/>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Professor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217805"/>
                <wp:effectExtent l="0" t="0" r="0" b="0"/>
                <wp:wrapNone/>
                <wp:docPr id="470" name="Frame463"/>
                <a:graphic xmlns:a="http://schemas.openxmlformats.org/drawingml/2006/main">
                  <a:graphicData uri="http://schemas.microsoft.com/office/word/2010/wordprocessingShape">
                    <wps:wsp>
                      <wps:cNvSpPr txBox="1"/>
                      <wps:spPr>
                        <a:xfrm>
                          <a:off x="0" y="0"/>
                          <a:ext cx="6480175" cy="217805"/>
                        </a:xfrm>
                        <a:prstGeom prst="rect"/>
                      </wps:spPr>
                      <wps:txbx>
                        <w:txbxContent>
                          <w:p>
                            <w:pPr>
                              <w:pStyle w:val="TextBody"/>
                              <w:spacing w:lineRule="auto" w:line="288" w:before="90" w:after="283"/>
                              <w:jc w:val="center"/>
                              <w:rPr>
                                <w:rFonts w:ascii="Times New Roman;sans-serif" w:hAnsi="Times New Roman;sans-serif"/>
                                <w:b w:val="false"/>
                                <w:color w:val="2B2B2B"/>
                                <w:sz w:val="22"/>
                              </w:rPr>
                            </w:pPr>
                            <w:r>
                              <w:rPr>
                                <w:rFonts w:ascii="Times New Roman;sans-serif" w:hAnsi="Times New Roman;sans-serif"/>
                                <w:b w:val="false"/>
                                <w:color w:val="2B2B2B"/>
                                <w:sz w:val="22"/>
                              </w:rPr>
                              <w:t>[Signature Page to Guarantee and Collateral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90" w:after="283"/>
                        <w:jc w:val="center"/>
                        <w:rPr>
                          <w:rFonts w:ascii="Times New Roman;sans-serif" w:hAnsi="Times New Roman;sans-serif"/>
                          <w:b w:val="false"/>
                          <w:color w:val="2B2B2B"/>
                          <w:sz w:val="22"/>
                        </w:rPr>
                      </w:pPr>
                      <w:r>
                        <w:rPr>
                          <w:rFonts w:ascii="Times New Roman;sans-serif" w:hAnsi="Times New Roman;sans-serif"/>
                          <w:b w:val="false"/>
                          <w:color w:val="2B2B2B"/>
                          <w:sz w:val="22"/>
                        </w:rPr>
                        <w:t>[Signature Page to Guarantee and Collateral Agreement]</w:t>
                      </w:r>
                    </w:p>
                  </w:txbxContent>
                </v:textbox>
              </v:rect>
            </w:pict>
          </mc:Fallback>
        </mc:AlternateContent>
      </w:r>
    </w:p>
    <w:tbl>
      <w:tblPr>
        <w:tblW w:w="3872" w:type="dxa"/>
        <w:jc w:val="left"/>
        <w:tblInd w:w="0" w:type="dxa"/>
        <w:tblCellMar>
          <w:top w:w="28" w:type="dxa"/>
          <w:left w:w="28" w:type="dxa"/>
          <w:bottom w:w="28" w:type="dxa"/>
          <w:right w:w="28" w:type="dxa"/>
        </w:tblCellMar>
      </w:tblPr>
      <w:tblGrid>
        <w:gridCol w:w="124"/>
        <w:gridCol w:w="109"/>
        <w:gridCol w:w="109"/>
        <w:gridCol w:w="497"/>
        <w:gridCol w:w="497"/>
        <w:gridCol w:w="497"/>
        <w:gridCol w:w="595"/>
        <w:gridCol w:w="595"/>
        <w:gridCol w:w="8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ADMINISTRATIVE AGENT: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SILICON VALLEY BANK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Francis Covoccia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Francis Covoccia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20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217805"/>
                <wp:effectExtent l="0" t="0" r="0" b="0"/>
                <wp:wrapNone/>
                <wp:docPr id="471" name="Frame464"/>
                <a:graphic xmlns:a="http://schemas.openxmlformats.org/drawingml/2006/main">
                  <a:graphicData uri="http://schemas.microsoft.com/office/word/2010/wordprocessingShape">
                    <wps:wsp>
                      <wps:cNvSpPr txBox="1"/>
                      <wps:spPr>
                        <a:xfrm>
                          <a:off x="0" y="0"/>
                          <a:ext cx="6480175" cy="217805"/>
                        </a:xfrm>
                        <a:prstGeom prst="rect"/>
                      </wps:spPr>
                      <wps:txbx>
                        <w:txbxContent>
                          <w:p>
                            <w:pPr>
                              <w:pStyle w:val="TextBody"/>
                              <w:spacing w:lineRule="auto" w:line="288" w:before="90" w:after="283"/>
                              <w:jc w:val="center"/>
                              <w:rPr>
                                <w:rFonts w:ascii="Times New Roman;sans-serif" w:hAnsi="Times New Roman;sans-serif"/>
                                <w:b w:val="false"/>
                                <w:color w:val="2B2B2B"/>
                                <w:sz w:val="22"/>
                              </w:rPr>
                            </w:pPr>
                            <w:r>
                              <w:rPr>
                                <w:rFonts w:ascii="Times New Roman;sans-serif" w:hAnsi="Times New Roman;sans-serif"/>
                                <w:b w:val="false"/>
                                <w:color w:val="2B2B2B"/>
                                <w:sz w:val="22"/>
                              </w:rPr>
                              <w:t>[Signature Page to Guarantee and Collateral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90" w:after="283"/>
                        <w:jc w:val="center"/>
                        <w:rPr>
                          <w:rFonts w:ascii="Times New Roman;sans-serif" w:hAnsi="Times New Roman;sans-serif"/>
                          <w:b w:val="false"/>
                          <w:color w:val="2B2B2B"/>
                          <w:sz w:val="22"/>
                        </w:rPr>
                      </w:pPr>
                      <w:r>
                        <w:rPr>
                          <w:rFonts w:ascii="Times New Roman;sans-serif" w:hAnsi="Times New Roman;sans-serif"/>
                          <w:b w:val="false"/>
                          <w:color w:val="2B2B2B"/>
                          <w:sz w:val="22"/>
                        </w:rPr>
                        <w:t>[Signature Page to Guarantee and Collateral Agreement]</w:t>
                      </w:r>
                    </w:p>
                  </w:txbxContent>
                </v:textbox>
              </v:rect>
            </w:pict>
          </mc:Fallback>
        </mc:AlternateContent>
      </w:r>
    </w:p>
    <w:p>
      <w:pPr>
        <w:pStyle w:val="TextBody"/>
        <w:spacing w:lineRule="auto" w:line="288" w:before="0" w:after="0"/>
        <w:jc w:val="center"/>
        <w:rPr>
          <w:rFonts w:ascii="Times New Roman;sans-serif" w:hAnsi="Times New Roman;sans-serif"/>
          <w:b/>
          <w:color w:val="101010"/>
          <w:sz w:val="20"/>
        </w:rPr>
      </w:pPr>
      <w:r>
        <w:rPr>
          <w:rFonts w:ascii="Times New Roman;sans-serif" w:hAnsi="Times New Roman;sans-serif"/>
          <w:b/>
          <w:color w:val="101010"/>
          <w:sz w:val="20"/>
        </w:rPr>
        <w:t>ANNEX 2 TO</w:t>
      </w:r>
    </w:p>
    <w:p>
      <w:pPr>
        <w:pStyle w:val="TextBody"/>
        <w:spacing w:lineRule="auto" w:line="288" w:before="0" w:after="180"/>
        <w:jc w:val="center"/>
        <w:rPr>
          <w:rFonts w:ascii="Times New Roman;sans-serif" w:hAnsi="Times New Roman;sans-serif"/>
          <w:b/>
          <w:color w:val="101010"/>
          <w:sz w:val="20"/>
        </w:rPr>
      </w:pPr>
      <w:r>
        <w:rPr>
          <w:rFonts w:ascii="Times New Roman;sans-serif" w:hAnsi="Times New Roman;sans-serif"/>
          <w:b/>
          <w:color w:val="101010"/>
          <w:sz w:val="20"/>
        </w:rPr>
        <w:t>GUARANTEE AND COLLATERAL AGREEMENT</w:t>
      </w:r>
    </w:p>
    <w:p>
      <w:pPr>
        <w:pStyle w:val="TextBody"/>
        <w:spacing w:lineRule="auto" w:line="288" w:before="0" w:after="0"/>
        <w:jc w:val="center"/>
        <w:rPr>
          <w:rFonts w:ascii="Times New Roman;sans-serif" w:hAnsi="Times New Roman;sans-serif"/>
          <w:b/>
          <w:color w:val="101010"/>
          <w:sz w:val="20"/>
        </w:rPr>
      </w:pPr>
      <w:r>
        <w:rPr>
          <w:rFonts w:ascii="Times New Roman;sans-serif" w:hAnsi="Times New Roman;sans-serif"/>
          <w:b/>
          <w:color w:val="101010"/>
          <w:sz w:val="20"/>
        </w:rPr>
        <w:t xml:space="preserve">FORM OF </w:t>
      </w:r>
    </w:p>
    <w:p>
      <w:pPr>
        <w:pStyle w:val="TextBody"/>
        <w:spacing w:lineRule="auto" w:line="288" w:before="0" w:after="180"/>
        <w:jc w:val="center"/>
        <w:rPr>
          <w:rFonts w:ascii="Times New Roman;sans-serif" w:hAnsi="Times New Roman;sans-serif"/>
          <w:b/>
          <w:color w:val="101010"/>
          <w:sz w:val="20"/>
        </w:rPr>
      </w:pPr>
      <w:r>
        <w:rPr>
          <w:rFonts w:ascii="Times New Roman;sans-serif" w:hAnsi="Times New Roman;sans-serif"/>
          <w:b/>
          <w:color w:val="101010"/>
          <w:sz w:val="20"/>
        </w:rPr>
        <w:t>PLEDGE SUPPLEMENT</w:t>
      </w:r>
    </w:p>
    <w:tbl>
      <w:tblPr>
        <w:tblW w:w="5348" w:type="dxa"/>
        <w:jc w:val="left"/>
        <w:tblInd w:w="0" w:type="dxa"/>
        <w:tblCellMar>
          <w:top w:w="28" w:type="dxa"/>
          <w:left w:w="28" w:type="dxa"/>
          <w:bottom w:w="28" w:type="dxa"/>
          <w:right w:w="28" w:type="dxa"/>
        </w:tblCellMar>
      </w:tblPr>
      <w:tblGrid>
        <w:gridCol w:w="222"/>
        <w:gridCol w:w="193"/>
        <w:gridCol w:w="199"/>
        <w:gridCol w:w="725"/>
        <w:gridCol w:w="725"/>
        <w:gridCol w:w="725"/>
        <w:gridCol w:w="725"/>
        <w:gridCol w:w="725"/>
        <w:gridCol w:w="737"/>
        <w:gridCol w:w="109"/>
        <w:gridCol w:w="109"/>
        <w:gridCol w:w="154"/>
      </w:tblGrid>
      <w:tr>
        <w:trPr/>
        <w:tc>
          <w:tcPr>
            <w:tcW w:w="22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w:t>
            </w:r>
          </w:p>
        </w:tc>
        <w:tc>
          <w:tcPr>
            <w:tcW w:w="436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 as Administrative Agent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w:t>
            </w:r>
          </w:p>
        </w:tc>
        <w:tc>
          <w:tcPr>
            <w:tcW w:w="436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Kaltura, Inc.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tc>
        <w:tc>
          <w:tcPr>
            <w:tcW w:w="2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pPr>
      <w:r>
        <w:rPr>
          <w:rFonts w:ascii="Times New Roman;sans-serif" w:hAnsi="Times New Roman;sans-serif"/>
          <w:b w:val="false"/>
          <w:color w:val="101010"/>
          <w:sz w:val="22"/>
        </w:rPr>
        <w:t xml:space="preserve">This Pledge Supplement (this </w:t>
      </w:r>
      <w:r>
        <w:rPr>
          <w:color w:val="101010"/>
        </w:rPr>
        <w:t>“</w:t>
      </w:r>
      <w:r>
        <w:rPr>
          <w:rFonts w:ascii="Times New Roman;sans-serif" w:hAnsi="Times New Roman;sans-serif"/>
          <w:b/>
          <w:i/>
          <w:color w:val="101010"/>
          <w:sz w:val="22"/>
        </w:rPr>
        <w:t xml:space="preserve">Pledge Supplement”) </w:t>
      </w:r>
      <w:r>
        <w:rPr>
          <w:rFonts w:ascii="Times New Roman;sans-serif" w:hAnsi="Times New Roman;sans-serif"/>
          <w:b w:val="false"/>
          <w:color w:val="101010"/>
          <w:sz w:val="22"/>
        </w:rPr>
        <w:t xml:space="preserve">is made and delivered pursuant to </w:t>
      </w:r>
      <w:r>
        <w:rPr>
          <w:rFonts w:ascii="Times New Roman;sans-serif" w:hAnsi="Times New Roman;sans-serif"/>
          <w:b w:val="false"/>
          <w:color w:val="101010"/>
          <w:sz w:val="22"/>
          <w:u w:val="single"/>
        </w:rPr>
        <w:t>Section 3.3(g)</w:t>
      </w:r>
      <w:r>
        <w:rPr>
          <w:color w:val="101010"/>
        </w:rPr>
        <w:t xml:space="preserve"> </w:t>
      </w:r>
      <w:r>
        <w:rPr>
          <w:rFonts w:ascii="Times New Roman;sans-serif" w:hAnsi="Times New Roman;sans-serif"/>
          <w:b w:val="false"/>
          <w:color w:val="101010"/>
          <w:sz w:val="22"/>
        </w:rPr>
        <w:t>of that certain Guarantee and Collateral Agreement</w:t>
      </w:r>
      <w:r>
        <w:rPr>
          <w:rFonts w:ascii="Times New Roman;sans-serif" w:hAnsi="Times New Roman;sans-serif"/>
          <w:b w:val="false"/>
          <w:color w:val="282828"/>
          <w:sz w:val="22"/>
        </w:rPr>
        <w:t xml:space="preserve">, </w:t>
      </w:r>
      <w:r>
        <w:rPr>
          <w:rFonts w:ascii="Times New Roman;sans-serif" w:hAnsi="Times New Roman;sans-serif"/>
          <w:b w:val="false"/>
          <w:color w:val="101010"/>
          <w:sz w:val="22"/>
        </w:rPr>
        <w:t xml:space="preserve">dated as of January </w:t>
      </w:r>
      <w:r>
        <w:rPr>
          <w:rFonts w:ascii="Arial;sans-serif" w:hAnsi="Arial;sans-serif"/>
          <w:b w:val="false"/>
          <w:color w:val="101010"/>
          <w:sz w:val="18"/>
        </w:rPr>
        <w:t>14</w:t>
      </w:r>
      <w:r>
        <w:rPr>
          <w:rFonts w:ascii="Arial;sans-serif" w:hAnsi="Arial;sans-serif"/>
          <w:b/>
          <w:color w:val="282828"/>
          <w:sz w:val="18"/>
        </w:rPr>
        <w:t xml:space="preserve">, </w:t>
      </w:r>
      <w:r>
        <w:rPr>
          <w:rFonts w:ascii="Times New Roman;sans-serif" w:hAnsi="Times New Roman;sans-serif"/>
          <w:b w:val="false"/>
          <w:color w:val="101010"/>
          <w:sz w:val="22"/>
        </w:rPr>
        <w:t>2021 (as amended, modified, renewed or extended from time to time</w:t>
      </w:r>
      <w:r>
        <w:rPr>
          <w:rFonts w:ascii="Times New Roman;sans-serif" w:hAnsi="Times New Roman;sans-serif"/>
          <w:b w:val="false"/>
          <w:color w:val="282828"/>
          <w:sz w:val="22"/>
        </w:rPr>
        <w:t xml:space="preserve">, </w:t>
      </w:r>
      <w:r>
        <w:rPr>
          <w:rFonts w:ascii="Times New Roman;sans-serif" w:hAnsi="Times New Roman;sans-serif"/>
          <w:b w:val="false"/>
          <w:color w:val="101010"/>
          <w:sz w:val="22"/>
        </w:rPr>
        <w:t xml:space="preserve">the </w:t>
      </w:r>
      <w:r>
        <w:rPr>
          <w:color w:val="101010"/>
        </w:rPr>
        <w:t>“</w:t>
      </w:r>
      <w:r>
        <w:rPr>
          <w:rFonts w:ascii="Times New Roman;sans-serif" w:hAnsi="Times New Roman;sans-serif"/>
          <w:b/>
          <w:i/>
          <w:color w:val="101010"/>
          <w:sz w:val="22"/>
        </w:rPr>
        <w:t>Guarantee and Collateral Agreement”)</w:t>
      </w:r>
      <w:r>
        <w:rPr>
          <w:rFonts w:ascii="Times New Roman;sans-serif" w:hAnsi="Times New Roman;sans-serif"/>
          <w:b/>
          <w:i/>
          <w:color w:val="282828"/>
          <w:sz w:val="22"/>
        </w:rPr>
        <w:t xml:space="preserve">, </w:t>
      </w:r>
      <w:r>
        <w:rPr>
          <w:rFonts w:ascii="Times New Roman;sans-serif" w:hAnsi="Times New Roman;sans-serif"/>
          <w:b w:val="false"/>
          <w:color w:val="101010"/>
          <w:sz w:val="22"/>
        </w:rPr>
        <w:t xml:space="preserve">among each Grantor party thereto (each a </w:t>
      </w:r>
      <w:r>
        <w:rPr>
          <w:color w:val="101010"/>
        </w:rPr>
        <w:t>“</w:t>
      </w:r>
      <w:r>
        <w:rPr>
          <w:rFonts w:ascii="Times New Roman;sans-serif" w:hAnsi="Times New Roman;sans-serif"/>
          <w:b/>
          <w:i/>
          <w:color w:val="101010"/>
          <w:sz w:val="22"/>
        </w:rPr>
        <w:t>Grantor”</w:t>
      </w:r>
      <w:r>
        <w:rPr>
          <w:rFonts w:ascii="Times New Roman;sans-serif" w:hAnsi="Times New Roman;sans-serif"/>
          <w:b w:val="false"/>
          <w:color w:val="101010"/>
          <w:sz w:val="22"/>
        </w:rPr>
        <w:t xml:space="preserve">and collectively, the </w:t>
      </w:r>
      <w:r>
        <w:rPr>
          <w:color w:val="101010"/>
        </w:rPr>
        <w:t>“</w:t>
      </w:r>
      <w:r>
        <w:rPr>
          <w:rFonts w:ascii="Times New Roman;sans-serif" w:hAnsi="Times New Roman;sans-serif"/>
          <w:b/>
          <w:i/>
          <w:color w:val="101010"/>
          <w:sz w:val="22"/>
        </w:rPr>
        <w:t>Grantors”)</w:t>
      </w:r>
      <w:r>
        <w:rPr>
          <w:rFonts w:ascii="Times New Roman;sans-serif" w:hAnsi="Times New Roman;sans-serif"/>
          <w:b/>
          <w:i/>
          <w:color w:val="282828"/>
          <w:sz w:val="22"/>
        </w:rPr>
        <w:t xml:space="preserve">, </w:t>
      </w:r>
      <w:r>
        <w:rPr>
          <w:rFonts w:ascii="Times New Roman;sans-serif" w:hAnsi="Times New Roman;sans-serif"/>
          <w:b w:val="false"/>
          <w:color w:val="101010"/>
          <w:sz w:val="22"/>
        </w:rPr>
        <w:t xml:space="preserve">and SILICON VALLEY BANK (the </w:t>
      </w:r>
      <w:r>
        <w:rPr>
          <w:color w:val="101010"/>
        </w:rPr>
        <w:t>“</w:t>
      </w:r>
      <w:r>
        <w:rPr>
          <w:rFonts w:ascii="Times New Roman;sans-serif" w:hAnsi="Times New Roman;sans-serif"/>
          <w:b/>
          <w:i/>
          <w:color w:val="101010"/>
          <w:sz w:val="22"/>
        </w:rPr>
        <w:t xml:space="preserve">Administrative Agent”). </w:t>
      </w:r>
      <w:r>
        <w:rPr>
          <w:rFonts w:ascii="Times New Roman;sans-serif" w:hAnsi="Times New Roman;sans-serif"/>
          <w:b w:val="false"/>
          <w:color w:val="101010"/>
          <w:sz w:val="22"/>
        </w:rPr>
        <w:t>All capitalized terms used in this Pledge Supplement and not otherwise defined herein shall have the meanings assigned to them in either the Guarantee and Collateral Agreement or the Credit Agreement (as defined in the Guarantee and Collateral Agreement), as the context may require.</w:t>
      </w:r>
    </w:p>
    <w:p>
      <w:pPr>
        <w:pStyle w:val="TextBody"/>
        <w:spacing w:lineRule="auto" w:line="288" w:before="0" w:after="180"/>
        <w:ind w:left="0" w:right="0" w:firstLine="720"/>
        <w:jc w:val="both"/>
        <w:rPr/>
      </w:pPr>
      <w:r>
        <w:rPr>
          <w:rFonts w:ascii="Times New Roman;sans-serif" w:hAnsi="Times New Roman;sans-serif"/>
          <w:b w:val="false"/>
          <w:color w:val="101010"/>
          <w:sz w:val="22"/>
        </w:rPr>
        <w:t>The undersigned</w:t>
      </w:r>
      <w:r>
        <w:rPr>
          <w:rFonts w:ascii="Times New Roman;sans-serif" w:hAnsi="Times New Roman;sans-serif"/>
          <w:b w:val="false"/>
          <w:color w:val="282828"/>
          <w:sz w:val="22"/>
        </w:rPr>
        <w:t>, _________________________[</w:t>
      </w:r>
      <w:r>
        <w:rPr>
          <w:rFonts w:ascii="Times New Roman;sans-serif" w:hAnsi="Times New Roman;sans-serif"/>
          <w:b w:val="false"/>
          <w:i/>
          <w:color w:val="101010"/>
          <w:sz w:val="22"/>
        </w:rPr>
        <w:t>in</w:t>
      </w:r>
      <w:r>
        <w:rPr>
          <w:rFonts w:ascii="Times New Roman;sans-serif" w:hAnsi="Times New Roman;sans-serif"/>
          <w:b w:val="false"/>
          <w:i/>
          <w:color w:val="282828"/>
          <w:sz w:val="22"/>
        </w:rPr>
        <w:t>s</w:t>
      </w:r>
      <w:r>
        <w:rPr>
          <w:rFonts w:ascii="Times New Roman;sans-serif" w:hAnsi="Times New Roman;sans-serif"/>
          <w:b w:val="false"/>
          <w:i/>
          <w:color w:val="101010"/>
          <w:sz w:val="22"/>
        </w:rPr>
        <w:t xml:space="preserve">ert name of Grantor], </w:t>
      </w:r>
      <w:r>
        <w:rPr>
          <w:rFonts w:ascii="Times New Roman;sans-serif" w:hAnsi="Times New Roman;sans-serif"/>
          <w:b w:val="false"/>
          <w:color w:val="101010"/>
          <w:sz w:val="22"/>
        </w:rPr>
        <w:t>a _______________________</w:t>
      </w:r>
      <w:r>
        <w:rPr>
          <w:color w:val="101010"/>
        </w:rPr>
        <w:t xml:space="preserve"> </w:t>
      </w:r>
      <w:r>
        <w:rPr>
          <w:rFonts w:ascii="Times New Roman;sans-serif" w:hAnsi="Times New Roman;sans-serif"/>
          <w:b w:val="false"/>
          <w:i/>
          <w:color w:val="101010"/>
          <w:sz w:val="22"/>
        </w:rPr>
        <w:t>[corporation</w:t>
      </w:r>
      <w:r>
        <w:rPr>
          <w:rFonts w:ascii="Times New Roman;sans-serif" w:hAnsi="Times New Roman;sans-serif"/>
          <w:b w:val="false"/>
          <w:i/>
          <w:color w:val="282828"/>
          <w:sz w:val="22"/>
        </w:rPr>
        <w:t xml:space="preserve">, </w:t>
      </w:r>
      <w:r>
        <w:rPr>
          <w:rFonts w:ascii="Times New Roman;sans-serif" w:hAnsi="Times New Roman;sans-serif"/>
          <w:b w:val="false"/>
          <w:i/>
          <w:color w:val="101010"/>
          <w:sz w:val="22"/>
        </w:rPr>
        <w:t>partne</w:t>
      </w:r>
      <w:r>
        <w:rPr>
          <w:rFonts w:ascii="Times New Roman;sans-serif" w:hAnsi="Times New Roman;sans-serif"/>
          <w:b w:val="false"/>
          <w:i/>
          <w:color w:val="282828"/>
          <w:sz w:val="22"/>
        </w:rPr>
        <w:t>r</w:t>
      </w:r>
      <w:r>
        <w:rPr>
          <w:rFonts w:ascii="Times New Roman;sans-serif" w:hAnsi="Times New Roman;sans-serif"/>
          <w:b w:val="false"/>
          <w:i/>
          <w:color w:val="101010"/>
          <w:sz w:val="22"/>
        </w:rPr>
        <w:t>ship, limited liability company, etc.]</w:t>
      </w:r>
      <w:r>
        <w:rPr>
          <w:rFonts w:ascii="Times New Roman;sans-serif" w:hAnsi="Times New Roman;sans-serif"/>
          <w:b w:val="false"/>
          <w:i/>
          <w:color w:val="282828"/>
          <w:sz w:val="22"/>
        </w:rPr>
        <w:t xml:space="preserve">, </w:t>
      </w:r>
      <w:r>
        <w:rPr>
          <w:rFonts w:ascii="Times New Roman;sans-serif" w:hAnsi="Times New Roman;sans-serif"/>
          <w:b w:val="false"/>
          <w:color w:val="101010"/>
          <w:sz w:val="22"/>
        </w:rPr>
        <w:t>confirms and agrees that all Pledged Collateral of the undersigned</w:t>
      </w:r>
      <w:r>
        <w:rPr>
          <w:rFonts w:ascii="Times New Roman;sans-serif" w:hAnsi="Times New Roman;sans-serif"/>
          <w:b w:val="false"/>
          <w:color w:val="282828"/>
          <w:sz w:val="22"/>
        </w:rPr>
        <w:t xml:space="preserve">, </w:t>
      </w:r>
      <w:r>
        <w:rPr>
          <w:rFonts w:ascii="Times New Roman;sans-serif" w:hAnsi="Times New Roman;sans-serif"/>
          <w:b w:val="false"/>
          <w:color w:val="101010"/>
          <w:sz w:val="22"/>
        </w:rPr>
        <w:t>including the property described on the supplemental schedule attached hereto</w:t>
      </w:r>
      <w:r>
        <w:rPr>
          <w:rFonts w:ascii="Times New Roman;sans-serif" w:hAnsi="Times New Roman;sans-serif"/>
          <w:b w:val="false"/>
          <w:color w:val="282828"/>
          <w:sz w:val="22"/>
        </w:rPr>
        <w:t xml:space="preserve">, </w:t>
      </w:r>
      <w:r>
        <w:rPr>
          <w:rFonts w:ascii="Times New Roman;sans-serif" w:hAnsi="Times New Roman;sans-serif"/>
          <w:b w:val="false"/>
          <w:color w:val="101010"/>
          <w:sz w:val="22"/>
        </w:rPr>
        <w:t>shall be and become part of the Pledged Collateral and shall secure all Secured Obligations.</w:t>
      </w:r>
    </w:p>
    <w:p>
      <w:pPr>
        <w:pStyle w:val="TextBody"/>
        <w:spacing w:lineRule="auto" w:line="288" w:before="0" w:after="180"/>
        <w:ind w:left="0" w:right="0" w:firstLine="720"/>
        <w:jc w:val="both"/>
        <w:rPr/>
      </w:pPr>
      <w:r>
        <w:rPr>
          <w:rFonts w:ascii="Times New Roman;sans-serif" w:hAnsi="Times New Roman;sans-serif"/>
          <w:b w:val="false"/>
          <w:color w:val="101010"/>
          <w:sz w:val="22"/>
          <w:u w:val="single"/>
        </w:rPr>
        <w:t>Schedule 2</w:t>
      </w:r>
      <w:r>
        <w:rPr>
          <w:color w:val="101010"/>
        </w:rPr>
        <w:t xml:space="preserve"> </w:t>
      </w:r>
      <w:r>
        <w:rPr>
          <w:rFonts w:ascii="Times New Roman;sans-serif" w:hAnsi="Times New Roman;sans-serif"/>
          <w:b w:val="false"/>
          <w:color w:val="101010"/>
          <w:sz w:val="22"/>
        </w:rPr>
        <w:t xml:space="preserve">to the Guarantee and Collateral Agreement is hereby amended by adding to such </w:t>
      </w:r>
      <w:r>
        <w:rPr>
          <w:rFonts w:ascii="Times New Roman;sans-serif" w:hAnsi="Times New Roman;sans-serif"/>
          <w:b w:val="false"/>
          <w:color w:val="101010"/>
          <w:sz w:val="22"/>
          <w:u w:val="single"/>
        </w:rPr>
        <w:t>Schedule 2</w:t>
      </w:r>
      <w:r>
        <w:rPr>
          <w:color w:val="101010"/>
        </w:rPr>
        <w:t xml:space="preserve"> </w:t>
      </w:r>
      <w:r>
        <w:rPr>
          <w:rFonts w:ascii="Times New Roman;sans-serif" w:hAnsi="Times New Roman;sans-serif"/>
          <w:b w:val="false"/>
          <w:color w:val="101010"/>
          <w:sz w:val="22"/>
        </w:rPr>
        <w:t>the information set forth in the supplement attached hereto.</w:t>
      </w:r>
    </w:p>
    <w:p>
      <w:pPr>
        <w:pStyle w:val="TextBody"/>
        <w:spacing w:lineRule="auto" w:line="288" w:before="0" w:after="180"/>
        <w:ind w:left="0" w:right="0" w:firstLine="720"/>
        <w:jc w:val="both"/>
        <w:rPr/>
      </w:pPr>
      <w:r>
        <w:rPr>
          <w:rFonts w:ascii="Times New Roman;sans-serif" w:hAnsi="Times New Roman;sans-serif"/>
          <w:b w:val="false"/>
          <w:color w:val="101010"/>
          <w:sz w:val="22"/>
        </w:rPr>
        <w:t>Thi</w:t>
      </w:r>
      <w:r>
        <w:rPr>
          <w:rFonts w:ascii="Times New Roman;sans-serif" w:hAnsi="Times New Roman;sans-serif"/>
          <w:b w:val="false"/>
          <w:color w:val="282828"/>
          <w:sz w:val="22"/>
        </w:rPr>
        <w:t xml:space="preserve">s </w:t>
      </w:r>
      <w:r>
        <w:rPr>
          <w:rFonts w:ascii="Times New Roman;sans-serif" w:hAnsi="Times New Roman;sans-serif"/>
          <w:b w:val="false"/>
          <w:color w:val="101010"/>
          <w:sz w:val="22"/>
        </w:rPr>
        <w:t>Pledge Supplement shall con</w:t>
      </w:r>
      <w:r>
        <w:rPr>
          <w:rFonts w:ascii="Times New Roman;sans-serif" w:hAnsi="Times New Roman;sans-serif"/>
          <w:b w:val="false"/>
          <w:color w:val="282828"/>
          <w:sz w:val="22"/>
        </w:rPr>
        <w:t>s</w:t>
      </w:r>
      <w:r>
        <w:rPr>
          <w:rFonts w:ascii="Times New Roman;sans-serif" w:hAnsi="Times New Roman;sans-serif"/>
          <w:b w:val="false"/>
          <w:color w:val="101010"/>
          <w:sz w:val="22"/>
        </w:rPr>
        <w:t>titute a Loan Document under the Credit Agreement.</w:t>
      </w:r>
    </w:p>
    <w:p>
      <w:pPr>
        <w:pStyle w:val="TextBody"/>
        <w:spacing w:lineRule="auto" w:line="288" w:before="0" w:after="180"/>
        <w:ind w:left="0" w:right="0" w:firstLine="720"/>
        <w:jc w:val="both"/>
        <w:rPr>
          <w:rFonts w:ascii="Times New Roman;sans-serif" w:hAnsi="Times New Roman;sans-serif"/>
          <w:b/>
          <w:color w:val="101010"/>
          <w:sz w:val="22"/>
        </w:rPr>
      </w:pPr>
      <w:r>
        <w:rPr>
          <w:rFonts w:ascii="Times New Roman;sans-serif" w:hAnsi="Times New Roman;sans-serif"/>
          <w:b/>
          <w:color w:val="101010"/>
          <w:sz w:val="22"/>
        </w:rPr>
        <w:t>THIS PLEDGE SUPPLEMENT SHALL BE GOVERNED BY, AND CONSTRUED IN ACCORDANCE WITH, THE LAWS (AND NOT THE CONFLICT OF LAW RULES) OF THE STATE OF NEW YORK.</w:t>
      </w:r>
    </w:p>
    <w:p>
      <w:pPr>
        <w:pStyle w:val="TextBody"/>
        <w:spacing w:lineRule="auto" w:line="288" w:before="0" w:after="180"/>
        <w:ind w:left="0" w:right="0" w:firstLine="720"/>
        <w:jc w:val="both"/>
        <w:rPr/>
      </w:pPr>
      <w:r>
        <w:rPr>
          <w:rFonts w:ascii="Times New Roman;sans-serif" w:hAnsi="Times New Roman;sans-serif"/>
          <w:b w:val="false"/>
          <w:color w:val="101010"/>
          <w:sz w:val="20"/>
        </w:rPr>
        <w:t xml:space="preserve">IN </w:t>
      </w:r>
      <w:r>
        <w:rPr>
          <w:rFonts w:ascii="Times New Roman;sans-serif" w:hAnsi="Times New Roman;sans-serif"/>
          <w:b w:val="false"/>
          <w:color w:val="101010"/>
          <w:sz w:val="22"/>
        </w:rPr>
        <w:t>WITNESS WHEREOF, the undersigned has executed this Pledge Supplement</w:t>
      </w:r>
      <w:r>
        <w:rPr>
          <w:rFonts w:ascii="Times New Roman;sans-serif" w:hAnsi="Times New Roman;sans-serif"/>
          <w:b w:val="false"/>
          <w:color w:val="282828"/>
          <w:sz w:val="22"/>
        </w:rPr>
        <w:t xml:space="preserve">, </w:t>
      </w:r>
      <w:r>
        <w:rPr>
          <w:rFonts w:ascii="Times New Roman;sans-serif" w:hAnsi="Times New Roman;sans-serif"/>
          <w:b w:val="false"/>
          <w:color w:val="101010"/>
          <w:sz w:val="22"/>
        </w:rPr>
        <w:t>as of the date first above written.</w:t>
      </w:r>
    </w:p>
    <w:tbl>
      <w:tblPr>
        <w:tblW w:w="4451" w:type="dxa"/>
        <w:jc w:val="right"/>
        <w:tblInd w:w="0" w:type="dxa"/>
        <w:tblCellMar>
          <w:top w:w="28" w:type="dxa"/>
          <w:left w:w="28" w:type="dxa"/>
          <w:bottom w:w="28" w:type="dxa"/>
          <w:right w:w="28" w:type="dxa"/>
        </w:tblCellMar>
      </w:tblPr>
      <w:tblGrid>
        <w:gridCol w:w="124"/>
        <w:gridCol w:w="109"/>
        <w:gridCol w:w="109"/>
        <w:gridCol w:w="435"/>
        <w:gridCol w:w="435"/>
        <w:gridCol w:w="435"/>
        <w:gridCol w:w="435"/>
        <w:gridCol w:w="435"/>
        <w:gridCol w:w="435"/>
        <w:gridCol w:w="435"/>
        <w:gridCol w:w="435"/>
        <w:gridCol w:w="6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9"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[NAME OF APPLICABLE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9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60655"/>
                <wp:effectExtent l="0" t="0" r="0" b="0"/>
                <wp:wrapNone/>
                <wp:docPr id="472" name="Frame46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101010"/>
                                <w:sz w:val="22"/>
                              </w:rPr>
                            </w:pPr>
                            <w:r>
                              <w:rPr>
                                <w:rFonts w:ascii="Times New Roman;sans-serif" w:hAnsi="Times New Roman;sans-serif"/>
                                <w:b w:val="false"/>
                                <w:color w:val="101010"/>
                                <w:sz w:val="22"/>
                              </w:rPr>
                              <w:t>Annex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101010"/>
                          <w:sz w:val="22"/>
                        </w:rPr>
                      </w:pPr>
                      <w:r>
                        <w:rPr>
                          <w:rFonts w:ascii="Times New Roman;sans-serif" w:hAnsi="Times New Roman;sans-serif"/>
                          <w:b w:val="false"/>
                          <w:color w:val="101010"/>
                          <w:sz w:val="22"/>
                        </w:rPr>
                        <w:t>Annex 2</w:t>
                      </w:r>
                    </w:p>
                  </w:txbxContent>
                </v:textbox>
              </v:rect>
            </w:pict>
          </mc:Fallback>
        </mc:AlternateContent>
      </w:r>
    </w:p>
    <w:p>
      <w:pPr>
        <w:pStyle w:val="TextBody"/>
        <w:spacing w:lineRule="auto" w:line="288" w:before="0" w:after="0"/>
        <w:jc w:val="center"/>
        <w:rPr>
          <w:rFonts w:ascii="Times New Roman;sans-serif" w:hAnsi="Times New Roman;sans-serif"/>
          <w:b/>
          <w:color w:val="111111"/>
          <w:sz w:val="20"/>
        </w:rPr>
      </w:pPr>
      <w:r>
        <w:rPr>
          <w:rFonts w:ascii="Times New Roman;sans-serif" w:hAnsi="Times New Roman;sans-serif"/>
          <w:b/>
          <w:color w:val="111111"/>
          <w:sz w:val="20"/>
        </w:rPr>
        <w:t>SUPPLEMENT TO ANNEX 2</w:t>
      </w:r>
    </w:p>
    <w:p>
      <w:pPr>
        <w:pStyle w:val="TextBody"/>
        <w:spacing w:lineRule="auto" w:line="288" w:before="0" w:after="180"/>
        <w:jc w:val="center"/>
        <w:rPr>
          <w:rFonts w:ascii="Times New Roman;sans-serif" w:hAnsi="Times New Roman;sans-serif"/>
          <w:b/>
          <w:color w:val="111111"/>
          <w:sz w:val="20"/>
        </w:rPr>
      </w:pPr>
      <w:r>
        <w:rPr>
          <w:rFonts w:ascii="Times New Roman;sans-serif" w:hAnsi="Times New Roman;sans-serif"/>
          <w:b/>
          <w:color w:val="111111"/>
          <w:sz w:val="20"/>
        </w:rPr>
        <w:t>TO THE GUARANTEE AND COLLATERAL AGREEMENT</w:t>
      </w:r>
    </w:p>
    <w:tbl>
      <w:tblPr>
        <w:tblW w:w="10205" w:type="dxa"/>
        <w:jc w:val="left"/>
        <w:tblInd w:w="0" w:type="dxa"/>
        <w:tblCellMar>
          <w:top w:w="28" w:type="dxa"/>
          <w:left w:w="28" w:type="dxa"/>
          <w:bottom w:w="28" w:type="dxa"/>
          <w:right w:w="28" w:type="dxa"/>
        </w:tblCellMar>
      </w:tblPr>
      <w:tblGrid>
        <w:gridCol w:w="497"/>
        <w:gridCol w:w="436"/>
        <w:gridCol w:w="439"/>
        <w:gridCol w:w="584"/>
        <w:gridCol w:w="584"/>
        <w:gridCol w:w="586"/>
        <w:gridCol w:w="499"/>
        <w:gridCol w:w="499"/>
        <w:gridCol w:w="500"/>
        <w:gridCol w:w="278"/>
        <w:gridCol w:w="278"/>
        <w:gridCol w:w="280"/>
        <w:gridCol w:w="573"/>
        <w:gridCol w:w="573"/>
        <w:gridCol w:w="576"/>
        <w:gridCol w:w="881"/>
        <w:gridCol w:w="881"/>
        <w:gridCol w:w="1261"/>
      </w:tblGrid>
      <w:tr>
        <w:trPr/>
        <w:tc>
          <w:tcPr>
            <w:tcW w:w="49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1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111111"/>
                <w:sz w:val="20"/>
                <w:u w:val="single"/>
              </w:rPr>
            </w:pPr>
            <w:r>
              <w:rPr>
                <w:rFonts w:ascii="Times New Roman;sans-serif" w:hAnsi="Times New Roman;sans-serif"/>
                <w:b w:val="false"/>
                <w:color w:val="111111"/>
                <w:sz w:val="20"/>
                <w:u w:val="single"/>
              </w:rPr>
              <w:t>Name of Subsidiary</w:t>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111111"/>
                <w:sz w:val="20"/>
                <w:u w:val="single"/>
              </w:rPr>
              <w:t>Number of Units</w:t>
            </w:r>
            <w:r>
              <w:rPr>
                <w:rFonts w:ascii="Times New Roman;sans-serif" w:hAnsi="Times New Roman;sans-serif"/>
                <w:b w:val="false"/>
                <w:color w:val="4D4D4D"/>
                <w:sz w:val="20"/>
                <w:u w:val="single"/>
              </w:rPr>
              <w:t>/</w:t>
            </w:r>
            <w:r>
              <w:rPr>
                <w:rFonts w:ascii="Times New Roman;sans-serif" w:hAnsi="Times New Roman;sans-serif"/>
                <w:b w:val="false"/>
                <w:color w:val="111111"/>
                <w:sz w:val="20"/>
                <w:u w:val="single"/>
              </w:rPr>
              <w:t>Shares Owned</w:t>
            </w:r>
          </w:p>
        </w:tc>
        <w:tc>
          <w:tcPr>
            <w:tcW w:w="149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111111"/>
                <w:sz w:val="20"/>
                <w:u w:val="single"/>
              </w:rPr>
            </w:pPr>
            <w:r>
              <w:rPr>
                <w:rFonts w:ascii="Times New Roman;sans-serif" w:hAnsi="Times New Roman;sans-serif"/>
                <w:b w:val="false"/>
                <w:color w:val="111111"/>
                <w:sz w:val="20"/>
                <w:u w:val="single"/>
              </w:rPr>
              <w:t>Certificate(s) Numbers</w:t>
            </w:r>
          </w:p>
        </w:tc>
        <w:tc>
          <w:tcPr>
            <w:tcW w:w="8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Issued</w:t>
            </w:r>
          </w:p>
        </w:tc>
        <w:tc>
          <w:tcPr>
            <w:tcW w:w="172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111111"/>
                <w:sz w:val="20"/>
                <w:u w:val="single"/>
              </w:rPr>
            </w:pPr>
            <w:r>
              <w:rPr>
                <w:rFonts w:ascii="Times New Roman;sans-serif" w:hAnsi="Times New Roman;sans-serif"/>
                <w:b w:val="false"/>
                <w:color w:val="111111"/>
                <w:sz w:val="20"/>
                <w:u w:val="single"/>
              </w:rPr>
              <w:t>Class or Type of Units or Shares</w:t>
            </w:r>
          </w:p>
        </w:tc>
        <w:tc>
          <w:tcPr>
            <w:tcW w:w="302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111111"/>
                <w:sz w:val="20"/>
                <w:u w:val="single"/>
              </w:rPr>
              <w:t>Percentage of Subsidiary</w:t>
            </w:r>
            <w:r>
              <w:rPr>
                <w:rFonts w:ascii="Times New Roman;sans-serif" w:hAnsi="Times New Roman;sans-serif"/>
                <w:b w:val="false"/>
                <w:color w:val="343434"/>
                <w:sz w:val="20"/>
                <w:u w:val="single"/>
              </w:rPr>
              <w:t>'</w:t>
            </w:r>
            <w:r>
              <w:rPr>
                <w:rFonts w:ascii="Times New Roman;sans-serif" w:hAnsi="Times New Roman;sans-serif"/>
                <w:b w:val="false"/>
                <w:color w:val="111111"/>
                <w:sz w:val="20"/>
                <w:u w:val="single"/>
              </w:rPr>
              <w:t>s Total Equity Interests Owned</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10.3</w:t>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260"/>
                <wp:effectExtent l="0" t="0" r="0" b="0"/>
                <wp:wrapNone/>
                <wp:docPr id="473" name="Frame4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3000"/>
        <w:rPr/>
      </w:pPr>
      <w:r>
        <w:rPr/>
      </w:r>
    </w:p>
    <w:p>
      <w:pPr>
        <w:pStyle w:val="TextBody"/>
        <w:spacing w:lineRule="auto" w:line="288" w:before="0" w:after="600"/>
        <w:rPr>
          <w:rFonts w:ascii="Arial;sans-serif" w:hAnsi="Arial;sans-serif"/>
          <w:b/>
          <w:color w:val="000000"/>
          <w:sz w:val="26"/>
        </w:rPr>
      </w:pPr>
      <w:r>
        <w:rPr>
          <w:rFonts w:ascii="Arial;sans-serif" w:hAnsi="Arial;sans-serif"/>
          <w:b/>
          <w:color w:val="000000"/>
          <w:sz w:val="26"/>
        </w:rPr>
        <w:t>Debenture - Kaltura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(1)         The entities listed in Schedule 1</w:t>
      </w:r>
    </w:p>
    <w:p>
      <w:pPr>
        <w:pStyle w:val="TextBody"/>
        <w:spacing w:lineRule="auto" w:line="288" w:before="0" w:after="300"/>
        <w:rPr>
          <w:rFonts w:ascii="Arial;sans-serif" w:hAnsi="Arial;sans-serif"/>
          <w:b w:val="false"/>
          <w:color w:val="000000"/>
          <w:sz w:val="20"/>
        </w:rPr>
      </w:pPr>
      <w:r>
        <w:rPr>
          <w:rFonts w:ascii="Arial;sans-serif" w:hAnsi="Arial;sans-serif"/>
          <w:b w:val="false"/>
          <w:color w:val="000000"/>
          <w:sz w:val="20"/>
        </w:rPr>
        <w:t>(as Original Chargors)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         Silicon Valley Bank</w:t>
      </w:r>
    </w:p>
    <w:p>
      <w:pPr>
        <w:pStyle w:val="TextBody"/>
        <w:spacing w:lineRule="auto" w:line="288" w:before="0" w:after="1080"/>
        <w:rPr>
          <w:rFonts w:ascii="Arial;sans-serif" w:hAnsi="Arial;sans-serif"/>
          <w:b w:val="false"/>
          <w:color w:val="000000"/>
          <w:sz w:val="20"/>
        </w:rPr>
      </w:pPr>
      <w:r>
        <w:rPr>
          <w:rFonts w:ascii="Arial;sans-serif" w:hAnsi="Arial;sans-serif"/>
          <w:b w:val="false"/>
          <w:color w:val="000000"/>
          <w:sz w:val="20"/>
        </w:rPr>
        <w:t>(as Administrative Agent)</w:t>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Dated                    14 January 2021</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260"/>
                <wp:effectExtent l="0" t="0" r="0" b="0"/>
                <wp:wrapNone/>
                <wp:docPr id="474" name="Frame4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Arial;sans-serif" w:hAnsi="Arial;sans-serif"/>
          <w:b/>
          <w:color w:val="000000"/>
          <w:sz w:val="18"/>
        </w:rPr>
      </w:pPr>
      <w:r>
        <w:rPr>
          <w:rFonts w:ascii="Arial;sans-serif" w:hAnsi="Arial;sans-serif"/>
          <w:b/>
          <w:color w:val="000000"/>
          <w:sz w:val="18"/>
        </w:rPr>
        <w:t>Contents</w:t>
      </w:r>
    </w:p>
    <w:tbl>
      <w:tblPr>
        <w:tblW w:w="5606" w:type="dxa"/>
        <w:jc w:val="left"/>
        <w:tblInd w:w="0" w:type="dxa"/>
        <w:tblCellMar>
          <w:top w:w="28" w:type="dxa"/>
          <w:left w:w="28" w:type="dxa"/>
          <w:bottom w:w="28" w:type="dxa"/>
          <w:right w:w="28" w:type="dxa"/>
        </w:tblCellMar>
      </w:tblPr>
      <w:tblGrid>
        <w:gridCol w:w="141"/>
        <w:gridCol w:w="124"/>
        <w:gridCol w:w="124"/>
        <w:gridCol w:w="1614"/>
        <w:gridCol w:w="1614"/>
        <w:gridCol w:w="1617"/>
        <w:gridCol w:w="109"/>
        <w:gridCol w:w="109"/>
        <w:gridCol w:w="154"/>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Definitions and interpretation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Covenant to Pay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Security Assets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Nature of Security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Further Assurances and Protection of Priority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Representations and Warranties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7.</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Undertakings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Enforcement and Powers of the Administrative Agent..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Appointment of a Receiver or Administrator.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Powers of a Receiver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11.</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Application of Moneys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12.</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Protection of Third 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13.</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Protection of the Administrative Agent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14.</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Cumulative Powers and Avoidance of Payments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15.</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Ruling-off Accounts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16.</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Power of Attorney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17.</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Delegation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18.</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Redemption of Prior Charges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19.</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Miscellaneous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Governing Law</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Jurisdiction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22.</w:t>
            </w:r>
          </w:p>
        </w:tc>
        <w:tc>
          <w:tcPr>
            <w:tcW w:w="48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 of Process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1</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Original Chargor[s]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2</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Security Assets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1</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The Bank Accounts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2</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Intellectual Property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3</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4</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Assigned Contracts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5</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3</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Form of Notices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1</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2</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(Form of notice to counterparties)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4</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Form of Accession Deed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2</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260"/>
                <wp:effectExtent l="0" t="0" r="0" b="0"/>
                <wp:wrapNone/>
                <wp:docPr id="475" name="Frame4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3445" w:type="dxa"/>
        <w:jc w:val="left"/>
        <w:tblInd w:w="0" w:type="dxa"/>
        <w:tblCellMar>
          <w:top w:w="28" w:type="dxa"/>
          <w:left w:w="28" w:type="dxa"/>
          <w:bottom w:w="28" w:type="dxa"/>
          <w:right w:w="28" w:type="dxa"/>
        </w:tblCellMar>
      </w:tblPr>
      <w:tblGrid>
        <w:gridCol w:w="567"/>
        <w:gridCol w:w="499"/>
        <w:gridCol w:w="499"/>
        <w:gridCol w:w="499"/>
        <w:gridCol w:w="499"/>
        <w:gridCol w:w="510"/>
        <w:gridCol w:w="109"/>
        <w:gridCol w:w="109"/>
        <w:gridCol w:w="154"/>
      </w:tblGrid>
      <w:tr>
        <w:trPr/>
        <w:tc>
          <w:tcPr>
            <w:tcW w:w="56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Intellectual Property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3</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 4</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Assigned Contracts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5</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Supplemental Debenture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6</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Powers of Receiver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r>
      <w:tr>
        <w:trPr/>
        <w:tc>
          <w:tcPr>
            <w:tcW w:w="30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 Signatories to this Deed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260"/>
                <wp:effectExtent l="0" t="0" r="0" b="0"/>
                <wp:wrapNone/>
                <wp:docPr id="476" name="Frame4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Arial;sans-serif" w:hAnsi="Arial;sans-serif"/>
          <w:b w:val="false"/>
          <w:color w:val="010101"/>
          <w:sz w:val="20"/>
        </w:rPr>
      </w:pPr>
      <w:r>
        <w:rPr>
          <w:rFonts w:ascii="Arial;sans-serif" w:hAnsi="Arial;sans-serif"/>
          <w:b w:val="false"/>
          <w:color w:val="010101"/>
          <w:sz w:val="20"/>
        </w:rPr>
        <w:t>14 January 2021</w:t>
      </w:r>
    </w:p>
    <w:p>
      <w:pPr>
        <w:pStyle w:val="TextBody"/>
        <w:spacing w:lineRule="auto" w:line="288" w:before="0" w:after="180"/>
        <w:rPr/>
      </w:pPr>
      <w:r>
        <w:rPr>
          <w:rFonts w:ascii="Arial;sans-serif" w:hAnsi="Arial;sans-serif"/>
          <w:b/>
          <w:color w:val="010101"/>
          <w:sz w:val="20"/>
        </w:rPr>
        <w:t xml:space="preserve">This Deed </w:t>
      </w:r>
      <w:r>
        <w:rPr>
          <w:rFonts w:ascii="Arial;sans-serif" w:hAnsi="Arial;sans-serif"/>
          <w:b w:val="false"/>
          <w:color w:val="010101"/>
          <w:sz w:val="20"/>
        </w:rPr>
        <w:t>is made on</w:t>
      </w:r>
    </w:p>
    <w:p>
      <w:pPr>
        <w:pStyle w:val="TextBody"/>
        <w:spacing w:lineRule="auto" w:line="288" w:before="0" w:after="180"/>
        <w:rPr>
          <w:rFonts w:ascii="Arial;sans-serif" w:hAnsi="Arial;sans-serif"/>
          <w:b/>
          <w:color w:val="010101"/>
          <w:sz w:val="20"/>
        </w:rPr>
      </w:pPr>
      <w:r>
        <w:rPr>
          <w:rFonts w:ascii="Arial;sans-serif" w:hAnsi="Arial;sans-serif"/>
          <w:b/>
          <w:color w:val="010101"/>
          <w:sz w:val="20"/>
        </w:rPr>
        <w:t>Between</w:t>
      </w:r>
    </w:p>
    <w:p>
      <w:pPr>
        <w:pStyle w:val="TextBody"/>
        <w:spacing w:lineRule="auto" w:line="288" w:before="0" w:after="180"/>
        <w:ind w:left="0" w:right="0" w:hanging="720"/>
        <w:rPr/>
      </w:pPr>
      <w:r>
        <w:rPr>
          <w:rFonts w:ascii="Arial;sans-serif" w:hAnsi="Arial;sans-serif"/>
          <w:b w:val="false"/>
          <w:color w:val="010101"/>
          <w:sz w:val="20"/>
        </w:rPr>
        <w:t>(1)    </w:t>
      </w:r>
      <w:r>
        <w:rPr>
          <w:rFonts w:ascii="Arial;sans-serif" w:hAnsi="Arial;sans-serif"/>
          <w:b/>
          <w:color w:val="010101"/>
          <w:sz w:val="20"/>
        </w:rPr>
        <w:t xml:space="preserve">Each person listed in Schedule 1 </w:t>
      </w:r>
      <w:r>
        <w:rPr>
          <w:rFonts w:ascii="Arial;sans-serif" w:hAnsi="Arial;sans-serif"/>
          <w:b w:val="false"/>
          <w:color w:val="010101"/>
          <w:sz w:val="20"/>
        </w:rPr>
        <w:t xml:space="preserve">to this Deed (the </w:t>
      </w:r>
      <w:r>
        <w:rPr>
          <w:rFonts w:ascii="Arial;sans-serif" w:hAnsi="Arial;sans-serif"/>
          <w:b/>
          <w:color w:val="010101"/>
          <w:sz w:val="20"/>
        </w:rPr>
        <w:t>"Original Chargors")</w:t>
      </w:r>
      <w:r>
        <w:rPr>
          <w:rFonts w:ascii="Arial;sans-serif" w:hAnsi="Arial;sans-serif"/>
          <w:b/>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(2)    </w:t>
      </w:r>
      <w:r>
        <w:rPr>
          <w:rFonts w:ascii="Arial;sans-serif" w:hAnsi="Arial;sans-serif"/>
          <w:b/>
          <w:color w:val="010101"/>
          <w:sz w:val="20"/>
        </w:rPr>
        <w:t xml:space="preserve">Silicon Valley Bank </w:t>
      </w:r>
      <w:r>
        <w:rPr>
          <w:rFonts w:ascii="Arial;sans-serif" w:hAnsi="Arial;sans-serif"/>
          <w:b w:val="false"/>
          <w:color w:val="010101"/>
          <w:sz w:val="20"/>
        </w:rPr>
        <w:t>a California corporation with its principal place of business at 3003 Tasman Drive</w:t>
      </w:r>
      <w:r>
        <w:rPr>
          <w:rFonts w:ascii="Arial;sans-serif" w:hAnsi="Arial;sans-serif"/>
          <w:b w:val="false"/>
          <w:color w:val="1C1C1C"/>
          <w:sz w:val="20"/>
        </w:rPr>
        <w:t xml:space="preserve">, </w:t>
      </w:r>
      <w:r>
        <w:rPr>
          <w:rFonts w:ascii="Arial;sans-serif" w:hAnsi="Arial;sans-serif"/>
          <w:b w:val="false"/>
          <w:color w:val="010101"/>
          <w:sz w:val="20"/>
        </w:rPr>
        <w:t>Santa Clara</w:t>
      </w:r>
      <w:r>
        <w:rPr>
          <w:rFonts w:ascii="Arial;sans-serif" w:hAnsi="Arial;sans-serif"/>
          <w:b w:val="false"/>
          <w:color w:val="1C1C1C"/>
          <w:sz w:val="20"/>
        </w:rPr>
        <w:t xml:space="preserve">, </w:t>
      </w:r>
      <w:r>
        <w:rPr>
          <w:rFonts w:ascii="Arial;sans-serif" w:hAnsi="Arial;sans-serif"/>
          <w:b w:val="false"/>
          <w:color w:val="010101"/>
          <w:sz w:val="20"/>
        </w:rPr>
        <w:t xml:space="preserve">California 95054 US as administrative agent and collateral agent for the Secured Parties (the </w:t>
      </w:r>
      <w:r>
        <w:rPr>
          <w:rFonts w:ascii="Arial;sans-serif" w:hAnsi="Arial;sans-serif"/>
          <w:b/>
          <w:color w:val="010101"/>
          <w:sz w:val="20"/>
        </w:rPr>
        <w:t>"Administrative Agent")</w:t>
      </w:r>
      <w:r>
        <w:rPr>
          <w:rFonts w:ascii="Arial;sans-serif" w:hAnsi="Arial;sans-serif"/>
          <w:b/>
          <w:color w:val="1C1C1C"/>
          <w:sz w:val="20"/>
        </w:rPr>
        <w:t>.</w:t>
      </w:r>
    </w:p>
    <w:p>
      <w:pPr>
        <w:pStyle w:val="TextBody"/>
        <w:spacing w:lineRule="auto" w:line="288" w:before="0" w:after="180"/>
        <w:rPr/>
      </w:pPr>
      <w:r>
        <w:rPr>
          <w:rFonts w:ascii="Arial;sans-serif" w:hAnsi="Arial;sans-serif"/>
          <w:b/>
          <w:color w:val="010101"/>
          <w:sz w:val="20"/>
        </w:rPr>
        <w:t xml:space="preserve">This Deed witnesses </w:t>
      </w:r>
      <w:r>
        <w:rPr>
          <w:rFonts w:ascii="Arial;sans-serif" w:hAnsi="Arial;sans-serif"/>
          <w:b w:val="false"/>
          <w:color w:val="010101"/>
          <w:sz w:val="20"/>
        </w:rPr>
        <w:t>as follows:</w:t>
      </w:r>
    </w:p>
    <w:p>
      <w:pPr>
        <w:pStyle w:val="TextBody"/>
        <w:spacing w:lineRule="auto" w:line="288" w:before="0" w:after="180"/>
        <w:ind w:left="0" w:right="0" w:hanging="720"/>
        <w:rPr/>
      </w:pPr>
      <w:r>
        <w:rPr>
          <w:rFonts w:ascii="Arial;sans-serif" w:hAnsi="Arial;sans-serif"/>
          <w:b w:val="false"/>
          <w:color w:val="010101"/>
          <w:sz w:val="20"/>
        </w:rPr>
        <w:t>1.    </w:t>
      </w:r>
      <w:r>
        <w:rPr>
          <w:rFonts w:ascii="Arial;sans-serif" w:hAnsi="Arial;sans-serif"/>
          <w:b/>
          <w:color w:val="010101"/>
          <w:sz w:val="20"/>
        </w:rPr>
        <w:t>Definitions and interpretation</w:t>
      </w:r>
    </w:p>
    <w:p>
      <w:pPr>
        <w:pStyle w:val="TextBody"/>
        <w:spacing w:lineRule="auto" w:line="288" w:before="0" w:after="180"/>
        <w:ind w:left="0" w:right="0" w:hanging="720"/>
        <w:rPr/>
      </w:pPr>
      <w:r>
        <w:rPr>
          <w:rFonts w:ascii="Arial;sans-serif" w:hAnsi="Arial;sans-serif"/>
          <w:b w:val="false"/>
          <w:color w:val="010101"/>
          <w:sz w:val="20"/>
        </w:rPr>
        <w:t>1.1    In this Deed</w:t>
      </w:r>
      <w:r>
        <w:rPr>
          <w:rFonts w:ascii="Arial;sans-serif" w:hAnsi="Arial;sans-serif"/>
          <w:b w:val="false"/>
          <w:color w:val="1C1C1C"/>
          <w:sz w:val="20"/>
        </w:rPr>
        <w:t xml:space="preserve">, </w:t>
      </w:r>
      <w:r>
        <w:rPr>
          <w:rFonts w:ascii="Arial;sans-serif" w:hAnsi="Arial;sans-serif"/>
          <w:b w:val="false"/>
          <w:color w:val="010101"/>
          <w:sz w:val="20"/>
        </w:rPr>
        <w:t>unless the context otherwise requires</w:t>
      </w:r>
      <w:r>
        <w:rPr>
          <w:rFonts w:ascii="Arial;sans-serif" w:hAnsi="Arial;sans-serif"/>
          <w:b w:val="false"/>
          <w:color w:val="1C1C1C"/>
          <w:sz w:val="20"/>
        </w:rPr>
        <w:t xml:space="preserve">, </w:t>
      </w:r>
      <w:r>
        <w:rPr>
          <w:rFonts w:ascii="Arial;sans-serif" w:hAnsi="Arial;sans-serif"/>
          <w:b w:val="false"/>
          <w:color w:val="010101"/>
          <w:sz w:val="20"/>
        </w:rPr>
        <w:t>the following definitions shall apply</w:t>
      </w:r>
      <w:r>
        <w:rPr>
          <w:rFonts w:ascii="Arial;sans-serif" w:hAnsi="Arial;sans-serif"/>
          <w:b w:val="false"/>
          <w:color w:val="1C1C1C"/>
          <w:sz w:val="20"/>
        </w:rPr>
        <w:t>:</w:t>
      </w:r>
    </w:p>
    <w:p>
      <w:pPr>
        <w:pStyle w:val="TextBody"/>
        <w:spacing w:lineRule="auto" w:line="288" w:before="0" w:after="180"/>
        <w:jc w:val="both"/>
        <w:rPr/>
      </w:pPr>
      <w:r>
        <w:rPr>
          <w:rFonts w:ascii="Arial;sans-serif" w:hAnsi="Arial;sans-serif"/>
          <w:b/>
          <w:color w:val="010101"/>
          <w:sz w:val="20"/>
        </w:rPr>
        <w:t xml:space="preserve">"Accession Deed" </w:t>
      </w:r>
      <w:r>
        <w:rPr>
          <w:rFonts w:ascii="Arial;sans-serif" w:hAnsi="Arial;sans-serif"/>
          <w:b w:val="false"/>
          <w:color w:val="010101"/>
          <w:sz w:val="20"/>
        </w:rPr>
        <w:t xml:space="preserve">means a document substantially in the form set out in Schedule 4 </w:t>
      </w:r>
      <w:r>
        <w:rPr>
          <w:rFonts w:ascii="Arial;sans-serif" w:hAnsi="Arial;sans-serif"/>
          <w:b w:val="false"/>
          <w:i/>
          <w:color w:val="010101"/>
          <w:sz w:val="20"/>
        </w:rPr>
        <w:t xml:space="preserve">(Form of Accession Deed) </w:t>
      </w:r>
      <w:r>
        <w:rPr>
          <w:rFonts w:ascii="Arial;sans-serif" w:hAnsi="Arial;sans-serif"/>
          <w:b w:val="false"/>
          <w:color w:val="010101"/>
          <w:sz w:val="20"/>
        </w:rPr>
        <w:t>or such other form as the Administrative Agent may require (acting reasonably)</w:t>
      </w:r>
      <w:r>
        <w:rPr>
          <w:rFonts w:ascii="Arial;sans-serif" w:hAnsi="Arial;sans-serif"/>
          <w:b w:val="false"/>
          <w:color w:val="1C1C1C"/>
          <w:sz w:val="20"/>
        </w:rPr>
        <w:t>.</w:t>
      </w:r>
    </w:p>
    <w:p>
      <w:pPr>
        <w:pStyle w:val="TextBody"/>
        <w:spacing w:lineRule="auto" w:line="288" w:before="0" w:after="180"/>
        <w:jc w:val="both"/>
        <w:rPr/>
      </w:pPr>
      <w:r>
        <w:rPr>
          <w:rFonts w:ascii="Arial;sans-serif" w:hAnsi="Arial;sans-serif"/>
          <w:b/>
          <w:color w:val="010101"/>
          <w:sz w:val="20"/>
        </w:rPr>
        <w:t xml:space="preserve">"Administrator" </w:t>
      </w:r>
      <w:r>
        <w:rPr>
          <w:rFonts w:ascii="Arial;sans-serif" w:hAnsi="Arial;sans-serif"/>
          <w:b w:val="false"/>
          <w:color w:val="010101"/>
          <w:sz w:val="20"/>
        </w:rPr>
        <w:t>means a person appointed under Schedule B1 to the Insolvency Act 1986 to manage a Chargor's affairs</w:t>
      </w:r>
      <w:r>
        <w:rPr>
          <w:rFonts w:ascii="Arial;sans-serif" w:hAnsi="Arial;sans-serif"/>
          <w:b w:val="false"/>
          <w:color w:val="1C1C1C"/>
          <w:sz w:val="20"/>
        </w:rPr>
        <w:t xml:space="preserve">, </w:t>
      </w:r>
      <w:r>
        <w:rPr>
          <w:rFonts w:ascii="Arial;sans-serif" w:hAnsi="Arial;sans-serif"/>
          <w:b w:val="false"/>
          <w:color w:val="010101"/>
          <w:sz w:val="20"/>
        </w:rPr>
        <w:t>business and property.</w:t>
      </w:r>
    </w:p>
    <w:p>
      <w:pPr>
        <w:pStyle w:val="TextBody"/>
        <w:spacing w:lineRule="auto" w:line="288" w:before="0" w:after="180"/>
        <w:jc w:val="both"/>
        <w:rPr/>
      </w:pPr>
      <w:r>
        <w:rPr>
          <w:rFonts w:ascii="Arial;sans-serif" w:hAnsi="Arial;sans-serif"/>
          <w:b/>
          <w:color w:val="010101"/>
          <w:sz w:val="20"/>
        </w:rPr>
        <w:t xml:space="preserve">"Assigned Contract" </w:t>
      </w:r>
      <w:r>
        <w:rPr>
          <w:rFonts w:ascii="Arial;sans-serif" w:hAnsi="Arial;sans-serif"/>
          <w:b w:val="false"/>
          <w:color w:val="010101"/>
          <w:sz w:val="20"/>
        </w:rPr>
        <w:t xml:space="preserve">means each contract specified in Part 4 of Schedule 2 </w:t>
      </w:r>
      <w:r>
        <w:rPr>
          <w:rFonts w:ascii="Arial;sans-serif" w:hAnsi="Arial;sans-serif"/>
          <w:b w:val="false"/>
          <w:i/>
          <w:color w:val="010101"/>
          <w:sz w:val="20"/>
        </w:rPr>
        <w:t xml:space="preserve">(Security </w:t>
      </w:r>
      <w:r>
        <w:rPr>
          <w:rFonts w:ascii="Arial;sans-serif" w:hAnsi="Arial;sans-serif"/>
          <w:b w:val="false"/>
          <w:color w:val="010101"/>
          <w:sz w:val="20"/>
        </w:rPr>
        <w:t>Assets) and (with effect from the date of the relevant Accession Deed or a Supplemental Debenture) each contract specified as an Assigned Contract in an Accession Deed or Supplemental Debenture (as the case may be).</w:t>
      </w:r>
    </w:p>
    <w:p>
      <w:pPr>
        <w:pStyle w:val="TextBody"/>
        <w:spacing w:lineRule="auto" w:line="288" w:before="0" w:after="180"/>
        <w:jc w:val="both"/>
        <w:rPr/>
      </w:pPr>
      <w:r>
        <w:rPr>
          <w:rFonts w:ascii="Arial;sans-serif" w:hAnsi="Arial;sans-serif"/>
          <w:b/>
          <w:color w:val="010101"/>
          <w:sz w:val="20"/>
        </w:rPr>
        <w:t xml:space="preserve">"Authorisation" </w:t>
      </w:r>
      <w:r>
        <w:rPr>
          <w:rFonts w:ascii="Arial;sans-serif" w:hAnsi="Arial;sans-serif"/>
          <w:b w:val="false"/>
          <w:color w:val="010101"/>
          <w:sz w:val="20"/>
        </w:rPr>
        <w:t>means an authorisation</w:t>
      </w:r>
      <w:r>
        <w:rPr>
          <w:rFonts w:ascii="Arial;sans-serif" w:hAnsi="Arial;sans-serif"/>
          <w:b w:val="false"/>
          <w:color w:val="1C1C1C"/>
          <w:sz w:val="20"/>
        </w:rPr>
        <w:t xml:space="preserve">, </w:t>
      </w:r>
      <w:r>
        <w:rPr>
          <w:rFonts w:ascii="Arial;sans-serif" w:hAnsi="Arial;sans-serif"/>
          <w:b w:val="false"/>
          <w:color w:val="010101"/>
          <w:sz w:val="20"/>
        </w:rPr>
        <w:t>consent</w:t>
      </w:r>
      <w:r>
        <w:rPr>
          <w:rFonts w:ascii="Arial;sans-serif" w:hAnsi="Arial;sans-serif"/>
          <w:b w:val="false"/>
          <w:color w:val="1C1C1C"/>
          <w:sz w:val="20"/>
        </w:rPr>
        <w:t xml:space="preserve">, </w:t>
      </w:r>
      <w:r>
        <w:rPr>
          <w:rFonts w:ascii="Arial;sans-serif" w:hAnsi="Arial;sans-serif"/>
          <w:b w:val="false"/>
          <w:color w:val="010101"/>
          <w:sz w:val="20"/>
        </w:rPr>
        <w:t>approval, resolution, licence, exemption</w:t>
      </w:r>
      <w:r>
        <w:rPr>
          <w:rFonts w:ascii="Arial;sans-serif" w:hAnsi="Arial;sans-serif"/>
          <w:b w:val="false"/>
          <w:color w:val="1C1C1C"/>
          <w:sz w:val="20"/>
        </w:rPr>
        <w:t xml:space="preserve">, </w:t>
      </w:r>
      <w:r>
        <w:rPr>
          <w:rFonts w:ascii="Arial;sans-serif" w:hAnsi="Arial;sans-serif"/>
          <w:b w:val="false"/>
          <w:color w:val="010101"/>
          <w:sz w:val="20"/>
        </w:rPr>
        <w:t>filing, notarisation or registration</w:t>
      </w:r>
      <w:r>
        <w:rPr>
          <w:rFonts w:ascii="Arial;sans-serif" w:hAnsi="Arial;sans-serif"/>
          <w:b w:val="false"/>
          <w:color w:val="363636"/>
          <w:sz w:val="20"/>
        </w:rPr>
        <w:t>.</w:t>
      </w:r>
    </w:p>
    <w:p>
      <w:pPr>
        <w:pStyle w:val="TextBody"/>
        <w:spacing w:lineRule="auto" w:line="288" w:before="0" w:after="180"/>
        <w:jc w:val="both"/>
        <w:rPr/>
      </w:pPr>
      <w:r>
        <w:rPr>
          <w:rFonts w:ascii="Arial;sans-serif" w:hAnsi="Arial;sans-serif"/>
          <w:b/>
          <w:color w:val="010101"/>
          <w:sz w:val="20"/>
        </w:rPr>
        <w:t xml:space="preserve">"Borrower" </w:t>
      </w:r>
      <w:r>
        <w:rPr>
          <w:rFonts w:ascii="Arial;sans-serif" w:hAnsi="Arial;sans-serif"/>
          <w:b w:val="false"/>
          <w:color w:val="010101"/>
          <w:sz w:val="20"/>
        </w:rPr>
        <w:t>means Kaltura</w:t>
      </w:r>
      <w:r>
        <w:rPr>
          <w:rFonts w:ascii="Arial;sans-serif" w:hAnsi="Arial;sans-serif"/>
          <w:b w:val="false"/>
          <w:color w:val="1C1C1C"/>
          <w:sz w:val="20"/>
        </w:rPr>
        <w:t xml:space="preserve">, </w:t>
      </w:r>
      <w:r>
        <w:rPr>
          <w:rFonts w:ascii="Arial;sans-serif" w:hAnsi="Arial;sans-serif"/>
          <w:b w:val="false"/>
          <w:color w:val="010101"/>
          <w:sz w:val="20"/>
        </w:rPr>
        <w:t>Inc</w:t>
      </w:r>
      <w:r>
        <w:rPr>
          <w:rFonts w:ascii="Arial;sans-serif" w:hAnsi="Arial;sans-serif"/>
          <w:b w:val="false"/>
          <w:color w:val="363636"/>
          <w:sz w:val="20"/>
        </w:rPr>
        <w:t>.</w:t>
      </w:r>
      <w:r>
        <w:rPr>
          <w:rFonts w:ascii="Arial;sans-serif" w:hAnsi="Arial;sans-serif"/>
          <w:b w:val="false"/>
          <w:color w:val="1C1C1C"/>
          <w:sz w:val="20"/>
        </w:rPr>
        <w:t xml:space="preserve">, </w:t>
      </w:r>
      <w:r>
        <w:rPr>
          <w:rFonts w:ascii="Arial;sans-serif" w:hAnsi="Arial;sans-serif"/>
          <w:b w:val="false"/>
          <w:color w:val="010101"/>
          <w:sz w:val="20"/>
        </w:rPr>
        <w:t>a Delaware corporation.</w:t>
      </w:r>
    </w:p>
    <w:p>
      <w:pPr>
        <w:pStyle w:val="TextBody"/>
        <w:spacing w:lineRule="auto" w:line="288" w:before="0" w:after="180"/>
        <w:jc w:val="both"/>
        <w:rPr/>
      </w:pPr>
      <w:r>
        <w:rPr>
          <w:rFonts w:ascii="Arial;sans-serif" w:hAnsi="Arial;sans-serif"/>
          <w:b/>
          <w:color w:val="010101"/>
          <w:sz w:val="20"/>
        </w:rPr>
        <w:t xml:space="preserve">"Chargors" </w:t>
      </w:r>
      <w:r>
        <w:rPr>
          <w:rFonts w:ascii="Arial;sans-serif" w:hAnsi="Arial;sans-serif"/>
          <w:b w:val="false"/>
          <w:color w:val="010101"/>
          <w:sz w:val="20"/>
        </w:rPr>
        <w:t>means each Original Chargor and any person that executes and delivers an Accession Deed in favour of the Administrative Agent after the date of this Deed.</w:t>
      </w:r>
    </w:p>
    <w:p>
      <w:pPr>
        <w:pStyle w:val="TextBody"/>
        <w:spacing w:lineRule="auto" w:line="288" w:before="0" w:after="180"/>
        <w:jc w:val="both"/>
        <w:rPr/>
      </w:pPr>
      <w:r>
        <w:rPr>
          <w:rFonts w:ascii="Arial;sans-serif" w:hAnsi="Arial;sans-serif"/>
          <w:b/>
          <w:color w:val="010101"/>
          <w:sz w:val="20"/>
        </w:rPr>
        <w:t xml:space="preserve">"Credit Agreement" </w:t>
      </w:r>
      <w:r>
        <w:rPr>
          <w:rFonts w:ascii="Arial;sans-serif" w:hAnsi="Arial;sans-serif"/>
          <w:b w:val="false"/>
          <w:color w:val="010101"/>
          <w:sz w:val="20"/>
        </w:rPr>
        <w:t>means that certain Credit Agreement dated on or about the date hereof and made between the Borrower and Silicon Valley Bank as original lender, issuing lender, administrative agent and collateral agent.</w:t>
      </w:r>
    </w:p>
    <w:p>
      <w:pPr>
        <w:pStyle w:val="TextBody"/>
        <w:spacing w:lineRule="auto" w:line="288" w:before="0" w:after="180"/>
        <w:jc w:val="both"/>
        <w:rPr/>
      </w:pPr>
      <w:r>
        <w:rPr>
          <w:rFonts w:ascii="Arial;sans-serif" w:hAnsi="Arial;sans-serif"/>
          <w:b/>
          <w:color w:val="010101"/>
          <w:sz w:val="20"/>
        </w:rPr>
        <w:t xml:space="preserve">"Declared Default" </w:t>
      </w:r>
      <w:r>
        <w:rPr>
          <w:rFonts w:ascii="Arial;sans-serif" w:hAnsi="Arial;sans-serif"/>
          <w:b w:val="false"/>
          <w:color w:val="010101"/>
          <w:sz w:val="20"/>
        </w:rPr>
        <w:t xml:space="preserve">means the Administrative Agent exercising any of its rights under section 8.2 </w:t>
      </w:r>
      <w:r>
        <w:rPr>
          <w:rFonts w:ascii="Arial;sans-serif" w:hAnsi="Arial;sans-serif"/>
          <w:b w:val="false"/>
          <w:i/>
          <w:color w:val="010101"/>
          <w:sz w:val="20"/>
        </w:rPr>
        <w:t xml:space="preserve">(Remedies upon Event of Default) </w:t>
      </w:r>
      <w:r>
        <w:rPr>
          <w:rFonts w:ascii="Arial;sans-serif" w:hAnsi="Arial;sans-serif"/>
          <w:b w:val="false"/>
          <w:color w:val="010101"/>
          <w:sz w:val="20"/>
        </w:rPr>
        <w:t>of the Credit Agreement.</w:t>
      </w:r>
    </w:p>
    <w:p>
      <w:pPr>
        <w:pStyle w:val="TextBody"/>
        <w:spacing w:lineRule="auto" w:line="288" w:before="0" w:after="180"/>
        <w:jc w:val="both"/>
        <w:rPr/>
      </w:pPr>
      <w:r>
        <w:rPr>
          <w:rFonts w:ascii="Arial;sans-serif" w:hAnsi="Arial;sans-serif"/>
          <w:b/>
          <w:color w:val="010101"/>
          <w:sz w:val="20"/>
        </w:rPr>
        <w:t xml:space="preserve">"Delegate" </w:t>
      </w:r>
      <w:r>
        <w:rPr>
          <w:rFonts w:ascii="Arial;sans-serif" w:hAnsi="Arial;sans-serif"/>
          <w:b w:val="false"/>
          <w:color w:val="010101"/>
          <w:sz w:val="20"/>
        </w:rPr>
        <w:t>means any delegate</w:t>
      </w:r>
      <w:r>
        <w:rPr>
          <w:rFonts w:ascii="Arial;sans-serif" w:hAnsi="Arial;sans-serif"/>
          <w:b w:val="false"/>
          <w:color w:val="1C1C1C"/>
          <w:sz w:val="20"/>
        </w:rPr>
        <w:t xml:space="preserve">, </w:t>
      </w:r>
      <w:r>
        <w:rPr>
          <w:rFonts w:ascii="Arial;sans-serif" w:hAnsi="Arial;sans-serif"/>
          <w:b w:val="false"/>
          <w:color w:val="010101"/>
          <w:sz w:val="20"/>
        </w:rPr>
        <w:t>agent, attorney or co-trustee appointed by the Administrative Agent.</w:t>
      </w:r>
    </w:p>
    <w:p>
      <w:pPr>
        <w:pStyle w:val="TextBody"/>
        <w:spacing w:lineRule="auto" w:line="288" w:before="0" w:after="180"/>
        <w:jc w:val="both"/>
        <w:rPr/>
      </w:pPr>
      <w:r>
        <w:rPr>
          <w:rFonts w:ascii="Arial;sans-serif" w:hAnsi="Arial;sans-serif"/>
          <w:b/>
          <w:color w:val="010101"/>
          <w:sz w:val="20"/>
        </w:rPr>
        <w:t xml:space="preserve">"Derivative Asset" </w:t>
      </w:r>
      <w:r>
        <w:rPr>
          <w:rFonts w:ascii="Arial;sans-serif" w:hAnsi="Arial;sans-serif"/>
          <w:b w:val="false"/>
          <w:color w:val="010101"/>
          <w:sz w:val="20"/>
        </w:rPr>
        <w:t>means all allotments, rights, benefits and advantages (including all voting rights) at any time accruing</w:t>
      </w:r>
      <w:r>
        <w:rPr>
          <w:rFonts w:ascii="Arial;sans-serif" w:hAnsi="Arial;sans-serif"/>
          <w:b w:val="false"/>
          <w:color w:val="1C1C1C"/>
          <w:sz w:val="20"/>
        </w:rPr>
        <w:t xml:space="preserve">, </w:t>
      </w:r>
      <w:r>
        <w:rPr>
          <w:rFonts w:ascii="Arial;sans-serif" w:hAnsi="Arial;sans-serif"/>
          <w:b w:val="false"/>
          <w:color w:val="010101"/>
          <w:sz w:val="20"/>
        </w:rPr>
        <w:t>offered or arising in respect of or incidental to any asset and all money or property accruing or offered at any time by way of conversion, redemption, bonus, preference</w:t>
      </w:r>
      <w:r>
        <w:rPr>
          <w:rFonts w:ascii="Arial;sans-serif" w:hAnsi="Arial;sans-serif"/>
          <w:b w:val="false"/>
          <w:color w:val="1C1C1C"/>
          <w:sz w:val="20"/>
        </w:rPr>
        <w:t xml:space="preserve">, </w:t>
      </w:r>
      <w:r>
        <w:rPr>
          <w:rFonts w:ascii="Arial;sans-serif" w:hAnsi="Arial;sans-serif"/>
          <w:b w:val="false"/>
          <w:color w:val="010101"/>
          <w:sz w:val="20"/>
        </w:rPr>
        <w:t>option, dividend, distribution, interest or otherwise in respect of an asset in each case to the extent legally or beneficially owned by a Chargor.</w:t>
      </w:r>
    </w:p>
    <w:p>
      <w:pPr>
        <w:pStyle w:val="TextBody"/>
        <w:spacing w:lineRule="auto" w:line="288" w:before="0" w:after="180"/>
        <w:jc w:val="both"/>
        <w:rPr/>
      </w:pPr>
      <w:r>
        <w:rPr>
          <w:rFonts w:ascii="Arial;sans-serif" w:hAnsi="Arial;sans-serif"/>
          <w:b/>
          <w:color w:val="010101"/>
          <w:sz w:val="20"/>
        </w:rPr>
        <w:t xml:space="preserve">"Excluded Assets" </w:t>
      </w:r>
      <w:r>
        <w:rPr>
          <w:rFonts w:ascii="Arial;sans-serif" w:hAnsi="Arial;sans-serif"/>
          <w:b w:val="false"/>
          <w:color w:val="010101"/>
          <w:sz w:val="20"/>
        </w:rPr>
        <w:t>has the meaning given to that term in the Guarantee and Collateral Agreement.</w:t>
      </w:r>
    </w:p>
    <w:p>
      <w:pPr>
        <w:pStyle w:val="TextBody"/>
        <w:spacing w:lineRule="auto" w:line="288" w:before="0" w:after="180"/>
        <w:jc w:val="both"/>
        <w:rPr/>
      </w:pPr>
      <w:r>
        <w:rPr>
          <w:rFonts w:ascii="Arial;sans-serif" w:hAnsi="Arial;sans-serif"/>
          <w:b/>
          <w:color w:val="010101"/>
          <w:sz w:val="20"/>
        </w:rPr>
        <w:t xml:space="preserve">"Floating Charge Asset" </w:t>
      </w:r>
      <w:r>
        <w:rPr>
          <w:rFonts w:ascii="Arial;sans-serif" w:hAnsi="Arial;sans-serif"/>
          <w:b w:val="false"/>
          <w:color w:val="010101"/>
          <w:sz w:val="20"/>
        </w:rPr>
        <w:t>means an asset charged under clause 3</w:t>
      </w:r>
      <w:r>
        <w:rPr>
          <w:rFonts w:ascii="Arial;sans-serif" w:hAnsi="Arial;sans-serif"/>
          <w:b w:val="false"/>
          <w:color w:val="363636"/>
          <w:sz w:val="20"/>
        </w:rPr>
        <w:t>.</w:t>
      </w:r>
      <w:r>
        <w:rPr>
          <w:rFonts w:ascii="Arial;sans-serif" w:hAnsi="Arial;sans-serif"/>
          <w:b w:val="false"/>
          <w:color w:val="010101"/>
          <w:sz w:val="20"/>
        </w:rPr>
        <w:t xml:space="preserve">3 </w:t>
      </w:r>
      <w:r>
        <w:rPr>
          <w:rFonts w:ascii="Arial;sans-serif" w:hAnsi="Arial;sans-serif"/>
          <w:b w:val="false"/>
          <w:i/>
          <w:color w:val="010101"/>
          <w:sz w:val="20"/>
        </w:rPr>
        <w:t xml:space="preserve">(Floating Charge) </w:t>
      </w:r>
      <w:r>
        <w:rPr>
          <w:rFonts w:ascii="Arial;sans-serif" w:hAnsi="Arial;sans-serif"/>
          <w:b w:val="false"/>
          <w:color w:val="010101"/>
          <w:sz w:val="20"/>
        </w:rPr>
        <w:t xml:space="preserve">or clause 4.1(a) </w:t>
      </w:r>
      <w:r>
        <w:rPr>
          <w:rFonts w:ascii="Arial;sans-serif" w:hAnsi="Arial;sans-serif"/>
          <w:b w:val="false"/>
          <w:i/>
          <w:color w:val="010101"/>
          <w:sz w:val="20"/>
        </w:rPr>
        <w:t xml:space="preserve">(Security) </w:t>
      </w:r>
      <w:r>
        <w:rPr>
          <w:rFonts w:ascii="Arial;sans-serif" w:hAnsi="Arial;sans-serif"/>
          <w:b w:val="false"/>
          <w:color w:val="010101"/>
          <w:sz w:val="20"/>
        </w:rPr>
        <w:t>of an Accession Deed.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050"/>
                <wp:effectExtent l="0" t="0" r="0" b="0"/>
                <wp:wrapNone/>
                <wp:docPr id="477" name="Frame4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w:t>
                      </w:r>
                    </w:p>
                  </w:txbxContent>
                </v:textbox>
              </v:rect>
            </w:pict>
          </mc:Fallback>
        </mc:AlternateContent>
      </w:r>
    </w:p>
    <w:p>
      <w:pPr>
        <w:pStyle w:val="TextBody"/>
        <w:spacing w:lineRule="auto" w:line="288" w:before="0" w:after="180"/>
        <w:jc w:val="both"/>
        <w:rPr/>
      </w:pPr>
      <w:r>
        <w:rPr>
          <w:rFonts w:ascii="Arial;sans-serif" w:hAnsi="Arial;sans-serif"/>
          <w:b/>
          <w:color w:val="010101"/>
          <w:sz w:val="20"/>
        </w:rPr>
        <w:t xml:space="preserve">"Guarantee and Collateral Agreement" </w:t>
      </w:r>
      <w:r>
        <w:rPr>
          <w:rFonts w:ascii="Arial;sans-serif" w:hAnsi="Arial;sans-serif"/>
          <w:b w:val="false"/>
          <w:color w:val="010101"/>
          <w:sz w:val="20"/>
        </w:rPr>
        <w:t>has the meaning given to that term in the Credit Agreement.</w:t>
      </w:r>
    </w:p>
    <w:p>
      <w:pPr>
        <w:pStyle w:val="TextBody"/>
        <w:spacing w:lineRule="auto" w:line="288" w:before="0" w:after="180"/>
        <w:jc w:val="both"/>
        <w:rPr/>
      </w:pPr>
      <w:r>
        <w:rPr>
          <w:rFonts w:ascii="Arial;sans-serif" w:hAnsi="Arial;sans-serif"/>
          <w:b/>
          <w:color w:val="010101"/>
          <w:sz w:val="20"/>
        </w:rPr>
        <w:t xml:space="preserve">"Insurance Proceeds" </w:t>
      </w:r>
      <w:r>
        <w:rPr>
          <w:rFonts w:ascii="Arial;sans-serif" w:hAnsi="Arial;sans-serif"/>
          <w:b w:val="false"/>
          <w:color w:val="010101"/>
          <w:sz w:val="20"/>
        </w:rPr>
        <w:t>means all monies from time to time payable to a Chargor under or pursuant to the Insurances</w:t>
      </w:r>
      <w:r>
        <w:rPr>
          <w:rFonts w:ascii="Arial;sans-serif" w:hAnsi="Arial;sans-serif"/>
          <w:b w:val="false"/>
          <w:color w:val="1C1C1C"/>
          <w:sz w:val="20"/>
        </w:rPr>
        <w:t xml:space="preserve">, </w:t>
      </w:r>
      <w:r>
        <w:rPr>
          <w:rFonts w:ascii="Arial;sans-serif" w:hAnsi="Arial;sans-serif"/>
          <w:b w:val="false"/>
          <w:color w:val="010101"/>
          <w:sz w:val="20"/>
        </w:rPr>
        <w:t>including the refund of any premium</w:t>
      </w:r>
      <w:r>
        <w:rPr>
          <w:rFonts w:ascii="Arial;sans-serif" w:hAnsi="Arial;sans-serif"/>
          <w:b w:val="false"/>
          <w:color w:val="1C1C1C"/>
          <w:sz w:val="20"/>
        </w:rPr>
        <w:t>.</w:t>
      </w:r>
    </w:p>
    <w:p>
      <w:pPr>
        <w:pStyle w:val="TextBody"/>
        <w:spacing w:lineRule="auto" w:line="288" w:before="0" w:after="180"/>
        <w:jc w:val="both"/>
        <w:rPr/>
      </w:pPr>
      <w:r>
        <w:rPr>
          <w:rFonts w:ascii="Arial;sans-serif" w:hAnsi="Arial;sans-serif"/>
          <w:b/>
          <w:color w:val="010101"/>
          <w:sz w:val="20"/>
        </w:rPr>
        <w:t xml:space="preserve">"Insurances" </w:t>
      </w:r>
      <w:r>
        <w:rPr>
          <w:rFonts w:ascii="Arial;sans-serif" w:hAnsi="Arial;sans-serif"/>
          <w:b w:val="false"/>
          <w:color w:val="010101"/>
          <w:sz w:val="20"/>
        </w:rPr>
        <w:t>means all policies of insurance and all proceeds of them either now or in the future held by, or written in favour of, a Chargor or in which it is otherwise interested, but excluding any third party liability or public liability insurance and any directors and officers insurance</w:t>
      </w:r>
      <w:r>
        <w:rPr>
          <w:rFonts w:ascii="Arial;sans-serif" w:hAnsi="Arial;sans-serif"/>
          <w:b w:val="false"/>
          <w:color w:val="3B3B3B"/>
          <w:sz w:val="20"/>
        </w:rPr>
        <w:t>.</w:t>
      </w:r>
    </w:p>
    <w:p>
      <w:pPr>
        <w:pStyle w:val="TextBody"/>
        <w:spacing w:lineRule="auto" w:line="288" w:before="0" w:after="180"/>
        <w:jc w:val="both"/>
        <w:rPr/>
      </w:pPr>
      <w:r>
        <w:rPr>
          <w:rFonts w:ascii="Arial;sans-serif" w:hAnsi="Arial;sans-serif"/>
          <w:b/>
          <w:color w:val="010101"/>
          <w:sz w:val="20"/>
        </w:rPr>
        <w:t xml:space="preserve">"Intellectual Property" </w:t>
      </w:r>
      <w:r>
        <w:rPr>
          <w:rFonts w:ascii="Arial;sans-serif" w:hAnsi="Arial;sans-serif"/>
          <w:b w:val="false"/>
          <w:color w:val="010101"/>
          <w:sz w:val="20"/>
        </w:rPr>
        <w:t>means all any patents, trademarks, service marks, designs, business names, copyrights, database rights</w:t>
      </w:r>
      <w:r>
        <w:rPr>
          <w:rFonts w:ascii="Arial;sans-serif" w:hAnsi="Arial;sans-serif"/>
          <w:b w:val="false"/>
          <w:color w:val="1C1C1C"/>
          <w:sz w:val="20"/>
        </w:rPr>
        <w:t xml:space="preserve">, </w:t>
      </w:r>
      <w:r>
        <w:rPr>
          <w:rFonts w:ascii="Arial;sans-serif" w:hAnsi="Arial;sans-serif"/>
          <w:b w:val="false"/>
          <w:color w:val="010101"/>
          <w:sz w:val="20"/>
        </w:rPr>
        <w:t>computer software, design rights</w:t>
      </w:r>
      <w:r>
        <w:rPr>
          <w:rFonts w:ascii="Arial;sans-serif" w:hAnsi="Arial;sans-serif"/>
          <w:b w:val="false"/>
          <w:color w:val="1C1C1C"/>
          <w:sz w:val="20"/>
        </w:rPr>
        <w:t xml:space="preserve">, </w:t>
      </w:r>
      <w:r>
        <w:rPr>
          <w:rFonts w:ascii="Arial;sans-serif" w:hAnsi="Arial;sans-serif"/>
          <w:b w:val="false"/>
          <w:color w:val="010101"/>
          <w:sz w:val="20"/>
        </w:rPr>
        <w:t>domain names, moral rights, inventions, confidential information, trade secrets, knowhow, brand names, trade names, any uniform resource identifier and other intellectual property rights and interests (which may now or in the future subsist), whether registered or unregistered, the benefit of all applications and rights to use those assets and any Related Rights and Derivative Assets arising in relation to any of the aforementioned assets</w:t>
      </w:r>
      <w:r>
        <w:rPr>
          <w:rFonts w:ascii="Arial;sans-serif" w:hAnsi="Arial;sans-serif"/>
          <w:b w:val="false"/>
          <w:color w:val="3B3B3B"/>
          <w:sz w:val="20"/>
        </w:rPr>
        <w:t>.</w:t>
      </w:r>
    </w:p>
    <w:p>
      <w:pPr>
        <w:pStyle w:val="TextBody"/>
        <w:spacing w:lineRule="auto" w:line="288" w:before="0" w:after="180"/>
        <w:jc w:val="both"/>
        <w:rPr/>
      </w:pPr>
      <w:r>
        <w:rPr>
          <w:rFonts w:ascii="Arial;sans-serif" w:hAnsi="Arial;sans-serif"/>
          <w:b/>
          <w:color w:val="010101"/>
          <w:sz w:val="20"/>
        </w:rPr>
        <w:t xml:space="preserve">"Investment" </w:t>
      </w:r>
      <w:r>
        <w:rPr>
          <w:rFonts w:ascii="Arial;sans-serif" w:hAnsi="Arial;sans-serif"/>
          <w:b w:val="false"/>
          <w:color w:val="010101"/>
          <w:sz w:val="20"/>
        </w:rPr>
        <w:t>means any stock</w:t>
      </w:r>
      <w:r>
        <w:rPr>
          <w:rFonts w:ascii="Arial;sans-serif" w:hAnsi="Arial;sans-serif"/>
          <w:b w:val="false"/>
          <w:color w:val="1C1C1C"/>
          <w:sz w:val="20"/>
        </w:rPr>
        <w:t xml:space="preserve">, </w:t>
      </w:r>
      <w:r>
        <w:rPr>
          <w:rFonts w:ascii="Arial;sans-serif" w:hAnsi="Arial;sans-serif"/>
          <w:b w:val="false"/>
          <w:color w:val="010101"/>
          <w:sz w:val="20"/>
        </w:rPr>
        <w:t>share, debenture</w:t>
      </w:r>
      <w:r>
        <w:rPr>
          <w:rFonts w:ascii="Arial;sans-serif" w:hAnsi="Arial;sans-serif"/>
          <w:b w:val="false"/>
          <w:color w:val="1C1C1C"/>
          <w:sz w:val="20"/>
        </w:rPr>
        <w:t xml:space="preserve">, </w:t>
      </w:r>
      <w:r>
        <w:rPr>
          <w:rFonts w:ascii="Arial;sans-serif" w:hAnsi="Arial;sans-serif"/>
          <w:b w:val="false"/>
          <w:color w:val="010101"/>
          <w:sz w:val="20"/>
        </w:rPr>
        <w:t>loan stock, interest in any investment fund and any other security (whether or not marketable) whether owned directly by or to the order of a Chargor or by any trustee</w:t>
      </w:r>
      <w:r>
        <w:rPr>
          <w:rFonts w:ascii="Arial;sans-serif" w:hAnsi="Arial;sans-serif"/>
          <w:b w:val="false"/>
          <w:color w:val="1C1C1C"/>
          <w:sz w:val="20"/>
        </w:rPr>
        <w:t xml:space="preserve">, </w:t>
      </w:r>
      <w:r>
        <w:rPr>
          <w:rFonts w:ascii="Arial;sans-serif" w:hAnsi="Arial;sans-serif"/>
          <w:b w:val="false"/>
          <w:color w:val="010101"/>
          <w:sz w:val="20"/>
        </w:rPr>
        <w:t>fiduciary or clearance system on its behalf, including any Derivative Asset and any Related Rights in respect of any of the foregoing</w:t>
      </w:r>
      <w:r>
        <w:rPr>
          <w:rFonts w:ascii="Arial;sans-serif" w:hAnsi="Arial;sans-serif"/>
          <w:b w:val="false"/>
          <w:color w:val="3B3B3B"/>
          <w:sz w:val="20"/>
        </w:rPr>
        <w:t>.</w:t>
      </w:r>
    </w:p>
    <w:p>
      <w:pPr>
        <w:pStyle w:val="TextBody"/>
        <w:spacing w:lineRule="auto" w:line="288" w:before="0" w:after="180"/>
        <w:jc w:val="both"/>
        <w:rPr/>
      </w:pPr>
      <w:r>
        <w:rPr>
          <w:rFonts w:ascii="Arial;sans-serif" w:hAnsi="Arial;sans-serif"/>
          <w:b/>
          <w:color w:val="010101"/>
          <w:sz w:val="20"/>
        </w:rPr>
        <w:t xml:space="preserve">"LPA" </w:t>
      </w:r>
      <w:r>
        <w:rPr>
          <w:rFonts w:ascii="Arial;sans-serif" w:hAnsi="Arial;sans-serif"/>
          <w:b w:val="false"/>
          <w:color w:val="010101"/>
          <w:sz w:val="20"/>
        </w:rPr>
        <w:t>means the Law of Property Act 1925.</w:t>
      </w:r>
    </w:p>
    <w:p>
      <w:pPr>
        <w:pStyle w:val="TextBody"/>
        <w:spacing w:lineRule="auto" w:line="288" w:before="0" w:after="180"/>
        <w:jc w:val="both"/>
        <w:rPr/>
      </w:pPr>
      <w:r>
        <w:rPr>
          <w:rFonts w:ascii="Arial;sans-serif" w:hAnsi="Arial;sans-serif"/>
          <w:b/>
          <w:color w:val="010101"/>
          <w:sz w:val="20"/>
        </w:rPr>
        <w:t xml:space="preserve">"Obligations" </w:t>
      </w:r>
      <w:r>
        <w:rPr>
          <w:rFonts w:ascii="Arial;sans-serif" w:hAnsi="Arial;sans-serif"/>
          <w:b w:val="false"/>
          <w:color w:val="010101"/>
          <w:sz w:val="20"/>
        </w:rPr>
        <w:t>has the meaning given to that term in the Credit Agreement.</w:t>
      </w:r>
    </w:p>
    <w:p>
      <w:pPr>
        <w:pStyle w:val="TextBody"/>
        <w:spacing w:lineRule="auto" w:line="288" w:before="0" w:after="180"/>
        <w:jc w:val="both"/>
        <w:rPr/>
      </w:pPr>
      <w:r>
        <w:rPr>
          <w:rFonts w:ascii="Arial;sans-serif" w:hAnsi="Arial;sans-serif"/>
          <w:b/>
          <w:color w:val="010101"/>
          <w:sz w:val="20"/>
        </w:rPr>
        <w:t xml:space="preserve">"Obligors" </w:t>
      </w:r>
      <w:r>
        <w:rPr>
          <w:rFonts w:ascii="Arial;sans-serif" w:hAnsi="Arial;sans-serif"/>
          <w:b w:val="false"/>
          <w:color w:val="010101"/>
          <w:sz w:val="20"/>
        </w:rPr>
        <w:t>means the Borrower and each Chargor.</w:t>
      </w:r>
    </w:p>
    <w:p>
      <w:pPr>
        <w:pStyle w:val="TextBody"/>
        <w:spacing w:lineRule="auto" w:line="288" w:before="0" w:after="180"/>
        <w:jc w:val="both"/>
        <w:rPr/>
      </w:pPr>
      <w:r>
        <w:rPr>
          <w:rFonts w:ascii="Arial;sans-serif" w:hAnsi="Arial;sans-serif"/>
          <w:b/>
          <w:color w:val="010101"/>
          <w:sz w:val="20"/>
        </w:rPr>
        <w:t xml:space="preserve">"Party" </w:t>
      </w:r>
      <w:r>
        <w:rPr>
          <w:rFonts w:ascii="Arial;sans-serif" w:hAnsi="Arial;sans-serif"/>
          <w:b w:val="false"/>
          <w:color w:val="010101"/>
          <w:sz w:val="20"/>
        </w:rPr>
        <w:t>means a party to this Deed.</w:t>
      </w:r>
    </w:p>
    <w:p>
      <w:pPr>
        <w:pStyle w:val="TextBody"/>
        <w:spacing w:lineRule="auto" w:line="288" w:before="0" w:after="180"/>
        <w:jc w:val="both"/>
        <w:rPr/>
      </w:pPr>
      <w:r>
        <w:rPr>
          <w:rFonts w:ascii="Arial;sans-serif" w:hAnsi="Arial;sans-serif"/>
          <w:b/>
          <w:color w:val="010101"/>
          <w:sz w:val="20"/>
        </w:rPr>
        <w:t xml:space="preserve">"Plant and Machinery" </w:t>
      </w:r>
      <w:r>
        <w:rPr>
          <w:rFonts w:ascii="Arial;sans-serif" w:hAnsi="Arial;sans-serif"/>
          <w:b w:val="false"/>
          <w:color w:val="010101"/>
          <w:sz w:val="20"/>
        </w:rPr>
        <w:t>means all plant and machinery, equipment, fittings, installations and apparatus</w:t>
      </w:r>
      <w:r>
        <w:rPr>
          <w:rFonts w:ascii="Arial;sans-serif" w:hAnsi="Arial;sans-serif"/>
          <w:b w:val="false"/>
          <w:color w:val="1C1C1C"/>
          <w:sz w:val="20"/>
        </w:rPr>
        <w:t xml:space="preserve">, </w:t>
      </w:r>
      <w:r>
        <w:rPr>
          <w:rFonts w:ascii="Arial;sans-serif" w:hAnsi="Arial;sans-serif"/>
          <w:b w:val="false"/>
          <w:color w:val="010101"/>
          <w:sz w:val="20"/>
        </w:rPr>
        <w:t>tools</w:t>
      </w:r>
      <w:r>
        <w:rPr>
          <w:rFonts w:ascii="Arial;sans-serif" w:hAnsi="Arial;sans-serif"/>
          <w:b w:val="false"/>
          <w:color w:val="1C1C1C"/>
          <w:sz w:val="20"/>
        </w:rPr>
        <w:t xml:space="preserve">, </w:t>
      </w:r>
      <w:r>
        <w:rPr>
          <w:rFonts w:ascii="Arial;sans-serif" w:hAnsi="Arial;sans-serif"/>
          <w:b w:val="false"/>
          <w:color w:val="010101"/>
          <w:sz w:val="20"/>
        </w:rPr>
        <w:t>motor vehicles and all other similar assets (other than any assets that are deemed by law to be immoveable property), wherever they are situated</w:t>
      </w:r>
      <w:r>
        <w:rPr>
          <w:rFonts w:ascii="Arial;sans-serif" w:hAnsi="Arial;sans-serif"/>
          <w:b w:val="false"/>
          <w:color w:val="1C1C1C"/>
          <w:sz w:val="20"/>
        </w:rPr>
        <w:t xml:space="preserve">, </w:t>
      </w:r>
      <w:r>
        <w:rPr>
          <w:rFonts w:ascii="Arial;sans-serif" w:hAnsi="Arial;sans-serif"/>
          <w:b w:val="false"/>
          <w:color w:val="010101"/>
          <w:sz w:val="20"/>
        </w:rPr>
        <w:t>which are now, or at any time after the date of this Deed become, the property of a Chargor.</w:t>
      </w:r>
    </w:p>
    <w:p>
      <w:pPr>
        <w:pStyle w:val="TextBody"/>
        <w:spacing w:lineRule="auto" w:line="288" w:before="0" w:after="180"/>
        <w:jc w:val="both"/>
        <w:rPr/>
      </w:pPr>
      <w:r>
        <w:rPr>
          <w:rFonts w:ascii="Arial;sans-serif" w:hAnsi="Arial;sans-serif"/>
          <w:b/>
          <w:color w:val="010101"/>
          <w:sz w:val="20"/>
        </w:rPr>
        <w:t xml:space="preserve">"Property" </w:t>
      </w:r>
      <w:r>
        <w:rPr>
          <w:rFonts w:ascii="Arial;sans-serif" w:hAnsi="Arial;sans-serif"/>
          <w:b w:val="false"/>
          <w:color w:val="010101"/>
          <w:sz w:val="20"/>
        </w:rPr>
        <w:t>means</w:t>
      </w:r>
      <w:r>
        <w:rPr>
          <w:rFonts w:ascii="Arial;sans-serif" w:hAnsi="Arial;sans-serif"/>
          <w:b w:val="false"/>
          <w:color w:val="3B3B3B"/>
          <w:sz w:val="20"/>
        </w:rPr>
        <w:t>:</w:t>
      </w:r>
    </w:p>
    <w:p>
      <w:pPr>
        <w:pStyle w:val="TextBody"/>
        <w:spacing w:lineRule="auto" w:line="288" w:before="0" w:after="180"/>
        <w:ind w:left="0" w:right="0" w:hanging="720"/>
        <w:jc w:val="both"/>
        <w:rPr/>
      </w:pPr>
      <w:r>
        <w:rPr>
          <w:rFonts w:ascii="Arial;sans-serif" w:hAnsi="Arial;sans-serif"/>
          <w:b w:val="false"/>
          <w:color w:val="010101"/>
          <w:sz w:val="20"/>
        </w:rPr>
        <w:t>(a)    all freehold, leasehold or other immovable property of a Chargor situate in England and Wales</w:t>
      </w:r>
      <w:r>
        <w:rPr>
          <w:rFonts w:ascii="Arial;sans-serif" w:hAnsi="Arial;sans-serif"/>
          <w:b w:val="false"/>
          <w:color w:val="1C1C1C"/>
          <w:sz w:val="20"/>
        </w:rPr>
        <w:t>;</w:t>
      </w:r>
    </w:p>
    <w:p>
      <w:pPr>
        <w:pStyle w:val="TextBody"/>
        <w:spacing w:lineRule="auto" w:line="288" w:before="0" w:after="180"/>
        <w:ind w:left="0" w:right="0" w:hanging="720"/>
        <w:rPr/>
      </w:pPr>
      <w:r>
        <w:rPr>
          <w:rFonts w:ascii="Arial;sans-serif" w:hAnsi="Arial;sans-serif"/>
          <w:b w:val="false"/>
          <w:color w:val="010101"/>
          <w:sz w:val="20"/>
        </w:rPr>
        <w:t>(b)    any buildings</w:t>
      </w:r>
      <w:r>
        <w:rPr>
          <w:rFonts w:ascii="Arial;sans-serif" w:hAnsi="Arial;sans-serif"/>
          <w:b w:val="false"/>
          <w:color w:val="1C1C1C"/>
          <w:sz w:val="20"/>
        </w:rPr>
        <w:t xml:space="preserve">, </w:t>
      </w:r>
      <w:r>
        <w:rPr>
          <w:rFonts w:ascii="Arial;sans-serif" w:hAnsi="Arial;sans-serif"/>
          <w:b w:val="false"/>
          <w:color w:val="010101"/>
          <w:sz w:val="20"/>
        </w:rPr>
        <w:t>fixtures, fittings</w:t>
      </w:r>
      <w:r>
        <w:rPr>
          <w:rFonts w:ascii="Arial;sans-serif" w:hAnsi="Arial;sans-serif"/>
          <w:b w:val="false"/>
          <w:color w:val="1C1C1C"/>
          <w:sz w:val="20"/>
        </w:rPr>
        <w:t xml:space="preserve">, </w:t>
      </w:r>
      <w:r>
        <w:rPr>
          <w:rFonts w:ascii="Arial;sans-serif" w:hAnsi="Arial;sans-serif"/>
          <w:b w:val="false"/>
          <w:color w:val="010101"/>
          <w:sz w:val="20"/>
        </w:rPr>
        <w:t>plant and machinery from time to time on or forming part of the property referred to in paragraph (a) above</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(c)    any Related Rights arising in relation to any of the assets described in paragraphs (a) and (b) above (inclusive)</w:t>
      </w:r>
      <w:r>
        <w:rPr>
          <w:rFonts w:ascii="Arial;sans-serif" w:hAnsi="Arial;sans-serif"/>
          <w:b w:val="false"/>
          <w:color w:val="1C1C1C"/>
          <w:sz w:val="20"/>
        </w:rPr>
        <w:t>,</w:t>
      </w:r>
    </w:p>
    <w:p>
      <w:pPr>
        <w:pStyle w:val="TextBody"/>
        <w:spacing w:lineRule="auto" w:line="288" w:before="0" w:after="180"/>
        <w:jc w:val="both"/>
        <w:rPr/>
      </w:pPr>
      <w:r>
        <w:rPr>
          <w:rFonts w:ascii="Arial;sans-serif" w:hAnsi="Arial;sans-serif"/>
          <w:b w:val="false"/>
          <w:color w:val="010101"/>
          <w:sz w:val="20"/>
        </w:rPr>
        <w:t xml:space="preserve">and </w:t>
      </w:r>
      <w:r>
        <w:rPr>
          <w:rFonts w:ascii="Arial;sans-serif" w:hAnsi="Arial;sans-serif"/>
          <w:b/>
          <w:color w:val="010101"/>
          <w:sz w:val="20"/>
        </w:rPr>
        <w:t xml:space="preserve">"Properties" </w:t>
      </w:r>
      <w:r>
        <w:rPr>
          <w:rFonts w:ascii="Arial;sans-serif" w:hAnsi="Arial;sans-serif"/>
          <w:b w:val="false"/>
          <w:color w:val="010101"/>
          <w:sz w:val="20"/>
        </w:rPr>
        <w:t>shall be construed accordingly</w:t>
      </w:r>
      <w:r>
        <w:rPr>
          <w:rFonts w:ascii="Arial;sans-serif" w:hAnsi="Arial;sans-serif"/>
          <w:b w:val="false"/>
          <w:color w:val="3B3B3B"/>
          <w:sz w:val="20"/>
        </w:rPr>
        <w:t>.</w:t>
      </w:r>
    </w:p>
    <w:p>
      <w:pPr>
        <w:pStyle w:val="TextBody"/>
        <w:spacing w:lineRule="auto" w:line="288" w:before="0" w:after="180"/>
        <w:jc w:val="both"/>
        <w:rPr/>
      </w:pPr>
      <w:r>
        <w:rPr>
          <w:rFonts w:ascii="Arial;sans-serif" w:hAnsi="Arial;sans-serif"/>
          <w:b/>
          <w:color w:val="010101"/>
          <w:sz w:val="20"/>
        </w:rPr>
        <w:t xml:space="preserve">"Receivables" </w:t>
      </w:r>
      <w:r>
        <w:rPr>
          <w:rFonts w:ascii="Arial;sans-serif" w:hAnsi="Arial;sans-serif"/>
          <w:b w:val="false"/>
          <w:color w:val="010101"/>
          <w:sz w:val="20"/>
        </w:rPr>
        <w:t>means all present and book debts, accounts receivable, contract rights, and other obligations owed to a Chargor in connection with its sale or lease of goods (including licensing software and other technology) or provision of services, all credit insurance, guarantees</w:t>
      </w:r>
      <w:r>
        <w:rPr>
          <w:rFonts w:ascii="Arial;sans-serif" w:hAnsi="Arial;sans-serif"/>
          <w:b w:val="false"/>
          <w:color w:val="1C1C1C"/>
          <w:sz w:val="20"/>
        </w:rPr>
        <w:t xml:space="preserve">, </w:t>
      </w:r>
      <w:r>
        <w:rPr>
          <w:rFonts w:ascii="Arial;sans-serif" w:hAnsi="Arial;sans-serif"/>
          <w:b w:val="false"/>
          <w:color w:val="010101"/>
          <w:sz w:val="20"/>
        </w:rPr>
        <w:t>other security and all merchandise returned to or reclaimed by a Chargor and any records relating to any of the foregoing.</w:t>
      </w:r>
    </w:p>
    <w:p>
      <w:pPr>
        <w:pStyle w:val="TextBody"/>
        <w:spacing w:lineRule="auto" w:line="288" w:before="0" w:after="180"/>
        <w:jc w:val="both"/>
        <w:rPr/>
      </w:pPr>
      <w:r>
        <w:rPr>
          <w:rFonts w:ascii="Arial;sans-serif" w:hAnsi="Arial;sans-serif"/>
          <w:b/>
          <w:color w:val="010101"/>
          <w:sz w:val="20"/>
        </w:rPr>
        <w:t xml:space="preserve">"Receiver" </w:t>
      </w:r>
      <w:r>
        <w:rPr>
          <w:rFonts w:ascii="Arial;sans-serif" w:hAnsi="Arial;sans-serif"/>
          <w:b w:val="false"/>
          <w:color w:val="010101"/>
          <w:sz w:val="20"/>
        </w:rPr>
        <w:t>means a receiver or receiver and manager or administrative receiver of the whole or any part of the Security Assets</w:t>
      </w:r>
      <w:r>
        <w:rPr>
          <w:rFonts w:ascii="Arial;sans-serif" w:hAnsi="Arial;sans-serif"/>
          <w:b w:val="false"/>
          <w:color w:val="3B3B3B"/>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050"/>
                <wp:effectExtent l="0" t="0" r="0" b="0"/>
                <wp:wrapNone/>
                <wp:docPr id="478" name="Frame4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w:t>
                      </w:r>
                    </w:p>
                  </w:txbxContent>
                </v:textbox>
              </v:rect>
            </w:pict>
          </mc:Fallback>
        </mc:AlternateContent>
      </w:r>
    </w:p>
    <w:p>
      <w:pPr>
        <w:pStyle w:val="TextBody"/>
        <w:spacing w:lineRule="auto" w:line="288" w:before="0" w:after="180"/>
        <w:jc w:val="both"/>
        <w:rPr/>
      </w:pPr>
      <w:r>
        <w:rPr>
          <w:rFonts w:ascii="Arial;sans-serif" w:hAnsi="Arial;sans-serif"/>
          <w:b/>
          <w:color w:val="010101"/>
          <w:sz w:val="20"/>
        </w:rPr>
        <w:t xml:space="preserve">"Related Rights" </w:t>
      </w:r>
      <w:r>
        <w:rPr>
          <w:rFonts w:ascii="Arial;sans-serif" w:hAnsi="Arial;sans-serif"/>
          <w:b w:val="false"/>
          <w:color w:val="010101"/>
          <w:sz w:val="20"/>
        </w:rPr>
        <w:t>means</w:t>
      </w:r>
      <w:r>
        <w:rPr>
          <w:rFonts w:ascii="Arial;sans-serif" w:hAnsi="Arial;sans-serif"/>
          <w:b w:val="false"/>
          <w:color w:val="1C1C1C"/>
          <w:sz w:val="20"/>
        </w:rPr>
        <w:t xml:space="preserve">, </w:t>
      </w:r>
      <w:r>
        <w:rPr>
          <w:rFonts w:ascii="Arial;sans-serif" w:hAnsi="Arial;sans-serif"/>
          <w:b w:val="false"/>
          <w:color w:val="010101"/>
          <w:sz w:val="20"/>
        </w:rPr>
        <w:t>where used in relation to an asset, the following</w:t>
      </w:r>
      <w:r>
        <w:rPr>
          <w:rFonts w:ascii="Arial;sans-serif" w:hAnsi="Arial;sans-serif"/>
          <w:b w:val="false"/>
          <w:color w:val="2D2D2D"/>
          <w:sz w:val="20"/>
        </w:rPr>
        <w: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(a)    the proceeds of sale and/or other realisation of that asset (or any part thereof or interest therein);</w:t>
      </w:r>
    </w:p>
    <w:p>
      <w:pPr>
        <w:pStyle w:val="TextBody"/>
        <w:spacing w:lineRule="auto" w:line="288" w:before="0" w:after="180"/>
        <w:ind w:left="0" w:right="0" w:hanging="720"/>
        <w:jc w:val="both"/>
        <w:rPr/>
      </w:pPr>
      <w:r>
        <w:rPr>
          <w:rFonts w:ascii="Arial;sans-serif" w:hAnsi="Arial;sans-serif"/>
          <w:b w:val="false"/>
          <w:color w:val="010101"/>
          <w:sz w:val="20"/>
        </w:rPr>
        <w:t>(b)    all Authorisations, options, agreements, rights, easements, benefits, indemnities, guarantees, warranties or covenants for title in respect of such asset</w:t>
      </w:r>
      <w:r>
        <w:rPr>
          <w:rFonts w:ascii="Arial;sans-serif" w:hAnsi="Arial;sans-serif"/>
          <w:b w:val="false"/>
          <w:color w:val="212121"/>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(c)    all rights under any lease,licence or agreement for lease, sale or use in respect of such asset.</w:t>
      </w:r>
    </w:p>
    <w:p>
      <w:pPr>
        <w:pStyle w:val="TextBody"/>
        <w:spacing w:lineRule="auto" w:line="288" w:before="0" w:after="180"/>
        <w:jc w:val="both"/>
        <w:rPr/>
      </w:pPr>
      <w:r>
        <w:rPr>
          <w:rFonts w:ascii="Arial;sans-serif" w:hAnsi="Arial;sans-serif"/>
          <w:b/>
          <w:color w:val="010101"/>
          <w:sz w:val="20"/>
        </w:rPr>
        <w:t xml:space="preserve">"Secured Liabilities" </w:t>
      </w:r>
      <w:r>
        <w:rPr>
          <w:rFonts w:ascii="Arial;sans-serif" w:hAnsi="Arial;sans-serif"/>
          <w:b w:val="false"/>
          <w:color w:val="010101"/>
          <w:sz w:val="20"/>
        </w:rPr>
        <w:t>means the Obligations</w:t>
      </w:r>
      <w:r>
        <w:rPr>
          <w:rFonts w:ascii="Arial;sans-serif" w:hAnsi="Arial;sans-serif"/>
          <w:b w:val="false"/>
          <w:color w:val="3F3F3F"/>
          <w:sz w:val="20"/>
        </w:rPr>
        <w:t>.</w:t>
      </w:r>
    </w:p>
    <w:p>
      <w:pPr>
        <w:pStyle w:val="TextBody"/>
        <w:spacing w:lineRule="auto" w:line="288" w:before="0" w:after="180"/>
        <w:jc w:val="both"/>
        <w:rPr/>
      </w:pPr>
      <w:r>
        <w:rPr>
          <w:rFonts w:ascii="Arial;sans-serif" w:hAnsi="Arial;sans-serif"/>
          <w:b/>
          <w:color w:val="010101"/>
          <w:sz w:val="20"/>
        </w:rPr>
        <w:t xml:space="preserve">"Security Interest" </w:t>
      </w:r>
      <w:r>
        <w:rPr>
          <w:rFonts w:ascii="Arial;sans-serif" w:hAnsi="Arial;sans-serif"/>
          <w:b w:val="false"/>
          <w:color w:val="010101"/>
          <w:sz w:val="20"/>
        </w:rPr>
        <w:t>means a mortgage</w:t>
      </w:r>
      <w:r>
        <w:rPr>
          <w:rFonts w:ascii="Arial;sans-serif" w:hAnsi="Arial;sans-serif"/>
          <w:b w:val="false"/>
          <w:color w:val="212121"/>
          <w:sz w:val="20"/>
        </w:rPr>
        <w:t xml:space="preserve">, </w:t>
      </w:r>
      <w:r>
        <w:rPr>
          <w:rFonts w:ascii="Arial;sans-serif" w:hAnsi="Arial;sans-serif"/>
          <w:b w:val="false"/>
          <w:color w:val="010101"/>
          <w:sz w:val="20"/>
        </w:rPr>
        <w:t>charge, pledge, lien or other security interest securing any obligation of any person or any other agreement or arrangement having a similar effect.</w:t>
      </w:r>
    </w:p>
    <w:p>
      <w:pPr>
        <w:pStyle w:val="TextBody"/>
        <w:spacing w:lineRule="auto" w:line="288" w:before="0" w:after="180"/>
        <w:jc w:val="both"/>
        <w:rPr/>
      </w:pPr>
      <w:r>
        <w:rPr>
          <w:rFonts w:ascii="Arial;sans-serif" w:hAnsi="Arial;sans-serif"/>
          <w:b/>
          <w:color w:val="010101"/>
          <w:sz w:val="20"/>
        </w:rPr>
        <w:t xml:space="preserve">"Security Assets" </w:t>
      </w:r>
      <w:r>
        <w:rPr>
          <w:rFonts w:ascii="Arial;sans-serif" w:hAnsi="Arial;sans-serif"/>
          <w:b w:val="false"/>
          <w:color w:val="010101"/>
          <w:sz w:val="20"/>
        </w:rPr>
        <w:t>means:</w:t>
      </w:r>
    </w:p>
    <w:p>
      <w:pPr>
        <w:pStyle w:val="TextBody"/>
        <w:spacing w:lineRule="auto" w:line="288" w:before="0" w:after="180"/>
        <w:ind w:left="0" w:right="0" w:hanging="720"/>
        <w:jc w:val="both"/>
        <w:rPr/>
      </w:pPr>
      <w:r>
        <w:rPr>
          <w:rFonts w:ascii="Arial;sans-serif" w:hAnsi="Arial;sans-serif"/>
          <w:b w:val="false"/>
          <w:color w:val="010101"/>
          <w:sz w:val="20"/>
        </w:rPr>
        <w:t>(a)    the assets mortgaged, charged or assigned by way of security to the Administrative Agent by this Deed, any Accession Deed or any Supplemental Debenture</w:t>
      </w:r>
      <w:r>
        <w:rPr>
          <w:rFonts w:ascii="Arial;sans-serif" w:hAnsi="Arial;sans-serif"/>
          <w:b w:val="false"/>
          <w:color w:val="212121"/>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any assets held on trust by a Chargor for the Administrative Agent.</w:t>
      </w:r>
    </w:p>
    <w:p>
      <w:pPr>
        <w:pStyle w:val="TextBody"/>
        <w:spacing w:lineRule="auto" w:line="288" w:before="0" w:after="180"/>
        <w:jc w:val="both"/>
        <w:rPr/>
      </w:pPr>
      <w:r>
        <w:rPr>
          <w:rFonts w:ascii="Arial;sans-serif" w:hAnsi="Arial;sans-serif"/>
          <w:b/>
          <w:color w:val="010101"/>
          <w:sz w:val="20"/>
        </w:rPr>
        <w:t xml:space="preserve">"Security Period" </w:t>
      </w:r>
      <w:r>
        <w:rPr>
          <w:rFonts w:ascii="Arial;sans-serif" w:hAnsi="Arial;sans-serif"/>
          <w:b w:val="false"/>
          <w:color w:val="010101"/>
          <w:sz w:val="20"/>
        </w:rPr>
        <w:t>means the period from the date of this Deed (or, if relevant to a Chargor, the date of the Accession Deed to which it is a party) until the Discharge of Obligations.</w:t>
      </w:r>
    </w:p>
    <w:p>
      <w:pPr>
        <w:pStyle w:val="TextBody"/>
        <w:spacing w:lineRule="auto" w:line="288" w:before="0" w:after="180"/>
        <w:jc w:val="both"/>
        <w:rPr/>
      </w:pPr>
      <w:r>
        <w:rPr>
          <w:rFonts w:ascii="Arial;sans-serif" w:hAnsi="Arial;sans-serif"/>
          <w:b/>
          <w:color w:val="010101"/>
          <w:sz w:val="20"/>
        </w:rPr>
        <w:t xml:space="preserve">"Shares" </w:t>
      </w:r>
      <w:r>
        <w:rPr>
          <w:rFonts w:ascii="Arial;sans-serif" w:hAnsi="Arial;sans-serif"/>
          <w:b w:val="false"/>
          <w:color w:val="010101"/>
          <w:sz w:val="20"/>
        </w:rPr>
        <w:t>means:</w:t>
      </w:r>
    </w:p>
    <w:p>
      <w:pPr>
        <w:pStyle w:val="TextBody"/>
        <w:spacing w:lineRule="auto" w:line="288" w:before="0" w:after="180"/>
        <w:ind w:left="0" w:right="0" w:hanging="720"/>
        <w:rPr/>
      </w:pPr>
      <w:r>
        <w:rPr>
          <w:rFonts w:ascii="Arial;sans-serif" w:hAnsi="Arial;sans-serif"/>
          <w:b w:val="false"/>
          <w:color w:val="010101"/>
          <w:sz w:val="20"/>
        </w:rPr>
        <w:t xml:space="preserve">(a)    the shares described in Part 3 of Schedule 2 ( </w:t>
      </w:r>
      <w:r>
        <w:rPr>
          <w:rFonts w:ascii="Arial;sans-serif" w:hAnsi="Arial;sans-serif"/>
          <w:b w:val="false"/>
          <w:i/>
          <w:color w:val="010101"/>
          <w:sz w:val="20"/>
        </w:rPr>
        <w:t xml:space="preserve">Security Assets) </w:t>
      </w:r>
      <w:r>
        <w:rPr>
          <w:rFonts w:ascii="Arial;sans-serif" w:hAnsi="Arial;sans-serif"/>
          <w:b w:val="false"/>
          <w:color w:val="010101"/>
          <w:sz w:val="20"/>
        </w:rPr>
        <w:t>and Part 3 of the schedule to each Accession Deed (if any)</w:t>
      </w:r>
      <w:r>
        <w:rPr>
          <w:rFonts w:ascii="Arial;sans-serif" w:hAnsi="Arial;sans-serif"/>
          <w:b w:val="false"/>
          <w:color w:val="212121"/>
          <w:sz w:val="20"/>
        </w:rPr>
        <w:t>;</w:t>
      </w:r>
    </w:p>
    <w:p>
      <w:pPr>
        <w:pStyle w:val="TextBody"/>
        <w:spacing w:lineRule="auto" w:line="288" w:before="0" w:after="180"/>
        <w:ind w:left="0" w:right="0" w:hanging="720"/>
        <w:jc w:val="both"/>
        <w:rPr/>
      </w:pPr>
      <w:r>
        <w:rPr>
          <w:rFonts w:ascii="Arial;sans-serif" w:hAnsi="Arial;sans-serif"/>
          <w:b w:val="false"/>
          <w:color w:val="010101"/>
          <w:sz w:val="20"/>
        </w:rPr>
        <w:t>(b)    all Derivative Assets in relation to the Shares</w:t>
      </w:r>
      <w:r>
        <w:rPr>
          <w:rFonts w:ascii="Arial;sans-serif" w:hAnsi="Arial;sans-serif"/>
          <w:b w:val="false"/>
          <w:color w:val="212121"/>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(c)    all Related Rights in respect of paragraphs (a) to (b) above (inclusive)</w:t>
      </w:r>
      <w:r>
        <w:rPr>
          <w:rFonts w:ascii="Arial;sans-serif" w:hAnsi="Arial;sans-serif"/>
          <w:b w:val="false"/>
          <w:color w:val="3F3F3F"/>
          <w:sz w:val="20"/>
        </w:rPr>
        <w:t>.</w:t>
      </w:r>
    </w:p>
    <w:p>
      <w:pPr>
        <w:pStyle w:val="TextBody"/>
        <w:spacing w:lineRule="auto" w:line="288" w:before="0" w:after="180"/>
        <w:jc w:val="both"/>
        <w:rPr/>
      </w:pPr>
      <w:r>
        <w:rPr>
          <w:rFonts w:ascii="Arial;sans-serif" w:hAnsi="Arial;sans-serif"/>
          <w:b/>
          <w:color w:val="010101"/>
          <w:sz w:val="20"/>
        </w:rPr>
        <w:t xml:space="preserve">"Supplemental Debenture" </w:t>
      </w:r>
      <w:r>
        <w:rPr>
          <w:rFonts w:ascii="Arial;sans-serif" w:hAnsi="Arial;sans-serif"/>
          <w:b w:val="false"/>
          <w:color w:val="010101"/>
          <w:sz w:val="20"/>
        </w:rPr>
        <w:t xml:space="preserve">means a supplemental debenture to this Deed in the form set out in Schedule 5 </w:t>
      </w:r>
      <w:r>
        <w:rPr>
          <w:rFonts w:ascii="Arial;sans-serif" w:hAnsi="Arial;sans-serif"/>
          <w:b w:val="false"/>
          <w:i/>
          <w:color w:val="010101"/>
          <w:sz w:val="20"/>
        </w:rPr>
        <w:t xml:space="preserve">(Supplemental Debenture) </w:t>
      </w:r>
      <w:r>
        <w:rPr>
          <w:rFonts w:ascii="Arial;sans-serif" w:hAnsi="Arial;sans-serif"/>
          <w:b w:val="false"/>
          <w:color w:val="010101"/>
          <w:sz w:val="20"/>
        </w:rPr>
        <w:t>or such other form as the Administrative Agent may require</w:t>
      </w:r>
      <w:r>
        <w:rPr>
          <w:rFonts w:ascii="Arial;sans-serif" w:hAnsi="Arial;sans-serif"/>
          <w:b w:val="false"/>
          <w:color w:val="3F3F3F"/>
          <w:sz w:val="20"/>
        </w:rPr>
        <w:t>.</w:t>
      </w:r>
    </w:p>
    <w:p>
      <w:pPr>
        <w:pStyle w:val="TextBody"/>
        <w:spacing w:lineRule="auto" w:line="288" w:before="0" w:after="180"/>
        <w:jc w:val="both"/>
        <w:rPr/>
      </w:pPr>
      <w:r>
        <w:rPr>
          <w:rFonts w:ascii="Arial;sans-serif" w:hAnsi="Arial;sans-serif"/>
          <w:b/>
          <w:color w:val="010101"/>
          <w:sz w:val="20"/>
        </w:rPr>
        <w:t xml:space="preserve">"SVB Operating Accounts" </w:t>
      </w:r>
      <w:r>
        <w:rPr>
          <w:rFonts w:ascii="Arial;sans-serif" w:hAnsi="Arial;sans-serif"/>
          <w:b w:val="false"/>
          <w:color w:val="010101"/>
          <w:sz w:val="20"/>
        </w:rPr>
        <w:t xml:space="preserve">means the accounts designated as SVB Operating Accounts in Part 1 of Schedule 2 </w:t>
      </w:r>
      <w:r>
        <w:rPr>
          <w:rFonts w:ascii="Arial;sans-serif" w:hAnsi="Arial;sans-serif"/>
          <w:b w:val="false"/>
          <w:i/>
          <w:color w:val="010101"/>
          <w:sz w:val="20"/>
        </w:rPr>
        <w:t xml:space="preserve">(Security Assets) </w:t>
      </w:r>
      <w:r>
        <w:rPr>
          <w:rFonts w:ascii="Arial;sans-serif" w:hAnsi="Arial;sans-serif"/>
          <w:b w:val="false"/>
          <w:color w:val="010101"/>
          <w:sz w:val="20"/>
        </w:rPr>
        <w:t>or such other accounts as may be agreed in writing between a Chargor and the Administrative Agent for this purpose and all monies standing to the credit of each such account and all Related Rights in respect of each such account.</w:t>
      </w:r>
    </w:p>
    <w:p>
      <w:pPr>
        <w:pStyle w:val="TextBody"/>
        <w:spacing w:lineRule="auto" w:line="288" w:before="0" w:after="180"/>
        <w:jc w:val="both"/>
        <w:rPr/>
      </w:pPr>
      <w:r>
        <w:rPr>
          <w:rFonts w:ascii="Arial;sans-serif" w:hAnsi="Arial;sans-serif"/>
          <w:b/>
          <w:color w:val="010101"/>
          <w:sz w:val="20"/>
        </w:rPr>
        <w:t xml:space="preserve">"Third Party Accounts" </w:t>
      </w:r>
      <w:r>
        <w:rPr>
          <w:rFonts w:ascii="Arial;sans-serif" w:hAnsi="Arial;sans-serif"/>
          <w:b w:val="false"/>
          <w:color w:val="010101"/>
          <w:sz w:val="20"/>
        </w:rPr>
        <w:t xml:space="preserve">means the accounts designated as Third Party Accounts in Part 1 of Schedule 2 </w:t>
      </w:r>
      <w:r>
        <w:rPr>
          <w:rFonts w:ascii="Arial;sans-serif" w:hAnsi="Arial;sans-serif"/>
          <w:b w:val="false"/>
          <w:i/>
          <w:color w:val="010101"/>
          <w:sz w:val="20"/>
        </w:rPr>
        <w:t xml:space="preserve">(Security Assets) </w:t>
      </w:r>
      <w:r>
        <w:rPr>
          <w:rFonts w:ascii="Arial;sans-serif" w:hAnsi="Arial;sans-serif"/>
          <w:b w:val="false"/>
          <w:color w:val="010101"/>
          <w:sz w:val="20"/>
        </w:rPr>
        <w:t>and any future accounts of a Chargor not held with the Administrative Agent and all monies standing to the credit of each such account and all Related Rights in respect of each such account.</w:t>
      </w:r>
    </w:p>
    <w:p>
      <w:pPr>
        <w:pStyle w:val="TextBody"/>
        <w:spacing w:lineRule="auto" w:line="288" w:before="0" w:after="180"/>
        <w:jc w:val="both"/>
        <w:rPr/>
      </w:pPr>
      <w:r>
        <w:rPr>
          <w:rFonts w:ascii="Arial;sans-serif" w:hAnsi="Arial;sans-serif"/>
          <w:b/>
          <w:color w:val="010101"/>
          <w:sz w:val="20"/>
        </w:rPr>
        <w:t xml:space="preserve">"UK Chargor" </w:t>
      </w:r>
      <w:r>
        <w:rPr>
          <w:rFonts w:ascii="Arial;sans-serif" w:hAnsi="Arial;sans-serif"/>
          <w:b w:val="false"/>
          <w:color w:val="010101"/>
          <w:sz w:val="20"/>
        </w:rPr>
        <w:t>means a Chargor incorporated or established in England &amp; Wales</w:t>
      </w:r>
      <w:r>
        <w:rPr>
          <w:rFonts w:ascii="Arial;sans-serif" w:hAnsi="Arial;sans-serif"/>
          <w:b w:val="false"/>
          <w:color w:val="3F3F3F"/>
          <w:sz w:val="20"/>
        </w:rPr>
        <w:t>.</w:t>
      </w:r>
    </w:p>
    <w:p>
      <w:pPr>
        <w:pStyle w:val="TextBody"/>
        <w:spacing w:lineRule="auto" w:line="288" w:before="0" w:after="180"/>
        <w:jc w:val="both"/>
        <w:rPr/>
      </w:pPr>
      <w:r>
        <w:rPr>
          <w:rFonts w:ascii="Arial;sans-serif" w:hAnsi="Arial;sans-serif"/>
          <w:b/>
          <w:color w:val="010101"/>
          <w:sz w:val="20"/>
        </w:rPr>
        <w:t xml:space="preserve">"UK Receivable" </w:t>
      </w:r>
      <w:r>
        <w:rPr>
          <w:rFonts w:ascii="Arial;sans-serif" w:hAnsi="Arial;sans-serif"/>
          <w:b w:val="false"/>
          <w:color w:val="010101"/>
          <w:sz w:val="20"/>
        </w:rPr>
        <w:t>means any Receivable that is due to a UK Chargor, or is paid into a bank account located in the United Kingdom and held in the name of a UK Chargor or is due under any contract or agreement governed by English law to which the UK Chargor is a party or is paid to a UK Chargor by a person located in the United Kingdom</w:t>
      </w:r>
      <w:r>
        <w:rPr>
          <w:rFonts w:ascii="Arial;sans-serif" w:hAnsi="Arial;sans-serif"/>
          <w:b w:val="false"/>
          <w:color w:val="3F3F3F"/>
          <w:sz w:val="20"/>
        </w:rPr>
        <w:t>.</w:t>
      </w:r>
    </w:p>
    <w:p>
      <w:pPr>
        <w:pStyle w:val="TextBody"/>
        <w:spacing w:lineRule="auto" w:line="288" w:before="0" w:after="180"/>
        <w:jc w:val="both"/>
        <w:rPr/>
      </w:pPr>
      <w:r>
        <w:rPr>
          <w:rFonts w:ascii="Arial;sans-serif" w:hAnsi="Arial;sans-serif"/>
          <w:b/>
          <w:color w:val="010101"/>
          <w:sz w:val="20"/>
        </w:rPr>
        <w:t xml:space="preserve">"US Chargor" </w:t>
      </w:r>
      <w:r>
        <w:rPr>
          <w:rFonts w:ascii="Arial;sans-serif" w:hAnsi="Arial;sans-serif"/>
          <w:b w:val="false"/>
          <w:color w:val="010101"/>
          <w:sz w:val="20"/>
        </w:rPr>
        <w:t>means Kaltura</w:t>
      </w:r>
      <w:r>
        <w:rPr>
          <w:rFonts w:ascii="Arial;sans-serif" w:hAnsi="Arial;sans-serif"/>
          <w:b w:val="false"/>
          <w:color w:val="212121"/>
          <w:sz w:val="20"/>
        </w:rPr>
        <w:t xml:space="preserve">, </w:t>
      </w:r>
      <w:r>
        <w:rPr>
          <w:rFonts w:ascii="Arial;sans-serif" w:hAnsi="Arial;sans-serif"/>
          <w:b w:val="false"/>
          <w:color w:val="010101"/>
          <w:sz w:val="20"/>
        </w:rPr>
        <w:t>Inc</w:t>
      </w:r>
      <w:r>
        <w:rPr>
          <w:rFonts w:ascii="Arial;sans-serif" w:hAnsi="Arial;sans-serif"/>
          <w:b w:val="false"/>
          <w:color w:val="3F3F3F"/>
          <w:sz w:val="20"/>
        </w:rPr>
        <w:t>.</w:t>
      </w:r>
      <w:r>
        <w:rPr>
          <w:rFonts w:ascii="Arial;sans-serif" w:hAnsi="Arial;sans-serif"/>
          <w:b w:val="false"/>
          <w:color w:val="010101"/>
          <w:sz w:val="20"/>
        </w:rPr>
        <w:t>, a Delaware corporation</w:t>
      </w:r>
      <w:r>
        <w:rPr>
          <w:rFonts w:ascii="Arial;sans-serif" w:hAnsi="Arial;sans-serif"/>
          <w:b w:val="false"/>
          <w:color w:val="3F3F3F"/>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050"/>
                <wp:effectExtent l="0" t="0" r="0" b="0"/>
                <wp:wrapNone/>
                <wp:docPr id="479" name="Frame4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1.2    </w:t>
      </w:r>
      <w:r>
        <w:rPr>
          <w:rFonts w:ascii="Arial;sans-serif" w:hAnsi="Arial;sans-serif"/>
          <w:b/>
          <w:i/>
          <w:color w:val="010101"/>
          <w:sz w:val="20"/>
        </w:rPr>
        <w:t>Construction</w:t>
      </w:r>
    </w:p>
    <w:p>
      <w:pPr>
        <w:pStyle w:val="TextBody"/>
        <w:spacing w:lineRule="auto" w:line="288" w:before="0" w:after="180"/>
        <w:ind w:left="0" w:right="0" w:hanging="720"/>
        <w:rPr>
          <w:rFonts w:ascii="Arial;sans-serif" w:hAnsi="Arial;sans-serif"/>
          <w:b w:val="false"/>
          <w:color w:val="010101"/>
          <w:sz w:val="20"/>
        </w:rPr>
      </w:pPr>
      <w:r>
        <w:rPr>
          <w:rFonts w:ascii="Arial;sans-serif" w:hAnsi="Arial;sans-serif"/>
          <w:b w:val="false"/>
          <w:color w:val="010101"/>
          <w:sz w:val="20"/>
        </w:rPr>
        <w:t>(a)    Unless otherwise defined in this Deed, terms defined in the Credit Agreement have the same meaning in this Deed as they do in the Credit Agreement.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In this Deed:</w:t>
      </w:r>
    </w:p>
    <w:p>
      <w:pPr>
        <w:pStyle w:val="TextBody"/>
        <w:spacing w:lineRule="auto" w:line="288" w:before="0" w:after="180"/>
        <w:ind w:left="0" w:right="0" w:hanging="720"/>
        <w:jc w:val="both"/>
        <w:rPr/>
      </w:pPr>
      <w:r>
        <w:rPr>
          <w:rFonts w:ascii="Arial;sans-serif" w:hAnsi="Arial;sans-serif"/>
          <w:b w:val="false"/>
          <w:color w:val="010101"/>
          <w:sz w:val="20"/>
        </w:rPr>
        <w:t>(i)    clause headings are inserted for convenience only and shall not affect the construction of this Deed and unless otherwise specified</w:t>
      </w:r>
      <w:r>
        <w:rPr>
          <w:rFonts w:ascii="Arial;sans-serif" w:hAnsi="Arial;sans-serif"/>
          <w:b w:val="false"/>
          <w:color w:val="1A1A1A"/>
          <w:sz w:val="20"/>
        </w:rPr>
        <w:t xml:space="preserve">, </w:t>
      </w:r>
      <w:r>
        <w:rPr>
          <w:rFonts w:ascii="Arial;sans-serif" w:hAnsi="Arial;sans-serif"/>
          <w:b w:val="false"/>
          <w:color w:val="010101"/>
          <w:sz w:val="20"/>
        </w:rPr>
        <w:t>all references to clauses and to Schedules (if any) are to clauses of</w:t>
      </w:r>
      <w:r>
        <w:rPr>
          <w:rFonts w:ascii="Arial;sans-serif" w:hAnsi="Arial;sans-serif"/>
          <w:b w:val="false"/>
          <w:color w:val="1A1A1A"/>
          <w:sz w:val="20"/>
        </w:rPr>
        <w:t xml:space="preserve">, </w:t>
      </w:r>
      <w:r>
        <w:rPr>
          <w:rFonts w:ascii="Arial;sans-serif" w:hAnsi="Arial;sans-serif"/>
          <w:b w:val="false"/>
          <w:color w:val="010101"/>
          <w:sz w:val="20"/>
        </w:rPr>
        <w:t>and the schedules to</w:t>
      </w:r>
      <w:r>
        <w:rPr>
          <w:rFonts w:ascii="Arial;sans-serif" w:hAnsi="Arial;sans-serif"/>
          <w:b w:val="false"/>
          <w:color w:val="1A1A1A"/>
          <w:sz w:val="20"/>
        </w:rPr>
        <w:t xml:space="preserve">, </w:t>
      </w:r>
      <w:r>
        <w:rPr>
          <w:rFonts w:ascii="Arial;sans-serif" w:hAnsi="Arial;sans-serif"/>
          <w:b w:val="false"/>
          <w:color w:val="010101"/>
          <w:sz w:val="20"/>
        </w:rPr>
        <w:t>this Deed and references to sub-clauses are to sub-clauses of the clause in which the reference appears</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(ii)    Section 61 of the Law of Property Act 1925 shall govern the construction hereof</w:t>
      </w:r>
      <w:r>
        <w:rPr>
          <w:rFonts w:ascii="Arial;sans-serif" w:hAnsi="Arial;sans-serif"/>
          <w:b w:val="false"/>
          <w:color w:val="1A1A1A"/>
          <w:sz w:val="20"/>
        </w:rPr>
        <w:t xml:space="preserve">, </w:t>
      </w:r>
      <w:r>
        <w:rPr>
          <w:rFonts w:ascii="Arial;sans-serif" w:hAnsi="Arial;sans-serif"/>
          <w:b w:val="false"/>
          <w:color w:val="010101"/>
          <w:sz w:val="20"/>
        </w:rPr>
        <w:t>and where the context so admits</w:t>
      </w:r>
      <w:r>
        <w:rPr>
          <w:rFonts w:ascii="Arial;sans-serif" w:hAnsi="Arial;sans-serif"/>
          <w:b w:val="false"/>
          <w:color w:val="1A1A1A"/>
          <w:sz w:val="20"/>
        </w:rPr>
        <w:t xml:space="preserve">, </w:t>
      </w:r>
      <w:r>
        <w:rPr>
          <w:rFonts w:ascii="Arial;sans-serif" w:hAnsi="Arial;sans-serif"/>
          <w:b w:val="false"/>
          <w:color w:val="010101"/>
          <w:sz w:val="20"/>
        </w:rPr>
        <w:t>any reference herein to any statute or any provision of any statute shall be deemed to include reference to any statutory modification or re-enactment thereof and to any regulations or orders made thereunder and from time to time in force</w:t>
      </w:r>
      <w:r>
        <w:rPr>
          <w:rFonts w:ascii="Arial;sans-serif" w:hAnsi="Arial;sans-serif"/>
          <w:b w:val="false"/>
          <w:color w:val="1A1A1A"/>
          <w:sz w:val="20"/>
        </w:rPr>
        <w:t>;</w:t>
      </w:r>
    </w:p>
    <w:p>
      <w:pPr>
        <w:pStyle w:val="TextBody"/>
        <w:spacing w:lineRule="auto" w:line="288" w:before="0" w:after="180"/>
        <w:ind w:left="0" w:right="0" w:hanging="720"/>
        <w:rPr/>
      </w:pPr>
      <w:r>
        <w:rPr>
          <w:rFonts w:ascii="Arial;sans-serif" w:hAnsi="Arial;sans-serif"/>
          <w:b w:val="false"/>
          <w:color w:val="010101"/>
          <w:sz w:val="20"/>
        </w:rPr>
        <w:t>(iii)    The singular shall include the plural and vice versa</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(iv)    references to persons shall include references to bodies corporate and unincorporate</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(v)    references to any document are to be construed as references to such document as amended or supplemented from time to time</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(vi)    references to the Administrative Agent include references to any person or persons to whom the Administrative Agent may dispose of this Deed or any interest or right created by or existing under it and the successors in title to any such person in respect of any such interest or right</w:t>
      </w:r>
      <w:r>
        <w:rPr>
          <w:rFonts w:ascii="Arial;sans-serif" w:hAnsi="Arial;sans-serif"/>
          <w:b w:val="false"/>
          <w:color w:val="1A1A1A"/>
          <w:sz w:val="20"/>
        </w:rPr>
        <w:t>;</w:t>
      </w:r>
    </w:p>
    <w:p>
      <w:pPr>
        <w:pStyle w:val="TextBody"/>
        <w:spacing w:lineRule="auto" w:line="288" w:before="0" w:after="180"/>
        <w:ind w:left="0" w:right="0" w:hanging="720"/>
        <w:rPr/>
      </w:pPr>
      <w:r>
        <w:rPr>
          <w:rFonts w:ascii="Arial;sans-serif" w:hAnsi="Arial;sans-serif"/>
          <w:b w:val="false"/>
          <w:color w:val="010101"/>
          <w:sz w:val="20"/>
        </w:rPr>
        <w:t>(vii)    any references to the Administrative Agent or any Receiver shall include its Delegates</w:t>
      </w:r>
      <w:r>
        <w:rPr>
          <w:rFonts w:ascii="Arial;sans-serif" w:hAnsi="Arial;sans-serif"/>
          <w:b w:val="false"/>
          <w:color w:val="1A1A1A"/>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 xml:space="preserve">(viii)     any reference to the security constituted by this Deed becoming </w:t>
      </w:r>
      <w:r>
        <w:rPr>
          <w:rFonts w:ascii="Arial;sans-serif" w:hAnsi="Arial;sans-serif"/>
          <w:b/>
          <w:color w:val="010101"/>
          <w:sz w:val="20"/>
        </w:rPr>
        <w:t xml:space="preserve">"enforceable" </w:t>
      </w:r>
      <w:r>
        <w:rPr>
          <w:rFonts w:ascii="Arial;sans-serif" w:hAnsi="Arial;sans-serif"/>
          <w:b w:val="false"/>
          <w:color w:val="010101"/>
          <w:sz w:val="20"/>
        </w:rPr>
        <w:t xml:space="preserve">shall mean the Security Interests created under this Deed have become enforceable under clause 8.1 </w:t>
      </w:r>
      <w:r>
        <w:rPr>
          <w:rFonts w:ascii="Arial;sans-serif" w:hAnsi="Arial;sans-serif"/>
          <w:b w:val="false"/>
          <w:i/>
          <w:color w:val="010101"/>
          <w:sz w:val="20"/>
        </w:rPr>
        <w:t>(Enforcement)</w:t>
      </w:r>
      <w:r>
        <w:rPr>
          <w:rFonts w:ascii="Arial;sans-serif" w:hAnsi="Arial;sans-serif"/>
          <w:b w:val="false"/>
          <w:i/>
          <w:color w:val="1A1A1A"/>
          <w:sz w:val="20"/>
        </w:rPr>
        <w:t>.</w:t>
      </w:r>
    </w:p>
    <w:p>
      <w:pPr>
        <w:pStyle w:val="TextBody"/>
        <w:spacing w:lineRule="auto" w:line="288" w:before="0" w:after="180"/>
        <w:ind w:left="0" w:right="0" w:hanging="720"/>
        <w:rPr/>
      </w:pPr>
      <w:r>
        <w:rPr>
          <w:rFonts w:ascii="Arial;sans-serif" w:hAnsi="Arial;sans-serif"/>
          <w:b w:val="false"/>
          <w:color w:val="010101"/>
          <w:sz w:val="20"/>
        </w:rPr>
        <w:t>1.3    </w:t>
      </w:r>
      <w:r>
        <w:rPr>
          <w:rFonts w:ascii="Arial;sans-serif" w:hAnsi="Arial;sans-serif"/>
          <w:b/>
          <w:i/>
          <w:color w:val="010101"/>
          <w:sz w:val="20"/>
        </w:rPr>
        <w:t>Law of Property (Miscellaneous Provisions) Act 1989</w:t>
      </w:r>
    </w:p>
    <w:p>
      <w:pPr>
        <w:pStyle w:val="TextBody"/>
        <w:spacing w:lineRule="auto" w:line="288" w:before="0" w:after="180"/>
        <w:jc w:val="both"/>
        <w:rPr/>
      </w:pPr>
      <w:r>
        <w:rPr>
          <w:rFonts w:ascii="Arial;sans-serif" w:hAnsi="Arial;sans-serif"/>
          <w:b w:val="false"/>
          <w:color w:val="010101"/>
          <w:sz w:val="20"/>
        </w:rPr>
        <w:t>To the extent necessary for any agreement for the disposition of the Security Assets in this Deed to be a valid agreement under section 2(1) of the Law of Property (Miscellaneous Provisions) Act 1989</w:t>
      </w:r>
      <w:r>
        <w:rPr>
          <w:rFonts w:ascii="Arial;sans-serif" w:hAnsi="Arial;sans-serif"/>
          <w:b w:val="false"/>
          <w:color w:val="1A1A1A"/>
          <w:sz w:val="20"/>
        </w:rPr>
        <w:t xml:space="preserve">, </w:t>
      </w:r>
      <w:r>
        <w:rPr>
          <w:rFonts w:ascii="Arial;sans-serif" w:hAnsi="Arial;sans-serif"/>
          <w:b w:val="false"/>
          <w:color w:val="010101"/>
          <w:sz w:val="20"/>
        </w:rPr>
        <w:t>the terms of the other Loan Documents and of any side letters between the parties to this Deed are incorporated into this Deed.</w:t>
      </w:r>
    </w:p>
    <w:p>
      <w:pPr>
        <w:pStyle w:val="TextBody"/>
        <w:spacing w:lineRule="auto" w:line="288" w:before="0" w:after="180"/>
        <w:ind w:left="0" w:right="0" w:hanging="720"/>
        <w:rPr/>
      </w:pPr>
      <w:r>
        <w:rPr>
          <w:rFonts w:ascii="Arial;sans-serif" w:hAnsi="Arial;sans-serif"/>
          <w:b w:val="false"/>
          <w:color w:val="010101"/>
          <w:sz w:val="20"/>
        </w:rPr>
        <w:t>1.4    </w:t>
      </w:r>
      <w:r>
        <w:rPr>
          <w:rFonts w:ascii="Arial;sans-serif" w:hAnsi="Arial;sans-serif"/>
          <w:b/>
          <w:i/>
          <w:color w:val="010101"/>
          <w:sz w:val="20"/>
        </w:rPr>
        <w:t>Implied Covenants for Title</w:t>
      </w:r>
    </w:p>
    <w:p>
      <w:pPr>
        <w:pStyle w:val="TextBody"/>
        <w:spacing w:lineRule="auto" w:line="288" w:before="0" w:after="180"/>
        <w:jc w:val="both"/>
        <w:rPr/>
      </w:pPr>
      <w:r>
        <w:rPr>
          <w:rFonts w:ascii="Arial;sans-serif" w:hAnsi="Arial;sans-serif"/>
          <w:b w:val="false"/>
          <w:color w:val="010101"/>
          <w:sz w:val="20"/>
        </w:rPr>
        <w:t>The obligations of each Chargor under this Deed shall be in addition to the covenants for title deemed to be included in this Deed by virtue of Part I of the Law of Property (Miscellaneous Provisions) Act 1994</w:t>
      </w:r>
      <w:r>
        <w:rPr>
          <w:rFonts w:ascii="Arial;sans-serif" w:hAnsi="Arial;sans-serif"/>
          <w:b w:val="false"/>
          <w:color w:val="3B3B3B"/>
          <w:sz w:val="20"/>
        </w:rPr>
        <w:t>.</w:t>
      </w:r>
    </w:p>
    <w:p>
      <w:pPr>
        <w:pStyle w:val="TextBody"/>
        <w:spacing w:lineRule="auto" w:line="288" w:before="0" w:after="180"/>
        <w:ind w:left="0" w:right="0" w:hanging="720"/>
        <w:rPr/>
      </w:pPr>
      <w:r>
        <w:rPr>
          <w:rFonts w:ascii="Arial;sans-serif" w:hAnsi="Arial;sans-serif"/>
          <w:b w:val="false"/>
          <w:color w:val="010101"/>
          <w:sz w:val="20"/>
        </w:rPr>
        <w:t>1.5    </w:t>
      </w:r>
      <w:r>
        <w:rPr>
          <w:rFonts w:ascii="Arial;sans-serif" w:hAnsi="Arial;sans-serif"/>
          <w:b/>
          <w:i/>
          <w:color w:val="010101"/>
          <w:sz w:val="20"/>
        </w:rPr>
        <w:t>Effect as a Deed</w:t>
      </w:r>
    </w:p>
    <w:p>
      <w:pPr>
        <w:pStyle w:val="TextBody"/>
        <w:spacing w:lineRule="auto" w:line="288" w:before="0" w:after="180"/>
        <w:jc w:val="both"/>
        <w:rPr/>
      </w:pPr>
      <w:r>
        <w:rPr>
          <w:rFonts w:ascii="Arial;sans-serif" w:hAnsi="Arial;sans-serif"/>
          <w:b w:val="false"/>
          <w:color w:val="010101"/>
          <w:sz w:val="20"/>
        </w:rPr>
        <w:t>This Deed is intended to take effect as a deed notwithstanding that the Administrative Agent may have executed it under hand only</w:t>
      </w:r>
      <w:r>
        <w:rPr>
          <w:rFonts w:ascii="Arial;sans-serif" w:hAnsi="Arial;sans-serif"/>
          <w:b w:val="false"/>
          <w:color w:val="3B3B3B"/>
          <w:sz w:val="20"/>
        </w:rPr>
        <w:t>.</w:t>
      </w:r>
    </w:p>
    <w:p>
      <w:pPr>
        <w:pStyle w:val="TextBody"/>
        <w:spacing w:lineRule="auto" w:line="288" w:before="0" w:after="180"/>
        <w:ind w:left="0" w:right="0" w:hanging="720"/>
        <w:rPr/>
      </w:pPr>
      <w:r>
        <w:rPr>
          <w:rFonts w:ascii="Arial;sans-serif" w:hAnsi="Arial;sans-serif"/>
          <w:b w:val="false"/>
          <w:color w:val="010101"/>
          <w:sz w:val="20"/>
        </w:rPr>
        <w:t>1.6    </w:t>
      </w:r>
      <w:r>
        <w:rPr>
          <w:rFonts w:ascii="Arial;sans-serif" w:hAnsi="Arial;sans-serif"/>
          <w:b/>
          <w:i/>
          <w:color w:val="010101"/>
          <w:sz w:val="20"/>
        </w:rPr>
        <w:t>Loan Document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050"/>
                <wp:effectExtent l="0" t="0" r="0" b="0"/>
                <wp:wrapNone/>
                <wp:docPr id="480" name="Frame4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4</w:t>
                      </w:r>
                    </w:p>
                  </w:txbxContent>
                </v:textbox>
              </v:rect>
            </w:pict>
          </mc:Fallback>
        </mc:AlternateConten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This Deed is a Loan Document.</w:t>
      </w:r>
    </w:p>
    <w:p>
      <w:pPr>
        <w:pStyle w:val="TextBody"/>
        <w:spacing w:lineRule="auto" w:line="288" w:before="0" w:after="180"/>
        <w:ind w:left="0" w:right="0" w:hanging="720"/>
        <w:rPr/>
      </w:pPr>
      <w:r>
        <w:rPr>
          <w:rFonts w:ascii="Arial;sans-serif" w:hAnsi="Arial;sans-serif"/>
          <w:b w:val="false"/>
          <w:color w:val="010101"/>
          <w:sz w:val="20"/>
        </w:rPr>
        <w:t>1. 7    </w:t>
      </w:r>
      <w:r>
        <w:rPr>
          <w:rFonts w:ascii="Arial;sans-serif" w:hAnsi="Arial;sans-serif"/>
          <w:b/>
          <w:i/>
          <w:color w:val="010101"/>
          <w:sz w:val="20"/>
        </w:rPr>
        <w:t>Third Party Rights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A person who is not a Party has no right under the Contracts (Rights of Third Parties) Act 1999 to enforce or to enjoy the benefit of any term of this Deed.</w:t>
      </w:r>
    </w:p>
    <w:p>
      <w:pPr>
        <w:pStyle w:val="TextBody"/>
        <w:spacing w:lineRule="auto" w:line="288" w:before="0" w:after="180"/>
        <w:ind w:left="0" w:right="0" w:hanging="720"/>
        <w:jc w:val="both"/>
        <w:rPr/>
      </w:pPr>
      <w:r>
        <w:rPr>
          <w:rFonts w:ascii="Arial;sans-serif" w:hAnsi="Arial;sans-serif"/>
          <w:b w:val="false"/>
          <w:color w:val="010101"/>
          <w:sz w:val="20"/>
        </w:rPr>
        <w:t>1.8    </w:t>
      </w:r>
      <w:r>
        <w:rPr>
          <w:rFonts w:ascii="Arial;sans-serif" w:hAnsi="Arial;sans-serif"/>
          <w:b/>
          <w:i/>
          <w:color w:val="010101"/>
          <w:sz w:val="20"/>
        </w:rPr>
        <w:t>Trusts</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(a)    The Administrative Agent holds the benefit of this Deed and any Accession Deed on trust for the Secured Parties in accordance with the terms of Section 9 of the Credit Agreement.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The perpetuity period for any trusts created by this Deed is 125 years.</w:t>
      </w:r>
    </w:p>
    <w:p>
      <w:pPr>
        <w:pStyle w:val="TextBody"/>
        <w:spacing w:lineRule="auto" w:line="288" w:before="0" w:after="180"/>
        <w:ind w:left="0" w:right="0" w:hanging="720"/>
        <w:rPr/>
      </w:pPr>
      <w:r>
        <w:rPr>
          <w:rFonts w:ascii="Arial;sans-serif" w:hAnsi="Arial;sans-serif"/>
          <w:b w:val="false"/>
          <w:color w:val="010101"/>
          <w:sz w:val="20"/>
        </w:rPr>
        <w:t>1.9    </w:t>
      </w:r>
      <w:r>
        <w:rPr>
          <w:rFonts w:ascii="Arial;sans-serif" w:hAnsi="Arial;sans-serif"/>
          <w:b/>
          <w:i/>
          <w:color w:val="010101"/>
          <w:sz w:val="20"/>
        </w:rPr>
        <w:t>Security Limitations</w:t>
      </w:r>
    </w:p>
    <w:p>
      <w:pPr>
        <w:pStyle w:val="TextBody"/>
        <w:spacing w:lineRule="auto" w:line="288" w:before="0" w:after="180"/>
        <w:jc w:val="both"/>
        <w:rPr/>
      </w:pPr>
      <w:r>
        <w:rPr>
          <w:rFonts w:ascii="Arial;sans-serif" w:hAnsi="Arial;sans-serif"/>
          <w:b w:val="false"/>
          <w:color w:val="010101"/>
          <w:sz w:val="20"/>
        </w:rPr>
        <w:t>Solely to the extent of any conflict or inconsistency between the terms of this Deed and the terms of the Guarantee and Collateral Agreement then</w:t>
      </w:r>
      <w:r>
        <w:rPr>
          <w:rFonts w:ascii="Arial;sans-serif" w:hAnsi="Arial;sans-serif"/>
          <w:b w:val="false"/>
          <w:color w:val="1C1C1C"/>
          <w:sz w:val="20"/>
        </w:rPr>
        <w:t xml:space="preserve">, </w:t>
      </w:r>
      <w:r>
        <w:rPr>
          <w:rFonts w:ascii="Arial;sans-serif" w:hAnsi="Arial;sans-serif"/>
          <w:b w:val="false"/>
          <w:color w:val="010101"/>
          <w:sz w:val="20"/>
        </w:rPr>
        <w:t>insofar as such conflict or inconsistency relates to any Security Asset expressed to be charged or assigned under this Deed which is from time to time located in the jurisdiction covered by the Guarantee and Collateral Agreement, the terms of the Guarantee and Collateral Agreement shall prevail.</w:t>
      </w:r>
    </w:p>
    <w:p>
      <w:pPr>
        <w:pStyle w:val="TextBody"/>
        <w:spacing w:lineRule="auto" w:line="288" w:before="0" w:after="180"/>
        <w:ind w:left="0" w:right="0" w:hanging="720"/>
        <w:rPr/>
      </w:pPr>
      <w:r>
        <w:rPr>
          <w:rFonts w:ascii="Arial;sans-serif" w:hAnsi="Arial;sans-serif"/>
          <w:b w:val="false"/>
          <w:color w:val="010101"/>
          <w:sz w:val="20"/>
        </w:rPr>
        <w:t>2.    </w:t>
      </w:r>
      <w:r>
        <w:rPr>
          <w:rFonts w:ascii="Arial;sans-serif" w:hAnsi="Arial;sans-serif"/>
          <w:b/>
          <w:color w:val="010101"/>
          <w:sz w:val="20"/>
        </w:rPr>
        <w:t>Covenant to Pay</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Each Chargor as primary obligor covenants with the Administrative Agent (as trustee for the Secured Parties) that it will on demand pay to the Administrative Agent the Secured Liabilities when the same fall due for payment.</w:t>
      </w:r>
    </w:p>
    <w:p>
      <w:pPr>
        <w:pStyle w:val="TextBody"/>
        <w:spacing w:lineRule="auto" w:line="288" w:before="0" w:after="180"/>
        <w:ind w:left="0" w:right="0" w:hanging="720"/>
        <w:rPr/>
      </w:pPr>
      <w:r>
        <w:rPr>
          <w:rFonts w:ascii="Arial;sans-serif" w:hAnsi="Arial;sans-serif"/>
          <w:b w:val="false"/>
          <w:color w:val="010101"/>
          <w:sz w:val="20"/>
        </w:rPr>
        <w:t>3.    </w:t>
      </w:r>
      <w:r>
        <w:rPr>
          <w:rFonts w:ascii="Arial;sans-serif" w:hAnsi="Arial;sans-serif"/>
          <w:b/>
          <w:color w:val="010101"/>
          <w:sz w:val="20"/>
        </w:rPr>
        <w:t>Security Assets</w:t>
      </w:r>
    </w:p>
    <w:p>
      <w:pPr>
        <w:pStyle w:val="TextBody"/>
        <w:spacing w:lineRule="auto" w:line="288" w:before="0" w:after="180"/>
        <w:ind w:left="0" w:right="0" w:hanging="720"/>
        <w:rPr/>
      </w:pPr>
      <w:r>
        <w:rPr>
          <w:rFonts w:ascii="Arial;sans-serif" w:hAnsi="Arial;sans-serif"/>
          <w:b w:val="false"/>
          <w:color w:val="010101"/>
          <w:sz w:val="20"/>
        </w:rPr>
        <w:t>3.1    </w:t>
      </w:r>
      <w:r>
        <w:rPr>
          <w:rFonts w:ascii="Arial;sans-serif" w:hAnsi="Arial;sans-serif"/>
          <w:b/>
          <w:i/>
          <w:color w:val="010101"/>
          <w:sz w:val="20"/>
        </w:rPr>
        <w:t>Fixed Charges</w:t>
      </w:r>
    </w:p>
    <w:p>
      <w:pPr>
        <w:pStyle w:val="TextBody"/>
        <w:spacing w:lineRule="auto" w:line="288" w:before="0" w:after="180"/>
        <w:ind w:left="0" w:right="0" w:hanging="720"/>
        <w:jc w:val="both"/>
        <w:rPr/>
      </w:pPr>
      <w:r>
        <w:rPr>
          <w:rFonts w:ascii="Arial;sans-serif" w:hAnsi="Arial;sans-serif"/>
          <w:b w:val="false"/>
          <w:color w:val="010101"/>
          <w:sz w:val="20"/>
        </w:rPr>
        <w:t xml:space="preserve">(a)    Subject to Clause 3.7 </w:t>
      </w:r>
      <w:r>
        <w:rPr>
          <w:rFonts w:ascii="Arial;sans-serif" w:hAnsi="Arial;sans-serif"/>
          <w:b w:val="false"/>
          <w:i/>
          <w:color w:val="010101"/>
          <w:sz w:val="20"/>
        </w:rPr>
        <w:t>(Property Restricting Charging)</w:t>
      </w:r>
      <w:r>
        <w:rPr>
          <w:rFonts w:ascii="Arial;sans-serif" w:hAnsi="Arial;sans-serif"/>
          <w:b w:val="false"/>
          <w:i/>
          <w:color w:val="1C1C1C"/>
          <w:sz w:val="20"/>
        </w:rPr>
        <w:t xml:space="preserve">, </w:t>
      </w:r>
      <w:r>
        <w:rPr>
          <w:rFonts w:ascii="Arial;sans-serif" w:hAnsi="Arial;sans-serif"/>
          <w:b w:val="false"/>
          <w:color w:val="010101"/>
          <w:sz w:val="20"/>
        </w:rPr>
        <w:t>each Chargor</w:t>
      </w:r>
      <w:r>
        <w:rPr>
          <w:rFonts w:ascii="Arial;sans-serif" w:hAnsi="Arial;sans-serif"/>
          <w:b w:val="false"/>
          <w:color w:val="1C1C1C"/>
          <w:sz w:val="20"/>
        </w:rPr>
        <w:t xml:space="preserve">, </w:t>
      </w:r>
      <w:r>
        <w:rPr>
          <w:rFonts w:ascii="Arial;sans-serif" w:hAnsi="Arial;sans-serif"/>
          <w:b w:val="false"/>
          <w:color w:val="010101"/>
          <w:sz w:val="20"/>
        </w:rPr>
        <w:t>as security for the payment discharge and performance of the Secured Liabilities, charges in favour of the Administrative Agent</w:t>
      </w:r>
      <w:r>
        <w:rPr>
          <w:rFonts w:ascii="Arial;sans-serif" w:hAnsi="Arial;sans-serif"/>
          <w:b w:val="false"/>
          <w:color w:val="1C1C1C"/>
          <w:sz w:val="20"/>
        </w:rPr>
        <w:t xml:space="preserve">, </w:t>
      </w:r>
      <w:r>
        <w:rPr>
          <w:rFonts w:ascii="Arial;sans-serif" w:hAnsi="Arial;sans-serif"/>
          <w:b w:val="false"/>
          <w:color w:val="010101"/>
          <w:sz w:val="20"/>
        </w:rPr>
        <w:t>with full title guarantee, the following assets (other than any Excluded Assets)</w:t>
      </w:r>
      <w:r>
        <w:rPr>
          <w:rFonts w:ascii="Arial;sans-serif" w:hAnsi="Arial;sans-serif"/>
          <w:b w:val="false"/>
          <w:color w:val="1C1C1C"/>
          <w:sz w:val="20"/>
        </w:rPr>
        <w:t xml:space="preserve">, </w:t>
      </w:r>
      <w:r>
        <w:rPr>
          <w:rFonts w:ascii="Arial;sans-serif" w:hAnsi="Arial;sans-serif"/>
          <w:b w:val="false"/>
          <w:color w:val="010101"/>
          <w:sz w:val="20"/>
        </w:rPr>
        <w:t>from time to time owned by it or in which it has an interest:</w:t>
      </w:r>
    </w:p>
    <w:p>
      <w:pPr>
        <w:pStyle w:val="TextBody"/>
        <w:spacing w:lineRule="auto" w:line="288" w:before="0" w:after="180"/>
        <w:ind w:left="0" w:right="0" w:hanging="720"/>
        <w:jc w:val="both"/>
        <w:rPr/>
      </w:pPr>
      <w:r>
        <w:rPr>
          <w:rFonts w:ascii="Arial;sans-serif" w:hAnsi="Arial;sans-serif"/>
          <w:b w:val="false"/>
          <w:color w:val="010101"/>
          <w:sz w:val="20"/>
        </w:rPr>
        <w:t>(i)    by way of first legal mortgage</w:t>
      </w:r>
      <w:r>
        <w:rPr>
          <w:rFonts w:ascii="Arial;sans-serif" w:hAnsi="Arial;sans-serif"/>
          <w:b w:val="false"/>
          <w:color w:val="1C1C1C"/>
          <w:sz w:val="20"/>
        </w:rPr>
        <w:t xml:space="preserve">, </w:t>
      </w:r>
      <w:r>
        <w:rPr>
          <w:rFonts w:ascii="Arial;sans-serif" w:hAnsi="Arial;sans-serif"/>
          <w:b w:val="false"/>
          <w:color w:val="010101"/>
          <w:sz w:val="20"/>
        </w:rPr>
        <w:t xml:space="preserve">each Property legal title to which is vested in it on the date of this Deed specified in Part 5 of Schedule 2 ( </w:t>
      </w:r>
      <w:r>
        <w:rPr>
          <w:rFonts w:ascii="Arial;sans-serif" w:hAnsi="Arial;sans-serif"/>
          <w:b w:val="false"/>
          <w:i/>
          <w:color w:val="010101"/>
          <w:sz w:val="20"/>
        </w:rPr>
        <w:t xml:space="preserve">Security </w:t>
      </w:r>
      <w:r>
        <w:rPr>
          <w:rFonts w:ascii="Arial;sans-serif" w:hAnsi="Arial;sans-serif"/>
          <w:b w:val="false"/>
          <w:color w:val="010101"/>
          <w:sz w:val="20"/>
        </w:rPr>
        <w:t>Assets)</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rPr>
          <w:rFonts w:ascii="Arial;sans-serif" w:hAnsi="Arial;sans-serif"/>
          <w:b w:val="false"/>
          <w:color w:val="010101"/>
          <w:sz w:val="20"/>
        </w:rPr>
      </w:pPr>
      <w:r>
        <w:rPr>
          <w:rFonts w:ascii="Arial;sans-serif" w:hAnsi="Arial;sans-serif"/>
          <w:b w:val="false"/>
          <w:color w:val="010101"/>
          <w:sz w:val="20"/>
        </w:rPr>
        <w:t>(ii)    by way of first fixed charge:</w:t>
      </w:r>
    </w:p>
    <w:p>
      <w:pPr>
        <w:pStyle w:val="TextBody"/>
        <w:spacing w:lineRule="auto" w:line="288" w:before="0" w:after="180"/>
        <w:ind w:left="0" w:right="0" w:hanging="720"/>
        <w:rPr/>
      </w:pPr>
      <w:r>
        <w:rPr>
          <w:rFonts w:ascii="Arial;sans-serif" w:hAnsi="Arial;sans-serif"/>
          <w:b w:val="false"/>
          <w:color w:val="010101"/>
          <w:sz w:val="20"/>
        </w:rPr>
        <w:t>(A)    all Property not effectively mortgaged under clause 3.1 (a)(i))</w:t>
      </w:r>
      <w:r>
        <w:rPr>
          <w:rFonts w:ascii="Arial;sans-serif" w:hAnsi="Arial;sans-serif"/>
          <w:b w:val="false"/>
          <w:color w:val="1C1C1C"/>
          <w:sz w:val="20"/>
        </w:rPr>
        <w:t xml:space="preserve">; </w:t>
      </w:r>
    </w:p>
    <w:p>
      <w:pPr>
        <w:pStyle w:val="TextBody"/>
        <w:spacing w:lineRule="auto" w:line="288" w:before="0" w:after="180"/>
        <w:ind w:left="0" w:right="0" w:hanging="720"/>
        <w:rPr/>
      </w:pPr>
      <w:r>
        <w:rPr>
          <w:rFonts w:ascii="Arial;sans-serif" w:hAnsi="Arial;sans-serif"/>
          <w:b w:val="false"/>
          <w:color w:val="010101"/>
          <w:sz w:val="20"/>
        </w:rPr>
        <w:t>(B)    all Plant and Machinery</w:t>
      </w:r>
      <w:r>
        <w:rPr>
          <w:rFonts w:ascii="Arial;sans-serif" w:hAnsi="Arial;sans-serif"/>
          <w:b w:val="false"/>
          <w:color w:val="1C1C1C"/>
          <w:sz w:val="20"/>
        </w:rPr>
        <w:t>;</w:t>
      </w:r>
    </w:p>
    <w:p>
      <w:pPr>
        <w:pStyle w:val="TextBody"/>
        <w:spacing w:lineRule="auto" w:line="288" w:before="0" w:after="180"/>
        <w:ind w:left="0" w:right="0" w:hanging="720"/>
        <w:rPr/>
      </w:pPr>
      <w:r>
        <w:rPr>
          <w:rFonts w:ascii="Arial;sans-serif" w:hAnsi="Arial;sans-serif"/>
          <w:b w:val="false"/>
          <w:color w:val="010101"/>
          <w:sz w:val="20"/>
        </w:rPr>
        <w:t>(C)    all Shares</w:t>
      </w:r>
      <w:r>
        <w:rPr>
          <w:rFonts w:ascii="Arial;sans-serif" w:hAnsi="Arial;sans-serif"/>
          <w:b w:val="false"/>
          <w:color w:val="1C1C1C"/>
          <w:sz w:val="20"/>
        </w:rPr>
        <w:t>;</w:t>
      </w:r>
    </w:p>
    <w:p>
      <w:pPr>
        <w:pStyle w:val="TextBody"/>
        <w:spacing w:lineRule="auto" w:line="288" w:before="0" w:after="180"/>
        <w:ind w:left="0" w:right="0" w:hanging="720"/>
        <w:rPr/>
      </w:pPr>
      <w:r>
        <w:rPr>
          <w:rFonts w:ascii="Arial;sans-serif" w:hAnsi="Arial;sans-serif"/>
          <w:b w:val="false"/>
          <w:color w:val="010101"/>
          <w:sz w:val="20"/>
        </w:rPr>
        <w:t>(D)    all Investments other than the Shares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(E)</w:t>
      </w:r>
      <w:r>
        <w:rPr>
          <w:color w:val="010101"/>
        </w:rPr>
        <w:t>    </w:t>
      </w:r>
      <w:r>
        <w:rPr>
          <w:rFonts w:ascii="Arial;sans-serif" w:hAnsi="Arial;sans-serif"/>
          <w:b w:val="false"/>
          <w:color w:val="010101"/>
          <w:sz w:val="20"/>
        </w:rPr>
        <w:t>all the monies from time to time standing to the credit of the SVB Operating Accounts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(F)    all the monies from time to time standing to the credit of the Third Party Accounts</w:t>
      </w:r>
      <w:r>
        <w:rPr>
          <w:rFonts w:ascii="Arial;sans-serif" w:hAnsi="Arial;sans-serif"/>
          <w:b w:val="false"/>
          <w:color w:val="2B2B2B"/>
          <w:sz w:val="20"/>
        </w:rPr>
        <w:t>;</w:t>
      </w:r>
    </w:p>
    <w:p>
      <w:pPr>
        <w:pStyle w:val="TextBody"/>
        <w:spacing w:lineRule="auto" w:line="288" w:before="0" w:after="180"/>
        <w:ind w:left="0" w:right="0" w:hanging="720"/>
        <w:jc w:val="both"/>
        <w:rPr/>
      </w:pPr>
      <w:r>
        <w:rPr>
          <w:rFonts w:ascii="Arial;sans-serif" w:hAnsi="Arial;sans-serif"/>
          <w:b w:val="false"/>
          <w:color w:val="010101"/>
          <w:sz w:val="20"/>
        </w:rPr>
        <w:t xml:space="preserve">(G)    all Intellectual Property specified in Part 2 of Schedule 2 </w:t>
      </w:r>
      <w:r>
        <w:rPr>
          <w:rFonts w:ascii="Arial;sans-serif" w:hAnsi="Arial;sans-serif"/>
          <w:b w:val="false"/>
          <w:i/>
          <w:color w:val="010101"/>
          <w:sz w:val="20"/>
        </w:rPr>
        <w:t xml:space="preserve">(Security </w:t>
      </w:r>
      <w:r>
        <w:rPr>
          <w:rFonts w:ascii="Arial;sans-serif" w:hAnsi="Arial;sans-serif"/>
          <w:b w:val="false"/>
          <w:color w:val="010101"/>
          <w:sz w:val="20"/>
        </w:rPr>
        <w:t>Assets)</w:t>
      </w:r>
      <w:r>
        <w:rPr>
          <w:rFonts w:ascii="Arial;sans-serif" w:hAnsi="Arial;sans-serif"/>
          <w:b w:val="false"/>
          <w:color w:val="1C1C1C"/>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46050"/>
                <wp:effectExtent l="0" t="0" r="0" b="0"/>
                <wp:wrapNone/>
                <wp:docPr id="481" name="Frame4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5</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10101"/>
          <w:sz w:val="20"/>
        </w:rPr>
        <w:t>(H)    all other Intellectual Property</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(I)</w:t>
      </w:r>
      <w:r>
        <w:rPr>
          <w:color w:val="010101"/>
        </w:rPr>
        <w:t>    </w:t>
      </w:r>
      <w:r>
        <w:rPr>
          <w:rFonts w:ascii="Arial;sans-serif" w:hAnsi="Arial;sans-serif"/>
          <w:b w:val="false"/>
          <w:color w:val="010101"/>
          <w:sz w:val="20"/>
        </w:rPr>
        <w:t xml:space="preserve">all Receivables not effectively assigned pursuant to Clause 3.2 </w:t>
      </w:r>
      <w:r>
        <w:rPr>
          <w:rFonts w:ascii="Arial;sans-serif" w:hAnsi="Arial;sans-serif"/>
          <w:b w:val="false"/>
          <w:i/>
          <w:color w:val="010101"/>
          <w:sz w:val="20"/>
        </w:rPr>
        <w:t>( Security Assignment)</w:t>
      </w:r>
      <w:r>
        <w:rPr>
          <w:rFonts w:ascii="Arial;sans-serif" w:hAnsi="Arial;sans-serif"/>
          <w:b w:val="false"/>
          <w:i/>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rPr>
          <w:rFonts w:ascii="Arial;sans-serif" w:hAnsi="Arial;sans-serif"/>
          <w:b w:val="false"/>
          <w:color w:val="010101"/>
          <w:sz w:val="20"/>
        </w:rPr>
      </w:pPr>
      <w:r>
        <w:rPr>
          <w:rFonts w:ascii="Arial;sans-serif" w:hAnsi="Arial;sans-serif"/>
          <w:b w:val="false"/>
          <w:color w:val="010101"/>
          <w:sz w:val="20"/>
        </w:rPr>
        <w:t>(J)    its goodwill and uncalled capital.</w:t>
      </w:r>
    </w:p>
    <w:p>
      <w:pPr>
        <w:pStyle w:val="TextBody"/>
        <w:spacing w:lineRule="auto" w:line="288" w:before="0" w:after="180"/>
        <w:ind w:left="0" w:right="0" w:hanging="720"/>
        <w:rPr/>
      </w:pPr>
      <w:r>
        <w:rPr>
          <w:rFonts w:ascii="Arial;sans-serif" w:hAnsi="Arial;sans-serif"/>
          <w:b w:val="false"/>
          <w:color w:val="010101"/>
          <w:sz w:val="20"/>
        </w:rPr>
        <w:t>3.2    </w:t>
      </w:r>
      <w:r>
        <w:rPr>
          <w:rFonts w:ascii="Arial;sans-serif" w:hAnsi="Arial;sans-serif"/>
          <w:b/>
          <w:i/>
          <w:color w:val="010101"/>
          <w:sz w:val="20"/>
        </w:rPr>
        <w:t>Security Assignment</w:t>
      </w:r>
    </w:p>
    <w:p>
      <w:pPr>
        <w:pStyle w:val="TextBody"/>
        <w:spacing w:lineRule="auto" w:line="288" w:before="0" w:after="180"/>
        <w:jc w:val="both"/>
        <w:rPr/>
      </w:pPr>
      <w:r>
        <w:rPr>
          <w:rFonts w:ascii="Arial;sans-serif" w:hAnsi="Arial;sans-serif"/>
          <w:b w:val="false"/>
          <w:color w:val="010101"/>
          <w:sz w:val="20"/>
        </w:rPr>
        <w:t xml:space="preserve">Subject to Clause 3. 7 </w:t>
      </w:r>
      <w:r>
        <w:rPr>
          <w:rFonts w:ascii="Arial;sans-serif" w:hAnsi="Arial;sans-serif"/>
          <w:b w:val="false"/>
          <w:i/>
          <w:color w:val="010101"/>
          <w:sz w:val="20"/>
        </w:rPr>
        <w:t>(Property Restricting Charging)</w:t>
      </w:r>
      <w:r>
        <w:rPr>
          <w:rFonts w:ascii="Arial;sans-serif" w:hAnsi="Arial;sans-serif"/>
          <w:b w:val="false"/>
          <w:i/>
          <w:color w:val="1A1A1A"/>
          <w:sz w:val="20"/>
        </w:rPr>
        <w:t xml:space="preserve">, </w:t>
      </w:r>
      <w:r>
        <w:rPr>
          <w:rFonts w:ascii="Arial;sans-serif" w:hAnsi="Arial;sans-serif"/>
          <w:b w:val="false"/>
          <w:color w:val="010101"/>
          <w:sz w:val="20"/>
        </w:rPr>
        <w:t>as further security for the payment of the Secured Liabilities, each Chargor assigns, by way of security, with full title guarantee to the Administrative Agent all its rights</w:t>
      </w:r>
      <w:r>
        <w:rPr>
          <w:rFonts w:ascii="Arial;sans-serif" w:hAnsi="Arial;sans-serif"/>
          <w:b w:val="false"/>
          <w:color w:val="1A1A1A"/>
          <w:sz w:val="20"/>
        </w:rPr>
        <w:t xml:space="preserve">, </w:t>
      </w:r>
      <w:r>
        <w:rPr>
          <w:rFonts w:ascii="Arial;sans-serif" w:hAnsi="Arial;sans-serif"/>
          <w:b w:val="false"/>
          <w:color w:val="010101"/>
          <w:sz w:val="20"/>
        </w:rPr>
        <w:t>title and interest in:</w:t>
      </w:r>
    </w:p>
    <w:p>
      <w:pPr>
        <w:pStyle w:val="TextBody"/>
        <w:spacing w:lineRule="auto" w:line="288" w:before="0" w:after="180"/>
        <w:rPr/>
      </w:pPr>
      <w:r>
        <w:rPr>
          <w:rFonts w:ascii="Arial;sans-serif" w:hAnsi="Arial;sans-serif"/>
          <w:b w:val="false"/>
          <w:color w:val="010101"/>
          <w:sz w:val="20"/>
        </w:rPr>
        <w:t>(a)    the Insurances and the Insurance Proceeds</w:t>
      </w:r>
      <w:r>
        <w:rPr>
          <w:rFonts w:ascii="Arial;sans-serif" w:hAnsi="Arial;sans-serif"/>
          <w:b w:val="false"/>
          <w:color w:val="1A1A1A"/>
          <w:sz w:val="20"/>
        </w:rPr>
        <w:t xml:space="preserve">; </w:t>
      </w:r>
    </w:p>
    <w:p>
      <w:pPr>
        <w:pStyle w:val="TextBody"/>
        <w:spacing w:lineRule="auto" w:line="288" w:before="0" w:after="180"/>
        <w:rPr/>
      </w:pPr>
      <w:r>
        <w:rPr>
          <w:rFonts w:ascii="Arial;sans-serif" w:hAnsi="Arial;sans-serif"/>
          <w:b w:val="false"/>
          <w:color w:val="010101"/>
          <w:sz w:val="20"/>
        </w:rPr>
        <w:t>(b)    each Assigned Contract</w:t>
      </w:r>
      <w:r>
        <w:rPr>
          <w:rFonts w:ascii="Arial;sans-serif" w:hAnsi="Arial;sans-serif"/>
          <w:b w:val="false"/>
          <w:color w:val="1A1A1A"/>
          <w:sz w:val="20"/>
        </w:rPr>
        <w:t>;</w:t>
      </w:r>
    </w:p>
    <w:p>
      <w:pPr>
        <w:pStyle w:val="TextBody"/>
        <w:spacing w:lineRule="auto" w:line="288" w:before="0" w:after="180"/>
        <w:jc w:val="both"/>
        <w:rPr/>
      </w:pPr>
      <w:r>
        <w:rPr>
          <w:rFonts w:ascii="Arial;sans-serif" w:hAnsi="Arial;sans-serif"/>
          <w:b w:val="false"/>
          <w:color w:val="010101"/>
          <w:sz w:val="20"/>
        </w:rPr>
        <w:t>(c)    all Receivables</w:t>
      </w:r>
      <w:r>
        <w:rPr>
          <w:rFonts w:ascii="Arial;sans-serif" w:hAnsi="Arial;sans-serif"/>
          <w:b w:val="false"/>
          <w:color w:val="1A1A1A"/>
          <w:sz w:val="20"/>
        </w:rPr>
        <w:t xml:space="preserve">; </w:t>
      </w:r>
      <w:r>
        <w:rPr>
          <w:rFonts w:ascii="Arial;sans-serif" w:hAnsi="Arial;sans-serif"/>
          <w:b w:val="false"/>
          <w:color w:val="010101"/>
          <w:sz w:val="20"/>
        </w:rPr>
        <w:t>and</w:t>
      </w:r>
    </w:p>
    <w:p>
      <w:pPr>
        <w:pStyle w:val="TextBody"/>
        <w:spacing w:lineRule="auto" w:line="288" w:before="0" w:after="180"/>
        <w:jc w:val="both"/>
        <w:rPr/>
      </w:pPr>
      <w:r>
        <w:rPr>
          <w:rFonts w:ascii="Arial;sans-serif" w:hAnsi="Arial;sans-serif"/>
          <w:b w:val="false"/>
          <w:color w:val="010101"/>
          <w:sz w:val="20"/>
        </w:rPr>
        <w:t>(d)    all Related Rights in respect of each of the above</w:t>
      </w:r>
      <w:r>
        <w:rPr>
          <w:rFonts w:ascii="Arial;sans-serif" w:hAnsi="Arial;sans-serif"/>
          <w:b w:val="false"/>
          <w:color w:val="1A1A1A"/>
          <w:sz w:val="20"/>
        </w:rPr>
        <w:t>,</w:t>
      </w:r>
    </w:p>
    <w:p>
      <w:pPr>
        <w:pStyle w:val="TextBody"/>
        <w:spacing w:lineRule="auto" w:line="288" w:before="0" w:after="180"/>
        <w:jc w:val="both"/>
        <w:rPr/>
      </w:pPr>
      <w:r>
        <w:rPr>
          <w:rFonts w:ascii="Arial;sans-serif" w:hAnsi="Arial;sans-serif"/>
          <w:b w:val="false"/>
          <w:color w:val="010101"/>
          <w:sz w:val="20"/>
        </w:rPr>
        <w:t>in each case excluding any Excluded Assets and subject in each case to reassignment by the Administrative Agent to the relevant Chargor of all such rights, title and interest upon payment or discharge in full of the Secured Liabilities</w:t>
      </w:r>
      <w:r>
        <w:rPr>
          <w:rFonts w:ascii="Arial;sans-serif" w:hAnsi="Arial;sans-serif"/>
          <w:b w:val="false"/>
          <w:color w:val="383838"/>
          <w:sz w:val="20"/>
        </w:rPr>
        <w:t>.</w:t>
      </w:r>
    </w:p>
    <w:p>
      <w:pPr>
        <w:pStyle w:val="TextBody"/>
        <w:spacing w:lineRule="auto" w:line="288" w:before="0" w:after="180"/>
        <w:ind w:left="0" w:right="0" w:hanging="720"/>
        <w:rPr/>
      </w:pPr>
      <w:r>
        <w:rPr>
          <w:rFonts w:ascii="Arial;sans-serif" w:hAnsi="Arial;sans-serif"/>
          <w:b w:val="false"/>
          <w:color w:val="010101"/>
          <w:sz w:val="20"/>
        </w:rPr>
        <w:t>3.3    </w:t>
      </w:r>
      <w:r>
        <w:rPr>
          <w:rFonts w:ascii="Arial;sans-serif" w:hAnsi="Arial;sans-serif"/>
          <w:b/>
          <w:i/>
          <w:color w:val="010101"/>
          <w:sz w:val="20"/>
        </w:rPr>
        <w:t>Floating Charge</w:t>
      </w:r>
    </w:p>
    <w:p>
      <w:pPr>
        <w:pStyle w:val="TextBody"/>
        <w:spacing w:lineRule="auto" w:line="288" w:before="0" w:after="180"/>
        <w:ind w:left="0" w:right="0" w:hanging="720"/>
        <w:jc w:val="both"/>
        <w:rPr/>
      </w:pPr>
      <w:r>
        <w:rPr>
          <w:rFonts w:ascii="Arial;sans-serif" w:hAnsi="Arial;sans-serif"/>
          <w:b w:val="false"/>
          <w:color w:val="010101"/>
          <w:sz w:val="20"/>
        </w:rPr>
        <w:t>(a)    Subject to Clause 3</w:t>
      </w:r>
      <w:r>
        <w:rPr>
          <w:rFonts w:ascii="Arial;sans-serif" w:hAnsi="Arial;sans-serif"/>
          <w:b w:val="false"/>
          <w:color w:val="383838"/>
          <w:sz w:val="20"/>
        </w:rPr>
        <w:t xml:space="preserve">. </w:t>
      </w:r>
      <w:r>
        <w:rPr>
          <w:rFonts w:ascii="Arial;sans-serif" w:hAnsi="Arial;sans-serif"/>
          <w:b w:val="false"/>
          <w:color w:val="010101"/>
          <w:sz w:val="20"/>
        </w:rPr>
        <w:t xml:space="preserve">7 </w:t>
      </w:r>
      <w:r>
        <w:rPr>
          <w:rFonts w:ascii="Arial;sans-serif" w:hAnsi="Arial;sans-serif"/>
          <w:b w:val="false"/>
          <w:i/>
          <w:color w:val="010101"/>
          <w:sz w:val="20"/>
        </w:rPr>
        <w:t>(Property Restricting Charging)</w:t>
      </w:r>
      <w:r>
        <w:rPr>
          <w:rFonts w:ascii="Arial;sans-serif" w:hAnsi="Arial;sans-serif"/>
          <w:b w:val="false"/>
          <w:i/>
          <w:color w:val="1A1A1A"/>
          <w:sz w:val="20"/>
        </w:rPr>
        <w:t xml:space="preserve">, </w:t>
      </w:r>
      <w:r>
        <w:rPr>
          <w:rFonts w:ascii="Arial;sans-serif" w:hAnsi="Arial;sans-serif"/>
          <w:b w:val="false"/>
          <w:color w:val="010101"/>
          <w:sz w:val="20"/>
        </w:rPr>
        <w:t>as further security for the payment of the Secured Liabilities, each Chargor charges with full title guarantee in favour of the Administrative Agent by way of first floating charge its undertaking and all its present and future assets other than</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 xml:space="preserve">(i)    those assets which are effectively charged by way of first fixed charge or legal mortgage under clause 3.1 </w:t>
      </w:r>
      <w:r>
        <w:rPr>
          <w:rFonts w:ascii="Arial;sans-serif" w:hAnsi="Arial;sans-serif"/>
          <w:b w:val="false"/>
          <w:i/>
          <w:color w:val="010101"/>
          <w:sz w:val="20"/>
        </w:rPr>
        <w:t xml:space="preserve">(Fixed Charges) </w:t>
      </w:r>
      <w:r>
        <w:rPr>
          <w:rFonts w:ascii="Arial;sans-serif" w:hAnsi="Arial;sans-serif"/>
          <w:b w:val="false"/>
          <w:color w:val="010101"/>
          <w:sz w:val="20"/>
        </w:rPr>
        <w:t>or which are effectively assigned by way of security under clause 3</w:t>
      </w:r>
      <w:r>
        <w:rPr>
          <w:rFonts w:ascii="Arial;sans-serif" w:hAnsi="Arial;sans-serif"/>
          <w:b w:val="false"/>
          <w:color w:val="383838"/>
          <w:sz w:val="20"/>
        </w:rPr>
        <w:t>.</w:t>
      </w:r>
      <w:r>
        <w:rPr>
          <w:rFonts w:ascii="Arial;sans-serif" w:hAnsi="Arial;sans-serif"/>
          <w:b w:val="false"/>
          <w:color w:val="010101"/>
          <w:sz w:val="20"/>
        </w:rPr>
        <w:t xml:space="preserve">2 ( </w:t>
      </w:r>
      <w:r>
        <w:rPr>
          <w:rFonts w:ascii="Arial;sans-serif" w:hAnsi="Arial;sans-serif"/>
          <w:b w:val="false"/>
          <w:i/>
          <w:color w:val="010101"/>
          <w:sz w:val="20"/>
        </w:rPr>
        <w:t>Security Assignment)</w:t>
      </w:r>
      <w:r>
        <w:rPr>
          <w:rFonts w:ascii="Arial;sans-serif" w:hAnsi="Arial;sans-serif"/>
          <w:b w:val="false"/>
          <w:i/>
          <w:color w:val="1A1A1A"/>
          <w:sz w:val="20"/>
        </w:rPr>
        <w:t xml:space="preserve">; </w:t>
      </w:r>
      <w:r>
        <w:rPr>
          <w:rFonts w:ascii="Arial;sans-serif" w:hAnsi="Arial;sans-serif"/>
          <w:b w:val="false"/>
          <w:color w:val="010101"/>
          <w:sz w:val="20"/>
        </w:rPr>
        <w:t>and</w:t>
      </w:r>
    </w:p>
    <w:p>
      <w:pPr>
        <w:pStyle w:val="TextBody"/>
        <w:spacing w:lineRule="auto" w:line="288" w:before="0" w:after="180"/>
        <w:ind w:left="0" w:right="0" w:hanging="720"/>
        <w:rPr/>
      </w:pPr>
      <w:r>
        <w:rPr>
          <w:rFonts w:ascii="Arial;sans-serif" w:hAnsi="Arial;sans-serif"/>
          <w:b w:val="false"/>
          <w:color w:val="010101"/>
          <w:sz w:val="20"/>
        </w:rPr>
        <w:t>(ii)    any Excluded Assets</w:t>
      </w:r>
      <w:r>
        <w:rPr>
          <w:rFonts w:ascii="Arial;sans-serif" w:hAnsi="Arial;sans-serif"/>
          <w:b w:val="false"/>
          <w:color w:val="383838"/>
          <w:sz w:val="20"/>
        </w:rPr>
        <w:t>.</w:t>
      </w:r>
    </w:p>
    <w:p>
      <w:pPr>
        <w:pStyle w:val="TextBody"/>
        <w:spacing w:lineRule="auto" w:line="288" w:before="0" w:after="180"/>
        <w:ind w:left="0" w:right="0" w:hanging="720"/>
        <w:jc w:val="both"/>
        <w:rPr/>
      </w:pPr>
      <w:r>
        <w:rPr>
          <w:rFonts w:ascii="Arial;sans-serif" w:hAnsi="Arial;sans-serif"/>
          <w:b w:val="false"/>
          <w:color w:val="010101"/>
          <w:sz w:val="20"/>
        </w:rPr>
        <w:t xml:space="preserve">(b)    Paragraph 14 of Schedule B1 to the Insolvency Act 1986 shall apply to the floating charge created by this Deed to the extent such floating charge is created by a </w:t>
      </w:r>
      <w:r>
        <w:rPr>
          <w:rFonts w:ascii="Arial;sans-serif" w:hAnsi="Arial;sans-serif"/>
          <w:b w:val="false"/>
          <w:color w:val="1A1A1A"/>
          <w:sz w:val="20"/>
        </w:rPr>
        <w:t>"</w:t>
      </w:r>
      <w:r>
        <w:rPr>
          <w:rFonts w:ascii="Arial;sans-serif" w:hAnsi="Arial;sans-serif"/>
          <w:b w:val="false"/>
          <w:color w:val="010101"/>
          <w:sz w:val="20"/>
        </w:rPr>
        <w:t>company</w:t>
      </w:r>
      <w:r>
        <w:rPr>
          <w:rFonts w:ascii="Arial;sans-serif" w:hAnsi="Arial;sans-serif"/>
          <w:b w:val="false"/>
          <w:color w:val="1A1A1A"/>
          <w:sz w:val="20"/>
        </w:rPr>
        <w:t xml:space="preserve">" </w:t>
      </w:r>
      <w:r>
        <w:rPr>
          <w:rFonts w:ascii="Arial;sans-serif" w:hAnsi="Arial;sans-serif"/>
          <w:b w:val="false"/>
          <w:color w:val="010101"/>
          <w:sz w:val="20"/>
        </w:rPr>
        <w:t>as defined in Schedule B1 to the Insolvency Act 1986.</w:t>
      </w:r>
    </w:p>
    <w:p>
      <w:pPr>
        <w:pStyle w:val="TextBody"/>
        <w:spacing w:lineRule="auto" w:line="288" w:before="0" w:after="180"/>
        <w:ind w:left="0" w:right="0" w:hanging="720"/>
        <w:rPr/>
      </w:pPr>
      <w:r>
        <w:rPr>
          <w:rFonts w:ascii="Arial;sans-serif" w:hAnsi="Arial;sans-serif"/>
          <w:b w:val="false"/>
          <w:color w:val="010101"/>
          <w:sz w:val="20"/>
        </w:rPr>
        <w:t>3.4    </w:t>
      </w:r>
      <w:r>
        <w:rPr>
          <w:rFonts w:ascii="Arial;sans-serif" w:hAnsi="Arial;sans-serif"/>
          <w:b/>
          <w:i/>
          <w:color w:val="010101"/>
          <w:sz w:val="20"/>
        </w:rPr>
        <w:t>Conversion of Floating Charge by Notice</w:t>
      </w:r>
    </w:p>
    <w:p>
      <w:pPr>
        <w:pStyle w:val="TextBody"/>
        <w:spacing w:lineRule="auto" w:line="288" w:before="0" w:after="180"/>
        <w:jc w:val="both"/>
        <w:rPr/>
      </w:pPr>
      <w:r>
        <w:rPr>
          <w:rFonts w:ascii="Arial;sans-serif" w:hAnsi="Arial;sans-serif"/>
          <w:b w:val="false"/>
          <w:color w:val="010101"/>
          <w:sz w:val="20"/>
        </w:rPr>
        <w:t>If</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(a)    the security constituted by this Deed has become enforceable pursuant to the terms of this Deed</w:t>
      </w:r>
      <w:r>
        <w:rPr>
          <w:rFonts w:ascii="Arial;sans-serif" w:hAnsi="Arial;sans-serif"/>
          <w:b w:val="false"/>
          <w:color w:val="1A1A1A"/>
          <w:sz w:val="20"/>
        </w:rPr>
        <w:t xml:space="preserve">; </w:t>
      </w:r>
      <w:r>
        <w:rPr>
          <w:rFonts w:ascii="Arial;sans-serif" w:hAnsi="Arial;sans-serif"/>
          <w:b w:val="false"/>
          <w:color w:val="010101"/>
          <w:sz w:val="20"/>
        </w:rPr>
        <w:t>or</w:t>
      </w:r>
    </w:p>
    <w:p>
      <w:pPr>
        <w:pStyle w:val="TextBody"/>
        <w:spacing w:lineRule="auto" w:line="288" w:before="0" w:after="180"/>
        <w:ind w:left="0" w:right="0" w:hanging="720"/>
        <w:jc w:val="both"/>
        <w:rPr/>
      </w:pPr>
      <w:r>
        <w:rPr>
          <w:rFonts w:ascii="Arial;sans-serif" w:hAnsi="Arial;sans-serif"/>
          <w:b w:val="false"/>
          <w:color w:val="010101"/>
          <w:sz w:val="20"/>
        </w:rPr>
        <w:t>(b)    the Administrative Agent is of the view (acting reasonably and in good faith) that any legal process or execution is being enforced against any Floating Charge Asset or (acting reasonably) that any Floating Charge Asset is in danger of being seized, sold or is otherwise in jeopardy</w:t>
      </w:r>
      <w:r>
        <w:rPr>
          <w:rFonts w:ascii="Arial;sans-serif" w:hAnsi="Arial;sans-serif"/>
          <w:b w:val="false"/>
          <w:color w:val="1A1A1A"/>
          <w:sz w:val="20"/>
        </w:rPr>
        <w:t>,</w:t>
      </w:r>
    </w:p>
    <w:p>
      <w:pPr>
        <w:pStyle w:val="TextBody"/>
        <w:spacing w:lineRule="auto" w:line="288" w:before="0" w:after="180"/>
        <w:jc w:val="both"/>
        <w:rPr/>
      </w:pPr>
      <w:r>
        <w:rPr>
          <w:rFonts w:ascii="Arial;sans-serif" w:hAnsi="Arial;sans-serif"/>
          <w:b w:val="false"/>
          <w:color w:val="010101"/>
          <w:sz w:val="20"/>
        </w:rPr>
        <w:t>the Administrative Agent may</w:t>
      </w:r>
      <w:r>
        <w:rPr>
          <w:rFonts w:ascii="Arial;sans-serif" w:hAnsi="Arial;sans-serif"/>
          <w:b w:val="false"/>
          <w:color w:val="1A1A1A"/>
          <w:sz w:val="20"/>
        </w:rPr>
        <w:t xml:space="preserve">, </w:t>
      </w:r>
      <w:r>
        <w:rPr>
          <w:rFonts w:ascii="Arial;sans-serif" w:hAnsi="Arial;sans-serif"/>
          <w:b w:val="false"/>
          <w:color w:val="010101"/>
          <w:sz w:val="20"/>
        </w:rPr>
        <w:t xml:space="preserve">by written notice to a Chargor, convert the floating charge created under this Deed into a fixed charge as regards those assets which it specifies in that notice. The relevant Chargor shall as soon as reasonably practicable following request by the Administrative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46050"/>
                <wp:effectExtent l="0" t="0" r="0" b="0"/>
                <wp:wrapNone/>
                <wp:docPr id="482" name="Frame4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6</w:t>
                      </w:r>
                    </w:p>
                  </w:txbxContent>
                </v:textbox>
              </v:rect>
            </w:pict>
          </mc:Fallback>
        </mc:AlternateConten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Agent execute a fixed charge or legal or equitable assignment over those assets in such form as the Administrative Agent may require.</w:t>
      </w:r>
    </w:p>
    <w:p>
      <w:pPr>
        <w:pStyle w:val="TextBody"/>
        <w:spacing w:lineRule="auto" w:line="288" w:before="0" w:after="180"/>
        <w:ind w:left="0" w:right="0" w:hanging="720"/>
        <w:rPr/>
      </w:pPr>
      <w:r>
        <w:rPr>
          <w:rFonts w:ascii="Arial;sans-serif" w:hAnsi="Arial;sans-serif"/>
          <w:b w:val="false"/>
          <w:color w:val="010101"/>
          <w:sz w:val="20"/>
        </w:rPr>
        <w:t>3.5    </w:t>
      </w:r>
      <w:r>
        <w:rPr>
          <w:rFonts w:ascii="Arial;sans-serif" w:hAnsi="Arial;sans-serif"/>
          <w:b/>
          <w:i/>
          <w:color w:val="010101"/>
          <w:sz w:val="20"/>
        </w:rPr>
        <w:t>Automatic Conversion of Floating Charge</w:t>
      </w:r>
    </w:p>
    <w:p>
      <w:pPr>
        <w:pStyle w:val="TextBody"/>
        <w:spacing w:lineRule="auto" w:line="288" w:before="0" w:after="180"/>
        <w:jc w:val="both"/>
        <w:rPr/>
      </w:pPr>
      <w:r>
        <w:rPr>
          <w:rFonts w:ascii="Arial;sans-serif" w:hAnsi="Arial;sans-serif"/>
          <w:b w:val="false"/>
          <w:color w:val="010101"/>
          <w:sz w:val="20"/>
        </w:rPr>
        <w:t>If</w:t>
      </w:r>
      <w:r>
        <w:rPr>
          <w:rFonts w:ascii="Arial;sans-serif" w:hAnsi="Arial;sans-serif"/>
          <w:b w:val="false"/>
          <w:color w:val="1A1A1A"/>
          <w:sz w:val="20"/>
        </w:rPr>
        <w:t xml:space="preserve">, </w:t>
      </w:r>
      <w:r>
        <w:rPr>
          <w:rFonts w:ascii="Arial;sans-serif" w:hAnsi="Arial;sans-serif"/>
          <w:b w:val="false"/>
          <w:color w:val="010101"/>
          <w:sz w:val="20"/>
        </w:rPr>
        <w:t>without the prior written consent of the Administrative Agent:</w:t>
      </w:r>
    </w:p>
    <w:p>
      <w:pPr>
        <w:pStyle w:val="TextBody"/>
        <w:spacing w:lineRule="auto" w:line="288" w:before="0" w:after="180"/>
        <w:ind w:left="0" w:right="0" w:hanging="720"/>
        <w:jc w:val="both"/>
        <w:rPr/>
      </w:pPr>
      <w:r>
        <w:rPr>
          <w:rFonts w:ascii="Arial;sans-serif" w:hAnsi="Arial;sans-serif"/>
          <w:b w:val="false"/>
          <w:color w:val="010101"/>
          <w:sz w:val="20"/>
        </w:rPr>
        <w:t xml:space="preserve">(a)    a Chargor creates any Security Interest (other than a Lien permitted under Section 7.3 </w:t>
      </w:r>
      <w:r>
        <w:rPr>
          <w:rFonts w:ascii="Arial;sans-serif" w:hAnsi="Arial;sans-serif"/>
          <w:b w:val="false"/>
          <w:i/>
          <w:color w:val="010101"/>
          <w:sz w:val="20"/>
        </w:rPr>
        <w:t xml:space="preserve">(Liens) </w:t>
      </w:r>
      <w:r>
        <w:rPr>
          <w:rFonts w:ascii="Arial;sans-serif" w:hAnsi="Arial;sans-serif"/>
          <w:b w:val="false"/>
          <w:color w:val="010101"/>
          <w:sz w:val="20"/>
        </w:rPr>
        <w:t>of the Credit Agreement) over all or any of the Security Assets or attempts to do so</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(b)    any person levies or attempts to levy any attachment</w:t>
      </w:r>
      <w:r>
        <w:rPr>
          <w:rFonts w:ascii="Arial;sans-serif" w:hAnsi="Arial;sans-serif"/>
          <w:b w:val="false"/>
          <w:color w:val="1C1C1C"/>
          <w:sz w:val="20"/>
        </w:rPr>
        <w:t xml:space="preserve">, </w:t>
      </w:r>
      <w:r>
        <w:rPr>
          <w:rFonts w:ascii="Arial;sans-serif" w:hAnsi="Arial;sans-serif"/>
          <w:b w:val="false"/>
          <w:color w:val="010101"/>
          <w:sz w:val="20"/>
        </w:rPr>
        <w:t>execution or other legal process against any of such Security Assets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(c)    a resolution is passed or an order is made for the winding up</w:t>
      </w:r>
      <w:r>
        <w:rPr>
          <w:rFonts w:ascii="Arial;sans-serif" w:hAnsi="Arial;sans-serif"/>
          <w:b w:val="false"/>
          <w:color w:val="1C1C1C"/>
          <w:sz w:val="20"/>
        </w:rPr>
        <w:t xml:space="preserve">, </w:t>
      </w:r>
      <w:r>
        <w:rPr>
          <w:rFonts w:ascii="Arial;sans-serif" w:hAnsi="Arial;sans-serif"/>
          <w:b w:val="false"/>
          <w:color w:val="010101"/>
          <w:sz w:val="20"/>
        </w:rPr>
        <w:t>dissolution</w:t>
      </w:r>
      <w:r>
        <w:rPr>
          <w:rFonts w:ascii="Arial;sans-serif" w:hAnsi="Arial;sans-serif"/>
          <w:b w:val="false"/>
          <w:color w:val="1C1C1C"/>
          <w:sz w:val="20"/>
        </w:rPr>
        <w:t xml:space="preserve">, </w:t>
      </w:r>
      <w:r>
        <w:rPr>
          <w:rFonts w:ascii="Arial;sans-serif" w:hAnsi="Arial;sans-serif"/>
          <w:b w:val="false"/>
          <w:color w:val="010101"/>
          <w:sz w:val="20"/>
        </w:rPr>
        <w:t>administration or other reorganisation of a Chargor; or</w:t>
      </w:r>
    </w:p>
    <w:p>
      <w:pPr>
        <w:pStyle w:val="TextBody"/>
        <w:spacing w:lineRule="auto" w:line="288" w:before="0" w:after="180"/>
        <w:ind w:left="0" w:right="0" w:hanging="720"/>
        <w:jc w:val="both"/>
        <w:rPr/>
      </w:pPr>
      <w:r>
        <w:rPr>
          <w:rFonts w:ascii="Arial;sans-serif" w:hAnsi="Arial;sans-serif"/>
          <w:b w:val="false"/>
          <w:color w:val="010101"/>
          <w:sz w:val="20"/>
        </w:rPr>
        <w:t>(d)    any steps are taken for the appointment of, or notice is given of intention to appoint (by a person entitled to do so)</w:t>
      </w:r>
      <w:r>
        <w:rPr>
          <w:rFonts w:ascii="Arial;sans-serif" w:hAnsi="Arial;sans-serif"/>
          <w:b w:val="false"/>
          <w:color w:val="1C1C1C"/>
          <w:sz w:val="20"/>
        </w:rPr>
        <w:t xml:space="preserve">, </w:t>
      </w:r>
      <w:r>
        <w:rPr>
          <w:rFonts w:ascii="Arial;sans-serif" w:hAnsi="Arial;sans-serif"/>
          <w:b w:val="false"/>
          <w:color w:val="010101"/>
          <w:sz w:val="20"/>
        </w:rPr>
        <w:t>or a petition is filed or application is made</w:t>
      </w:r>
      <w:r>
        <w:rPr>
          <w:rFonts w:ascii="Arial;sans-serif" w:hAnsi="Arial;sans-serif"/>
          <w:b w:val="false"/>
          <w:color w:val="1C1C1C"/>
          <w:sz w:val="20"/>
        </w:rPr>
        <w:t xml:space="preserve">, </w:t>
      </w:r>
      <w:r>
        <w:rPr>
          <w:rFonts w:ascii="Arial;sans-serif" w:hAnsi="Arial;sans-serif"/>
          <w:b w:val="false"/>
          <w:color w:val="010101"/>
          <w:sz w:val="20"/>
        </w:rPr>
        <w:t>or a competent court makes an order for the appointment of an administrator</w:t>
      </w:r>
      <w:r>
        <w:rPr>
          <w:rFonts w:ascii="Arial;sans-serif" w:hAnsi="Arial;sans-serif"/>
          <w:b w:val="false"/>
          <w:color w:val="1C1C1C"/>
          <w:sz w:val="20"/>
        </w:rPr>
        <w:t xml:space="preserve">, </w:t>
      </w:r>
      <w:r>
        <w:rPr>
          <w:rFonts w:ascii="Arial;sans-serif" w:hAnsi="Arial;sans-serif"/>
          <w:b w:val="false"/>
          <w:color w:val="010101"/>
          <w:sz w:val="20"/>
        </w:rPr>
        <w:t>in relation to a Chargor,</w:t>
      </w:r>
    </w:p>
    <w:p>
      <w:pPr>
        <w:pStyle w:val="TextBody"/>
        <w:spacing w:lineRule="auto" w:line="288" w:before="0" w:after="180"/>
        <w:jc w:val="both"/>
        <w:rPr/>
      </w:pPr>
      <w:r>
        <w:rPr>
          <w:rFonts w:ascii="Arial;sans-serif" w:hAnsi="Arial;sans-serif"/>
          <w:b w:val="false"/>
          <w:color w:val="010101"/>
          <w:sz w:val="20"/>
        </w:rPr>
        <w:t>then the floating charge created by this Deed over the Floating Charge Assets of that Chargor will automatically</w:t>
      </w:r>
      <w:r>
        <w:rPr>
          <w:rFonts w:ascii="Arial;sans-serif" w:hAnsi="Arial;sans-serif"/>
          <w:b w:val="false"/>
          <w:color w:val="1C1C1C"/>
          <w:sz w:val="20"/>
        </w:rPr>
        <w:t xml:space="preserve">, </w:t>
      </w:r>
      <w:r>
        <w:rPr>
          <w:rFonts w:ascii="Arial;sans-serif" w:hAnsi="Arial;sans-serif"/>
          <w:b w:val="false"/>
          <w:color w:val="010101"/>
          <w:sz w:val="20"/>
        </w:rPr>
        <w:t>without notice, be converted into a fixed charge as soon as such event occurs</w:t>
      </w:r>
      <w:r>
        <w:rPr>
          <w:rFonts w:ascii="Arial;sans-serif" w:hAnsi="Arial;sans-serif"/>
          <w:b w:val="false"/>
          <w:color w:val="3D3D3D"/>
          <w:sz w:val="20"/>
        </w:rPr>
        <w:t>.</w:t>
      </w:r>
    </w:p>
    <w:p>
      <w:pPr>
        <w:pStyle w:val="TextBody"/>
        <w:spacing w:lineRule="auto" w:line="288" w:before="0" w:after="180"/>
        <w:ind w:left="0" w:right="0" w:hanging="720"/>
        <w:rPr/>
      </w:pPr>
      <w:r>
        <w:rPr>
          <w:rFonts w:ascii="Arial;sans-serif" w:hAnsi="Arial;sans-serif"/>
          <w:b w:val="false"/>
          <w:color w:val="010101"/>
          <w:sz w:val="20"/>
        </w:rPr>
        <w:t>3.6    </w:t>
      </w:r>
      <w:r>
        <w:rPr>
          <w:rFonts w:ascii="Arial;sans-serif" w:hAnsi="Arial;sans-serif"/>
          <w:b/>
          <w:i/>
          <w:color w:val="010101"/>
          <w:sz w:val="20"/>
        </w:rPr>
        <w:t>Part A 1 moratorium</w:t>
      </w:r>
    </w:p>
    <w:p>
      <w:pPr>
        <w:pStyle w:val="TextBody"/>
        <w:spacing w:lineRule="auto" w:line="288" w:before="0" w:after="180"/>
        <w:ind w:left="0" w:right="0" w:hanging="720"/>
        <w:jc w:val="both"/>
        <w:rPr/>
      </w:pPr>
      <w:r>
        <w:rPr>
          <w:rFonts w:ascii="Arial;sans-serif" w:hAnsi="Arial;sans-serif"/>
          <w:b w:val="false"/>
          <w:color w:val="010101"/>
          <w:sz w:val="20"/>
        </w:rPr>
        <w:t>(a)    Subject to Clause 3</w:t>
      </w:r>
      <w:r>
        <w:rPr>
          <w:rFonts w:ascii="Arial;sans-serif" w:hAnsi="Arial;sans-serif"/>
          <w:b w:val="false"/>
          <w:color w:val="3D3D3D"/>
          <w:sz w:val="20"/>
        </w:rPr>
        <w:t>.</w:t>
      </w:r>
      <w:r>
        <w:rPr>
          <w:rFonts w:ascii="Arial;sans-serif" w:hAnsi="Arial;sans-serif"/>
          <w:b w:val="false"/>
          <w:color w:val="010101"/>
          <w:sz w:val="20"/>
        </w:rPr>
        <w:t>6(b) below</w:t>
      </w:r>
      <w:r>
        <w:rPr>
          <w:rFonts w:ascii="Arial;sans-serif" w:hAnsi="Arial;sans-serif"/>
          <w:b w:val="false"/>
          <w:color w:val="1C1C1C"/>
          <w:sz w:val="20"/>
        </w:rPr>
        <w:t xml:space="preserve">, </w:t>
      </w:r>
      <w:r>
        <w:rPr>
          <w:rFonts w:ascii="Arial;sans-serif" w:hAnsi="Arial;sans-serif"/>
          <w:b w:val="false"/>
          <w:color w:val="010101"/>
          <w:sz w:val="20"/>
        </w:rPr>
        <w:t>the obtaining of a moratorium under Part A1 of the Insolvency Act 1986</w:t>
      </w:r>
      <w:r>
        <w:rPr>
          <w:rFonts w:ascii="Arial;sans-serif" w:hAnsi="Arial;sans-serif"/>
          <w:b w:val="false"/>
          <w:color w:val="1C1C1C"/>
          <w:sz w:val="20"/>
        </w:rPr>
        <w:t xml:space="preserve">, </w:t>
      </w:r>
      <w:r>
        <w:rPr>
          <w:rFonts w:ascii="Arial;sans-serif" w:hAnsi="Arial;sans-serif"/>
          <w:b w:val="false"/>
          <w:color w:val="010101"/>
          <w:sz w:val="20"/>
        </w:rPr>
        <w:t>or anything done with a view to obtaining such a moratorium (including any preliminary decision or investigation), shall not be an event causing any floating charge created by this Deed to crystallise or causing restrictions which would not otherwise apply to be imposed on the disposal of any asset by a Chargor or a ground for the appointment of a Receiver.</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Clause 3.6(a) above does not apply in respect of any floating charge referred to in subsection (4) of section A52 of Part A1 of the Insolvency Act 1986.</w:t>
      </w:r>
    </w:p>
    <w:p>
      <w:pPr>
        <w:pStyle w:val="TextBody"/>
        <w:spacing w:lineRule="auto" w:line="288" w:before="0" w:after="180"/>
        <w:ind w:left="0" w:right="0" w:hanging="720"/>
        <w:rPr/>
      </w:pPr>
      <w:r>
        <w:rPr>
          <w:rFonts w:ascii="Arial;sans-serif" w:hAnsi="Arial;sans-serif"/>
          <w:b w:val="false"/>
          <w:color w:val="010101"/>
          <w:sz w:val="20"/>
        </w:rPr>
        <w:t>3.7    </w:t>
      </w:r>
      <w:r>
        <w:rPr>
          <w:rFonts w:ascii="Arial;sans-serif" w:hAnsi="Arial;sans-serif"/>
          <w:b/>
          <w:i/>
          <w:color w:val="010101"/>
          <w:sz w:val="20"/>
        </w:rPr>
        <w:t>Property Restricting Charging</w:t>
      </w:r>
    </w:p>
    <w:p>
      <w:pPr>
        <w:pStyle w:val="TextBody"/>
        <w:spacing w:lineRule="auto" w:line="288" w:before="0" w:after="180"/>
        <w:ind w:left="0" w:right="0" w:hanging="720"/>
        <w:jc w:val="both"/>
        <w:rPr/>
      </w:pPr>
      <w:r>
        <w:rPr>
          <w:rFonts w:ascii="Arial;sans-serif" w:hAnsi="Arial;sans-serif"/>
          <w:b w:val="false"/>
          <w:color w:val="010101"/>
          <w:sz w:val="20"/>
        </w:rPr>
        <w:t>(a)    There shall be excluded from the charge or assignment</w:t>
      </w:r>
      <w:r>
        <w:rPr>
          <w:rFonts w:ascii="Arial;sans-serif" w:hAnsi="Arial;sans-serif"/>
          <w:b w:val="false"/>
          <w:color w:val="1C1C1C"/>
          <w:sz w:val="20"/>
        </w:rPr>
        <w:t xml:space="preserve">, </w:t>
      </w:r>
      <w:r>
        <w:rPr>
          <w:rFonts w:ascii="Arial;sans-serif" w:hAnsi="Arial;sans-serif"/>
          <w:b w:val="false"/>
          <w:color w:val="010101"/>
          <w:sz w:val="20"/>
        </w:rPr>
        <w:t xml:space="preserve">as applicable, created by Clauses 3.1 </w:t>
      </w:r>
      <w:r>
        <w:rPr>
          <w:rFonts w:ascii="Arial;sans-serif" w:hAnsi="Arial;sans-serif"/>
          <w:b w:val="false"/>
          <w:i/>
          <w:color w:val="010101"/>
          <w:sz w:val="20"/>
        </w:rPr>
        <w:t xml:space="preserve">(Fixed Charges), </w:t>
      </w:r>
      <w:r>
        <w:rPr>
          <w:rFonts w:ascii="Arial;sans-serif" w:hAnsi="Arial;sans-serif"/>
          <w:b w:val="false"/>
          <w:color w:val="010101"/>
          <w:sz w:val="20"/>
        </w:rPr>
        <w:t xml:space="preserve">3.2 </w:t>
      </w:r>
      <w:r>
        <w:rPr>
          <w:rFonts w:ascii="Arial;sans-serif" w:hAnsi="Arial;sans-serif"/>
          <w:b w:val="false"/>
          <w:i/>
          <w:color w:val="010101"/>
          <w:sz w:val="20"/>
        </w:rPr>
        <w:t xml:space="preserve">(Security Assignment) </w:t>
      </w:r>
      <w:r>
        <w:rPr>
          <w:rFonts w:ascii="Arial;sans-serif" w:hAnsi="Arial;sans-serif"/>
          <w:b w:val="false"/>
          <w:color w:val="010101"/>
          <w:sz w:val="20"/>
        </w:rPr>
        <w:t xml:space="preserve">and 3.3 </w:t>
      </w:r>
      <w:r>
        <w:rPr>
          <w:rFonts w:ascii="Arial;sans-serif" w:hAnsi="Arial;sans-serif"/>
          <w:b w:val="false"/>
          <w:i/>
          <w:color w:val="010101"/>
          <w:sz w:val="20"/>
        </w:rPr>
        <w:t xml:space="preserve">(Floating Charge) </w:t>
      </w:r>
      <w:r>
        <w:rPr>
          <w:rFonts w:ascii="Arial;sans-serif" w:hAnsi="Arial;sans-serif"/>
          <w:b w:val="false"/>
          <w:color w:val="010101"/>
          <w:sz w:val="20"/>
        </w:rPr>
        <w:t xml:space="preserve">and the operation of Clause 5.1 ( </w:t>
      </w:r>
      <w:r>
        <w:rPr>
          <w:rFonts w:ascii="Arial;sans-serif" w:hAnsi="Arial;sans-serif"/>
          <w:b w:val="false"/>
          <w:i/>
          <w:color w:val="010101"/>
          <w:sz w:val="20"/>
        </w:rPr>
        <w:t xml:space="preserve">General) ( </w:t>
      </w:r>
      <w:r>
        <w:rPr>
          <w:rFonts w:ascii="Arial;sans-serif" w:hAnsi="Arial;sans-serif"/>
          <w:b w:val="false"/>
          <w:color w:val="010101"/>
          <w:sz w:val="20"/>
        </w:rPr>
        <w:t>and the corresponding provision in any Accession Deed)</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(i)    any leasehold property held by a UK Chargor under a lease which prohibits either absolutely or conditionally (including requiring the consent of any third party) that Chargor from creating any charge over its leasehold interest</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(ii)    any Intellectual Property in which a UK Chargor has an interest under any licence or other agreement which prohibits either absolutely or conditionally (including requiring the consent of any third party) that UK Chargor from creating any charge over its interest in that Intellectual Property</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(iii)    any Receivables in which a UK Chargor any agreement which prohibits either absolutely or conditionally (including requiring the consent of any third party) that UK Chargor from creating any charge or assignment over its interest in that Receivable,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46050"/>
                <wp:effectExtent l="0" t="0" r="0" b="0"/>
                <wp:wrapNone/>
                <wp:docPr id="483" name="Frame4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7</w:t>
                      </w:r>
                    </w:p>
                  </w:txbxContent>
                </v:textbox>
              </v:rect>
            </w:pict>
          </mc:Fallback>
        </mc:AlternateContent>
      </w:r>
    </w:p>
    <w:p>
      <w:pPr>
        <w:pStyle w:val="TextBody"/>
        <w:spacing w:lineRule="auto" w:line="288" w:before="0" w:after="180"/>
        <w:rPr/>
      </w:pPr>
      <w:r>
        <w:rPr>
          <w:rFonts w:ascii="Arial;sans-serif" w:hAnsi="Arial;sans-serif"/>
          <w:b w:val="false"/>
          <w:color w:val="010101"/>
          <w:sz w:val="20"/>
        </w:rPr>
        <w:t>in each case until the relevant condition, consent or waiver has been satisfied or obtained</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(b)    To the extent that any leasehold property, Intellectual Property or Receivable is not effectively charged pursuant to Clause 3</w:t>
      </w:r>
      <w:r>
        <w:rPr>
          <w:rFonts w:ascii="Arial;sans-serif" w:hAnsi="Arial;sans-serif"/>
          <w:b w:val="false"/>
          <w:color w:val="3D3D3D"/>
          <w:sz w:val="20"/>
        </w:rPr>
        <w:t>.</w:t>
      </w:r>
      <w:r>
        <w:rPr>
          <w:rFonts w:ascii="Arial;sans-serif" w:hAnsi="Arial;sans-serif"/>
          <w:b w:val="false"/>
          <w:color w:val="010101"/>
          <w:sz w:val="20"/>
        </w:rPr>
        <w:t xml:space="preserve">1 </w:t>
      </w:r>
      <w:r>
        <w:rPr>
          <w:rFonts w:ascii="Arial;sans-serif" w:hAnsi="Arial;sans-serif"/>
          <w:b w:val="false"/>
          <w:i/>
          <w:color w:val="010101"/>
          <w:sz w:val="20"/>
        </w:rPr>
        <w:t xml:space="preserve">(Fixed Charges) </w:t>
      </w:r>
      <w:r>
        <w:rPr>
          <w:rFonts w:ascii="Arial;sans-serif" w:hAnsi="Arial;sans-serif"/>
          <w:b w:val="false"/>
          <w:color w:val="010101"/>
          <w:sz w:val="20"/>
        </w:rPr>
        <w:t xml:space="preserve">or Clause 3.3 </w:t>
      </w:r>
      <w:r>
        <w:rPr>
          <w:rFonts w:ascii="Arial;sans-serif" w:hAnsi="Arial;sans-serif"/>
          <w:b w:val="false"/>
          <w:i/>
          <w:color w:val="010101"/>
          <w:sz w:val="20"/>
        </w:rPr>
        <w:t xml:space="preserve">(Floating Charge) </w:t>
      </w:r>
      <w:r>
        <w:rPr>
          <w:rFonts w:ascii="Arial;sans-serif" w:hAnsi="Arial;sans-serif"/>
          <w:b w:val="false"/>
          <w:color w:val="010101"/>
          <w:sz w:val="20"/>
        </w:rPr>
        <w:t xml:space="preserve">(each a </w:t>
      </w:r>
      <w:r>
        <w:rPr>
          <w:rFonts w:ascii="Arial;sans-serif" w:hAnsi="Arial;sans-serif"/>
          <w:b/>
          <w:color w:val="010101"/>
          <w:sz w:val="20"/>
        </w:rPr>
        <w:t>"Non-Charged Asset")</w:t>
      </w:r>
      <w:r>
        <w:rPr>
          <w:rFonts w:ascii="Arial;sans-serif" w:hAnsi="Arial;sans-serif"/>
          <w:b/>
          <w:color w:val="1C1C1C"/>
          <w:sz w:val="20"/>
        </w:rPr>
        <w:t xml:space="preserve">, </w:t>
      </w:r>
      <w:r>
        <w:rPr>
          <w:rFonts w:ascii="Arial;sans-serif" w:hAnsi="Arial;sans-serif"/>
          <w:b w:val="false"/>
          <w:color w:val="010101"/>
          <w:sz w:val="20"/>
        </w:rPr>
        <w:t>each Chargor shall use its commercially reasonable endeavours to obtain the consent to charge, or a waiver of the prohibition on assignment on charging (as the case may be), that Non-Charged Asset</w:t>
      </w:r>
      <w:r>
        <w:rPr>
          <w:rFonts w:ascii="Arial;sans-serif" w:hAnsi="Arial;sans-serif"/>
          <w:b w:val="false"/>
          <w:color w:val="1C1C1C"/>
          <w:sz w:val="20"/>
        </w:rPr>
        <w:t xml:space="preserve">, </w:t>
      </w:r>
      <w:r>
        <w:rPr>
          <w:rFonts w:ascii="Arial;sans-serif" w:hAnsi="Arial;sans-serif"/>
          <w:b w:val="false"/>
          <w:color w:val="010101"/>
          <w:sz w:val="20"/>
        </w:rPr>
        <w:t>as soon as reasonably practicable following the date of this Deed and shall keep the Administrative Agent informed of the progress of such matters provided that if the relevant Chargor has used its commercially reasonable endeavours to obtain the consent to charge, or a waiver of the prohibition on assignment on charging (as the case may be) for 20 Business Days, then thereafter that Chargor shall be deemed to have complied with its obligation under this Clause 3</w:t>
      </w:r>
      <w:r>
        <w:rPr>
          <w:rFonts w:ascii="Arial;sans-serif" w:hAnsi="Arial;sans-serif"/>
          <w:b w:val="false"/>
          <w:color w:val="383838"/>
          <w:sz w:val="20"/>
        </w:rPr>
        <w:t>.</w:t>
      </w:r>
      <w:r>
        <w:rPr>
          <w:rFonts w:ascii="Arial;sans-serif" w:hAnsi="Arial;sans-serif"/>
          <w:b w:val="false"/>
          <w:color w:val="010101"/>
          <w:sz w:val="20"/>
        </w:rPr>
        <w:t>7(b).</w:t>
      </w:r>
    </w:p>
    <w:p>
      <w:pPr>
        <w:pStyle w:val="TextBody"/>
        <w:spacing w:lineRule="auto" w:line="288" w:before="0" w:after="180"/>
        <w:ind w:left="0" w:right="0" w:hanging="720"/>
        <w:jc w:val="both"/>
        <w:rPr/>
      </w:pPr>
      <w:r>
        <w:rPr>
          <w:rFonts w:ascii="Arial;sans-serif" w:hAnsi="Arial;sans-serif"/>
          <w:b w:val="false"/>
          <w:color w:val="010101"/>
          <w:sz w:val="20"/>
        </w:rPr>
        <w:t xml:space="preserve">(c)    Pending receipt of the consent or waiver described in Clause 3. 7(b ), each Chargor shall hold all of its right, benefit and interest in a Non-Charged Asset on trust for the Administrative Agent </w:t>
      </w:r>
      <w:r>
        <w:rPr>
          <w:rFonts w:ascii="Arial;sans-serif" w:hAnsi="Arial;sans-serif"/>
          <w:b/>
          <w:color w:val="010101"/>
          <w:sz w:val="20"/>
        </w:rPr>
        <w:t xml:space="preserve">provided that </w:t>
      </w:r>
      <w:r>
        <w:rPr>
          <w:rFonts w:ascii="Arial;sans-serif" w:hAnsi="Arial;sans-serif"/>
          <w:b w:val="false"/>
          <w:color w:val="010101"/>
          <w:sz w:val="20"/>
        </w:rPr>
        <w:t>the terms of such trust shall be no more onerous than the terms of the assignments expressed to be created by this Deed.</w:t>
      </w:r>
    </w:p>
    <w:p>
      <w:pPr>
        <w:pStyle w:val="TextBody"/>
        <w:spacing w:lineRule="auto" w:line="288" w:before="0" w:after="180"/>
        <w:ind w:left="0" w:right="0" w:hanging="720"/>
        <w:jc w:val="both"/>
        <w:rPr/>
      </w:pPr>
      <w:r>
        <w:rPr>
          <w:rFonts w:ascii="Arial;sans-serif" w:hAnsi="Arial;sans-serif"/>
          <w:b w:val="false"/>
          <w:color w:val="010101"/>
          <w:sz w:val="20"/>
        </w:rPr>
        <w:t>(d)    Immediately upon the relevant condition being satisfied or receipt of the relevant waiver or consent</w:t>
      </w:r>
      <w:r>
        <w:rPr>
          <w:rFonts w:ascii="Arial;sans-serif" w:hAnsi="Arial;sans-serif"/>
          <w:b w:val="false"/>
          <w:color w:val="1F1F1F"/>
          <w:sz w:val="20"/>
        </w:rPr>
        <w:t xml:space="preserve">, </w:t>
      </w:r>
      <w:r>
        <w:rPr>
          <w:rFonts w:ascii="Arial;sans-serif" w:hAnsi="Arial;sans-serif"/>
          <w:b w:val="false"/>
          <w:color w:val="010101"/>
          <w:sz w:val="20"/>
        </w:rPr>
        <w:t>the formerly excluded leasehold property, Intellectual Property or Receivables shall stand charged or assigned, as applicable, to the Administrative Agent pursuant to the terms of this Deed or the relevant Accession Deed</w:t>
      </w:r>
      <w:r>
        <w:rPr>
          <w:rFonts w:ascii="Arial;sans-serif" w:hAnsi="Arial;sans-serif"/>
          <w:b w:val="false"/>
          <w:color w:val="383838"/>
          <w:sz w:val="20"/>
        </w:rPr>
        <w:t>.</w:t>
      </w:r>
    </w:p>
    <w:p>
      <w:pPr>
        <w:pStyle w:val="TextBody"/>
        <w:spacing w:lineRule="auto" w:line="288" w:before="0" w:after="180"/>
        <w:ind w:left="0" w:right="0" w:hanging="720"/>
        <w:rPr/>
      </w:pPr>
      <w:r>
        <w:rPr>
          <w:rFonts w:ascii="Arial;sans-serif" w:hAnsi="Arial;sans-serif"/>
          <w:b w:val="false"/>
          <w:color w:val="010101"/>
          <w:sz w:val="20"/>
        </w:rPr>
        <w:t>3.8    </w:t>
      </w:r>
      <w:r>
        <w:rPr>
          <w:rFonts w:ascii="Arial;sans-serif" w:hAnsi="Arial;sans-serif"/>
          <w:b/>
          <w:i/>
          <w:color w:val="010101"/>
          <w:sz w:val="20"/>
        </w:rPr>
        <w:t>Supplemental Debenture</w:t>
      </w:r>
    </w:p>
    <w:p>
      <w:pPr>
        <w:pStyle w:val="TextBody"/>
        <w:spacing w:lineRule="auto" w:line="288" w:before="0" w:after="180"/>
        <w:ind w:left="0" w:right="0" w:firstLine="5"/>
        <w:jc w:val="both"/>
        <w:rPr/>
      </w:pPr>
      <w:r>
        <w:rPr>
          <w:rFonts w:ascii="Arial;sans-serif" w:hAnsi="Arial;sans-serif"/>
          <w:b w:val="false"/>
          <w:color w:val="010101"/>
          <w:sz w:val="20"/>
        </w:rPr>
        <w:t xml:space="preserve">Each Chargor shall, at the request of the Administrative Agent, grant to the Administrative Agent a supplemental charge (in the agreed form based on the template set out in Schedule 5 </w:t>
      </w:r>
      <w:r>
        <w:rPr>
          <w:rFonts w:ascii="Arial;sans-serif" w:hAnsi="Arial;sans-serif"/>
          <w:b w:val="false"/>
          <w:i/>
          <w:color w:val="010101"/>
          <w:sz w:val="20"/>
        </w:rPr>
        <w:t xml:space="preserve">(Supplemental Debenture) </w:t>
      </w:r>
      <w:r>
        <w:rPr>
          <w:rFonts w:ascii="Arial;sans-serif" w:hAnsi="Arial;sans-serif"/>
          <w:b w:val="false"/>
          <w:color w:val="010101"/>
          <w:sz w:val="20"/>
        </w:rPr>
        <w:t>on its acquisition of any Property.</w:t>
      </w:r>
    </w:p>
    <w:p>
      <w:pPr>
        <w:pStyle w:val="TextBody"/>
        <w:spacing w:lineRule="auto" w:line="288" w:before="0" w:after="180"/>
        <w:ind w:left="0" w:right="0" w:hanging="720"/>
        <w:rPr/>
      </w:pPr>
      <w:r>
        <w:rPr>
          <w:rFonts w:ascii="Arial;sans-serif" w:hAnsi="Arial;sans-serif"/>
          <w:b w:val="false"/>
          <w:color w:val="010101"/>
          <w:sz w:val="20"/>
        </w:rPr>
        <w:t>4.    </w:t>
      </w:r>
      <w:r>
        <w:rPr>
          <w:rFonts w:ascii="Arial;sans-serif" w:hAnsi="Arial;sans-serif"/>
          <w:b/>
          <w:color w:val="010101"/>
          <w:sz w:val="20"/>
        </w:rPr>
        <w:t>Nature of Security</w:t>
      </w:r>
    </w:p>
    <w:p>
      <w:pPr>
        <w:pStyle w:val="TextBody"/>
        <w:spacing w:lineRule="auto" w:line="288" w:before="0" w:after="180"/>
        <w:ind w:left="0" w:right="0" w:hanging="720"/>
        <w:rPr/>
      </w:pPr>
      <w:r>
        <w:rPr>
          <w:rFonts w:ascii="Arial;sans-serif" w:hAnsi="Arial;sans-serif"/>
          <w:b w:val="false"/>
          <w:color w:val="010101"/>
          <w:sz w:val="20"/>
        </w:rPr>
        <w:t>4.1    </w:t>
      </w:r>
      <w:r>
        <w:rPr>
          <w:rFonts w:ascii="Arial;sans-serif" w:hAnsi="Arial;sans-serif"/>
          <w:b/>
          <w:i/>
          <w:color w:val="010101"/>
          <w:sz w:val="20"/>
        </w:rPr>
        <w:t>Continuing Security</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(a)    The Security Interests created by this Deed are to be a continuing security interests notwithstanding any intermediate payment or settlement of all or any part of the Secured Liabilities or any other matter or thing.</w:t>
      </w:r>
    </w:p>
    <w:p>
      <w:pPr>
        <w:pStyle w:val="TextBody"/>
        <w:spacing w:lineRule="auto" w:line="288" w:before="0" w:after="180"/>
        <w:ind w:left="0" w:right="0" w:hanging="720"/>
        <w:jc w:val="both"/>
        <w:rPr/>
      </w:pPr>
      <w:r>
        <w:rPr>
          <w:rFonts w:ascii="Arial;sans-serif" w:hAnsi="Arial;sans-serif"/>
          <w:b w:val="false"/>
          <w:color w:val="010101"/>
          <w:sz w:val="20"/>
        </w:rPr>
        <w:t>(a)    If any purported obligation or liability of any Obligor to the Administrative Agent or Secured Parties which if valid would have been the subject of any obligation or charge created by this Deed is or becomes unenforceable, invalid or illegal on any ground whatsoever whether or not known to the Administrative Agent, the Chargors shall nevertheless be liable in respect of that purported obligation or liability as if the same were fully valid and enforceable and the Chargors were the principal debtors in respect thereof</w:t>
      </w:r>
      <w:r>
        <w:rPr>
          <w:rFonts w:ascii="Arial;sans-serif" w:hAnsi="Arial;sans-serif"/>
          <w:b w:val="false"/>
          <w:color w:val="1F1F1F"/>
          <w:sz w:val="20"/>
        </w:rPr>
        <w:t xml:space="preserve">. </w:t>
      </w:r>
      <w:r>
        <w:rPr>
          <w:rFonts w:ascii="Arial;sans-serif" w:hAnsi="Arial;sans-serif"/>
          <w:b w:val="false"/>
          <w:color w:val="010101"/>
          <w:sz w:val="20"/>
        </w:rPr>
        <w:t>Each Chargor hereby agrees to keep the Administrative Agent and the Secured Parties fully indemnified against all damages, losses, costs and expenses arising from any failure of any Obligor to carry out any such purported obligation or liability.</w:t>
      </w:r>
    </w:p>
    <w:p>
      <w:pPr>
        <w:pStyle w:val="TextBody"/>
        <w:spacing w:lineRule="auto" w:line="288" w:before="0" w:after="180"/>
        <w:ind w:left="0" w:right="0" w:hanging="720"/>
        <w:jc w:val="both"/>
        <w:rPr/>
      </w:pPr>
      <w:r>
        <w:rPr>
          <w:rFonts w:ascii="Arial;sans-serif" w:hAnsi="Arial;sans-serif"/>
          <w:b w:val="false"/>
          <w:color w:val="010101"/>
          <w:sz w:val="20"/>
        </w:rPr>
        <w:t>(b)    The obligations and liabilities of each Chargor under this Deed will not be affected by any act, omission</w:t>
      </w:r>
      <w:r>
        <w:rPr>
          <w:rFonts w:ascii="Arial;sans-serif" w:hAnsi="Arial;sans-serif"/>
          <w:b w:val="false"/>
          <w:color w:val="1F1F1F"/>
          <w:sz w:val="20"/>
        </w:rPr>
        <w:t xml:space="preserve">, </w:t>
      </w:r>
      <w:r>
        <w:rPr>
          <w:rFonts w:ascii="Arial;sans-serif" w:hAnsi="Arial;sans-serif"/>
          <w:b w:val="false"/>
          <w:color w:val="010101"/>
          <w:sz w:val="20"/>
        </w:rPr>
        <w:t>matter or thing which, but for this sub-clause</w:t>
      </w:r>
      <w:r>
        <w:rPr>
          <w:rFonts w:ascii="Arial;sans-serif" w:hAnsi="Arial;sans-serif"/>
          <w:b w:val="false"/>
          <w:color w:val="1F1F1F"/>
          <w:sz w:val="20"/>
        </w:rPr>
        <w:t xml:space="preserve">, </w:t>
      </w:r>
      <w:r>
        <w:rPr>
          <w:rFonts w:ascii="Arial;sans-serif" w:hAnsi="Arial;sans-serif"/>
          <w:b w:val="false"/>
          <w:color w:val="010101"/>
          <w:sz w:val="20"/>
        </w:rPr>
        <w:t>would reduce, release or prejudice any of its obligations or liabilities under this Deed (without limitation and whether or not known to any Secured Party) including</w:t>
      </w:r>
      <w:r>
        <w:rPr>
          <w:rFonts w:ascii="Arial;sans-serif" w:hAnsi="Arial;sans-serif"/>
          <w:b w:val="false"/>
          <w:color w:val="1F1F1F"/>
          <w:sz w:val="20"/>
        </w:rPr>
        <w:t>:</w:t>
      </w:r>
    </w:p>
    <w:p>
      <w:pPr>
        <w:pStyle w:val="TextBody"/>
        <w:spacing w:lineRule="auto" w:line="288" w:before="0" w:after="180"/>
        <w:ind w:left="0" w:right="0" w:hanging="720"/>
        <w:jc w:val="both"/>
        <w:rPr/>
      </w:pPr>
      <w:r>
        <w:rPr>
          <w:rFonts w:ascii="Arial;sans-serif" w:hAnsi="Arial;sans-serif"/>
          <w:b w:val="false"/>
          <w:color w:val="010101"/>
          <w:sz w:val="20"/>
        </w:rPr>
        <w:t>(i)    any time, waiver or consent granted to, or composition with, any Obligor or other person</w:t>
      </w:r>
      <w:r>
        <w:rPr>
          <w:rFonts w:ascii="Arial;sans-serif" w:hAnsi="Arial;sans-serif"/>
          <w:b w:val="false"/>
          <w:color w:val="1F1F1F"/>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050"/>
                <wp:effectExtent l="0" t="0" r="0" b="0"/>
                <wp:wrapNone/>
                <wp:docPr id="484" name="Frame4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8</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10101"/>
          <w:sz w:val="20"/>
        </w:rPr>
        <w:t>(ii)    the release of any Obligor or any other person under the terms of any composition or arrangement with any creditor of any person</w:t>
      </w:r>
      <w:r>
        <w:rPr>
          <w:rFonts w:ascii="Arial;sans-serif" w:hAnsi="Arial;sans-serif"/>
          <w:b w:val="false"/>
          <w:color w:val="1F1F1F"/>
          <w:sz w:val="20"/>
        </w:rPr>
        <w:t>;</w:t>
      </w:r>
    </w:p>
    <w:p>
      <w:pPr>
        <w:pStyle w:val="TextBody"/>
        <w:spacing w:lineRule="auto" w:line="288" w:before="0" w:after="180"/>
        <w:ind w:left="0" w:right="0" w:hanging="720"/>
        <w:jc w:val="both"/>
        <w:rPr/>
      </w:pPr>
      <w:r>
        <w:rPr>
          <w:rFonts w:ascii="Arial;sans-serif" w:hAnsi="Arial;sans-serif"/>
          <w:b w:val="false"/>
          <w:color w:val="010101"/>
          <w:sz w:val="20"/>
        </w:rPr>
        <w:t>(iii)    the taking</w:t>
      </w:r>
      <w:r>
        <w:rPr>
          <w:rFonts w:ascii="Arial;sans-serif" w:hAnsi="Arial;sans-serif"/>
          <w:b w:val="false"/>
          <w:color w:val="1F1F1F"/>
          <w:sz w:val="20"/>
        </w:rPr>
        <w:t xml:space="preserve">, </w:t>
      </w:r>
      <w:r>
        <w:rPr>
          <w:rFonts w:ascii="Arial;sans-serif" w:hAnsi="Arial;sans-serif"/>
          <w:b w:val="false"/>
          <w:color w:val="010101"/>
          <w:sz w:val="20"/>
        </w:rPr>
        <w:t>variation</w:t>
      </w:r>
      <w:r>
        <w:rPr>
          <w:rFonts w:ascii="Arial;sans-serif" w:hAnsi="Arial;sans-serif"/>
          <w:b w:val="false"/>
          <w:color w:val="1F1F1F"/>
          <w:sz w:val="20"/>
        </w:rPr>
        <w:t xml:space="preserve">, </w:t>
      </w:r>
      <w:r>
        <w:rPr>
          <w:rFonts w:ascii="Arial;sans-serif" w:hAnsi="Arial;sans-serif"/>
          <w:b w:val="false"/>
          <w:color w:val="010101"/>
          <w:sz w:val="20"/>
        </w:rPr>
        <w:t>compromise, exchange, renewal or release of</w:t>
      </w:r>
      <w:r>
        <w:rPr>
          <w:rFonts w:ascii="Arial;sans-serif" w:hAnsi="Arial;sans-serif"/>
          <w:b w:val="false"/>
          <w:color w:val="1F1F1F"/>
          <w:sz w:val="20"/>
        </w:rPr>
        <w:t xml:space="preserve">, </w:t>
      </w:r>
      <w:r>
        <w:rPr>
          <w:rFonts w:ascii="Arial;sans-serif" w:hAnsi="Arial;sans-serif"/>
          <w:b w:val="false"/>
          <w:color w:val="010101"/>
          <w:sz w:val="20"/>
        </w:rPr>
        <w:t>or refusal or neglect to perfect</w:t>
      </w:r>
      <w:r>
        <w:rPr>
          <w:rFonts w:ascii="Arial;sans-serif" w:hAnsi="Arial;sans-serif"/>
          <w:b w:val="false"/>
          <w:color w:val="1F1F1F"/>
          <w:sz w:val="20"/>
        </w:rPr>
        <w:t xml:space="preserve">, </w:t>
      </w:r>
      <w:r>
        <w:rPr>
          <w:rFonts w:ascii="Arial;sans-serif" w:hAnsi="Arial;sans-serif"/>
          <w:b w:val="false"/>
          <w:color w:val="010101"/>
          <w:sz w:val="20"/>
        </w:rPr>
        <w:t>take up or enforce, any rights against</w:t>
      </w:r>
      <w:r>
        <w:rPr>
          <w:rFonts w:ascii="Arial;sans-serif" w:hAnsi="Arial;sans-serif"/>
          <w:b w:val="false"/>
          <w:color w:val="1F1F1F"/>
          <w:sz w:val="20"/>
        </w:rPr>
        <w:t xml:space="preserve">, </w:t>
      </w:r>
      <w:r>
        <w:rPr>
          <w:rFonts w:ascii="Arial;sans-serif" w:hAnsi="Arial;sans-serif"/>
          <w:b w:val="false"/>
          <w:color w:val="010101"/>
          <w:sz w:val="20"/>
        </w:rPr>
        <w:t>or security over any assets of any Obligor or any other person or any non-presentation or non-observance of any formality or other requirement in respect of any instrument or any failure to realise the full value of any Security Interests</w:t>
      </w:r>
      <w:r>
        <w:rPr>
          <w:rFonts w:ascii="Arial;sans-serif" w:hAnsi="Arial;sans-serif"/>
          <w:b w:val="false"/>
          <w:color w:val="1F1F1F"/>
          <w:sz w:val="20"/>
        </w:rPr>
        <w:t>;</w:t>
      </w:r>
    </w:p>
    <w:p>
      <w:pPr>
        <w:pStyle w:val="TextBody"/>
        <w:spacing w:lineRule="auto" w:line="288" w:before="0" w:after="180"/>
        <w:ind w:left="0" w:right="0" w:hanging="720"/>
        <w:jc w:val="both"/>
        <w:rPr/>
      </w:pPr>
      <w:r>
        <w:rPr>
          <w:rFonts w:ascii="Arial;sans-serif" w:hAnsi="Arial;sans-serif"/>
          <w:b w:val="false"/>
          <w:color w:val="010101"/>
          <w:sz w:val="20"/>
        </w:rPr>
        <w:t>(iv)    any incapacity or lack of power</w:t>
      </w:r>
      <w:r>
        <w:rPr>
          <w:rFonts w:ascii="Arial;sans-serif" w:hAnsi="Arial;sans-serif"/>
          <w:b w:val="false"/>
          <w:color w:val="1F1F1F"/>
          <w:sz w:val="20"/>
        </w:rPr>
        <w:t xml:space="preserve">, </w:t>
      </w:r>
      <w:r>
        <w:rPr>
          <w:rFonts w:ascii="Arial;sans-serif" w:hAnsi="Arial;sans-serif"/>
          <w:b w:val="false"/>
          <w:color w:val="010101"/>
          <w:sz w:val="20"/>
        </w:rPr>
        <w:t>authority or legal personality of or dissolution or change in the members or status of any Obligor or any other person</w:t>
      </w:r>
      <w:r>
        <w:rPr>
          <w:rFonts w:ascii="Arial;sans-serif" w:hAnsi="Arial;sans-serif"/>
          <w:b w:val="false"/>
          <w:color w:val="1F1F1F"/>
          <w:sz w:val="20"/>
        </w:rPr>
        <w:t>;</w:t>
      </w:r>
    </w:p>
    <w:p>
      <w:pPr>
        <w:pStyle w:val="TextBody"/>
        <w:spacing w:lineRule="auto" w:line="288" w:before="0" w:after="180"/>
        <w:ind w:left="0" w:right="0" w:hanging="720"/>
        <w:jc w:val="both"/>
        <w:rPr/>
      </w:pPr>
      <w:r>
        <w:rPr>
          <w:rFonts w:ascii="Arial;sans-serif" w:hAnsi="Arial;sans-serif"/>
          <w:b w:val="false"/>
          <w:color w:val="010101"/>
          <w:sz w:val="20"/>
        </w:rPr>
        <w:t>(v)    any amendment (however fundamental) or replacement of any Loan Document or any other document or Security Interest</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(vi)    any unenforceability</w:t>
      </w:r>
      <w:r>
        <w:rPr>
          <w:rFonts w:ascii="Arial;sans-serif" w:hAnsi="Arial;sans-serif"/>
          <w:b w:val="false"/>
          <w:color w:val="181818"/>
          <w:sz w:val="20"/>
        </w:rPr>
        <w:t xml:space="preserve">, </w:t>
      </w:r>
      <w:r>
        <w:rPr>
          <w:rFonts w:ascii="Arial;sans-serif" w:hAnsi="Arial;sans-serif"/>
          <w:b w:val="false"/>
          <w:color w:val="010101"/>
          <w:sz w:val="20"/>
        </w:rPr>
        <w:t>illegality or invalidity of any obligation of any person under any Loan Document or any other document or Security Interest</w:t>
      </w:r>
      <w:r>
        <w:rPr>
          <w:rFonts w:ascii="Arial;sans-serif" w:hAnsi="Arial;sans-serif"/>
          <w:b w:val="false"/>
          <w:color w:val="181818"/>
          <w:sz w:val="20"/>
        </w:rPr>
        <w:t xml:space="preserve">; </w:t>
      </w:r>
      <w:r>
        <w:rPr>
          <w:rFonts w:ascii="Arial;sans-serif" w:hAnsi="Arial;sans-serif"/>
          <w:b w:val="false"/>
          <w:color w:val="010101"/>
          <w:sz w:val="20"/>
        </w:rPr>
        <w:t>or</w:t>
      </w:r>
    </w:p>
    <w:p>
      <w:pPr>
        <w:pStyle w:val="TextBody"/>
        <w:spacing w:lineRule="auto" w:line="288" w:before="0" w:after="180"/>
        <w:ind w:left="0" w:right="0" w:hanging="720"/>
        <w:rPr>
          <w:rFonts w:ascii="Arial;sans-serif" w:hAnsi="Arial;sans-serif"/>
          <w:b w:val="false"/>
          <w:color w:val="010101"/>
          <w:sz w:val="20"/>
        </w:rPr>
      </w:pPr>
      <w:r>
        <w:rPr>
          <w:rFonts w:ascii="Arial;sans-serif" w:hAnsi="Arial;sans-serif"/>
          <w:b w:val="false"/>
          <w:color w:val="010101"/>
          <w:sz w:val="20"/>
        </w:rPr>
        <w:t>(vii)    any insolvency or similar proceedings.</w:t>
      </w:r>
    </w:p>
    <w:p>
      <w:pPr>
        <w:pStyle w:val="TextBody"/>
        <w:spacing w:lineRule="auto" w:line="288" w:before="0" w:after="180"/>
        <w:ind w:left="0" w:right="0" w:hanging="720"/>
        <w:jc w:val="both"/>
        <w:rPr/>
      </w:pPr>
      <w:r>
        <w:rPr>
          <w:rFonts w:ascii="Arial;sans-serif" w:hAnsi="Arial;sans-serif"/>
          <w:b w:val="false"/>
          <w:color w:val="010101"/>
          <w:sz w:val="20"/>
        </w:rPr>
        <w:t>(c)    Until the Security Period has ended and unless the Administrative Agent otherwise directs, a Chargor will not exercise any rights which it may have by reason of performance by it of its obligations under this Deed</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(i)    to be indemnified by any other Obligor (including any rights it may have by way of subrogation)</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(ii)     to claim any contribution from any guarantor of any other Obligor of the obligations under the Loan Documents</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(iii)    to take the benefit (in whole or in part and whether by way of subrogation or otherwise) of any right of the Administrative Agent or any of the other Secured Parties under any Loan Document or of any other guarantee or Security Interest taken pursuant to</w:t>
      </w:r>
      <w:r>
        <w:rPr>
          <w:rFonts w:ascii="Arial;sans-serif" w:hAnsi="Arial;sans-serif"/>
          <w:b w:val="false"/>
          <w:color w:val="181818"/>
          <w:sz w:val="20"/>
        </w:rPr>
        <w:t xml:space="preserve">, </w:t>
      </w:r>
      <w:r>
        <w:rPr>
          <w:rFonts w:ascii="Arial;sans-serif" w:hAnsi="Arial;sans-serif"/>
          <w:b w:val="false"/>
          <w:color w:val="010101"/>
          <w:sz w:val="20"/>
        </w:rPr>
        <w:t>or in connection with</w:t>
      </w:r>
      <w:r>
        <w:rPr>
          <w:rFonts w:ascii="Arial;sans-serif" w:hAnsi="Arial;sans-serif"/>
          <w:b w:val="false"/>
          <w:color w:val="181818"/>
          <w:sz w:val="20"/>
        </w:rPr>
        <w:t xml:space="preserve">, </w:t>
      </w:r>
      <w:r>
        <w:rPr>
          <w:rFonts w:ascii="Arial;sans-serif" w:hAnsi="Arial;sans-serif"/>
          <w:b w:val="false"/>
          <w:color w:val="010101"/>
          <w:sz w:val="20"/>
        </w:rPr>
        <w:t>the Loan Documents</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(iv)    to claim</w:t>
      </w:r>
      <w:r>
        <w:rPr>
          <w:rFonts w:ascii="Arial;sans-serif" w:hAnsi="Arial;sans-serif"/>
          <w:b w:val="false"/>
          <w:color w:val="181818"/>
          <w:sz w:val="20"/>
        </w:rPr>
        <w:t xml:space="preserve">, </w:t>
      </w:r>
      <w:r>
        <w:rPr>
          <w:rFonts w:ascii="Arial;sans-serif" w:hAnsi="Arial;sans-serif"/>
          <w:b w:val="false"/>
          <w:color w:val="010101"/>
          <w:sz w:val="20"/>
        </w:rPr>
        <w:t>rank</w:t>
      </w:r>
      <w:r>
        <w:rPr>
          <w:rFonts w:ascii="Arial;sans-serif" w:hAnsi="Arial;sans-serif"/>
          <w:b w:val="false"/>
          <w:color w:val="181818"/>
          <w:sz w:val="20"/>
        </w:rPr>
        <w:t xml:space="preserve">, </w:t>
      </w:r>
      <w:r>
        <w:rPr>
          <w:rFonts w:ascii="Arial;sans-serif" w:hAnsi="Arial;sans-serif"/>
          <w:b w:val="false"/>
          <w:color w:val="010101"/>
          <w:sz w:val="20"/>
        </w:rPr>
        <w:t>prove or vote as a creditor of any other Obligor or its estate in competition with the Administrative Agent or any of the other Secured Parties</w:t>
      </w:r>
      <w:r>
        <w:rPr>
          <w:rFonts w:ascii="Arial;sans-serif" w:hAnsi="Arial;sans-serif"/>
          <w:b w:val="false"/>
          <w:color w:val="181818"/>
          <w:sz w:val="20"/>
        </w:rPr>
        <w:t xml:space="preserve">; </w:t>
      </w:r>
      <w:r>
        <w:rPr>
          <w:rFonts w:ascii="Arial;sans-serif" w:hAnsi="Arial;sans-serif"/>
          <w:b w:val="false"/>
          <w:color w:val="010101"/>
          <w:sz w:val="20"/>
        </w:rPr>
        <w:t>and/or</w:t>
      </w:r>
    </w:p>
    <w:p>
      <w:pPr>
        <w:pStyle w:val="TextBody"/>
        <w:spacing w:lineRule="auto" w:line="288" w:before="0" w:after="180"/>
        <w:ind w:left="0" w:right="0" w:hanging="720"/>
        <w:jc w:val="both"/>
        <w:rPr/>
      </w:pPr>
      <w:r>
        <w:rPr>
          <w:rFonts w:ascii="Arial;sans-serif" w:hAnsi="Arial;sans-serif"/>
          <w:b w:val="false"/>
          <w:color w:val="010101"/>
          <w:sz w:val="20"/>
        </w:rPr>
        <w:t>(v)    receive</w:t>
      </w:r>
      <w:r>
        <w:rPr>
          <w:rFonts w:ascii="Arial;sans-serif" w:hAnsi="Arial;sans-serif"/>
          <w:b w:val="false"/>
          <w:color w:val="181818"/>
          <w:sz w:val="20"/>
        </w:rPr>
        <w:t xml:space="preserve">, </w:t>
      </w:r>
      <w:r>
        <w:rPr>
          <w:rFonts w:ascii="Arial;sans-serif" w:hAnsi="Arial;sans-serif"/>
          <w:b w:val="false"/>
          <w:color w:val="010101"/>
          <w:sz w:val="20"/>
        </w:rPr>
        <w:t>claim or have the benefit of any payment, distribution or security from or on account of any other Obligor</w:t>
      </w:r>
      <w:r>
        <w:rPr>
          <w:rFonts w:ascii="Arial;sans-serif" w:hAnsi="Arial;sans-serif"/>
          <w:b w:val="false"/>
          <w:color w:val="181818"/>
          <w:sz w:val="20"/>
        </w:rPr>
        <w:t xml:space="preserve">, </w:t>
      </w:r>
      <w:r>
        <w:rPr>
          <w:rFonts w:ascii="Arial;sans-serif" w:hAnsi="Arial;sans-serif"/>
          <w:b w:val="false"/>
          <w:color w:val="010101"/>
          <w:sz w:val="20"/>
        </w:rPr>
        <w:t>or exercise any right of set-off against any other Obligor.</w:t>
      </w:r>
    </w:p>
    <w:p>
      <w:pPr>
        <w:pStyle w:val="TextBody"/>
        <w:spacing w:lineRule="auto" w:line="288" w:before="0" w:after="180"/>
        <w:ind w:left="0" w:right="0" w:hanging="710"/>
        <w:jc w:val="both"/>
        <w:rPr>
          <w:rFonts w:ascii="Arial;sans-serif" w:hAnsi="Arial;sans-serif"/>
          <w:b w:val="false"/>
          <w:color w:val="010101"/>
          <w:sz w:val="20"/>
        </w:rPr>
      </w:pPr>
      <w:r>
        <w:rPr>
          <w:rFonts w:ascii="Arial;sans-serif" w:hAnsi="Arial;sans-serif"/>
          <w:b w:val="false"/>
          <w:color w:val="010101"/>
          <w:sz w:val="20"/>
        </w:rPr>
        <w:t>(d)    Each Chargor shall hold on trust for and immediately pay or transfer to the Administrative Agent any payment or distribution or benefit of Security Interests received by it contrary to this sub-clause.</w:t>
      </w:r>
    </w:p>
    <w:p>
      <w:pPr>
        <w:pStyle w:val="TextBody"/>
        <w:spacing w:lineRule="auto" w:line="288" w:before="0" w:after="180"/>
        <w:ind w:left="0" w:right="0" w:hanging="715"/>
        <w:jc w:val="both"/>
        <w:rPr>
          <w:rFonts w:ascii="Arial;sans-serif" w:hAnsi="Arial;sans-serif"/>
          <w:b w:val="false"/>
          <w:color w:val="010101"/>
          <w:sz w:val="20"/>
        </w:rPr>
      </w:pPr>
      <w:r>
        <w:rPr>
          <w:rFonts w:ascii="Arial;sans-serif" w:hAnsi="Arial;sans-serif"/>
          <w:b w:val="false"/>
          <w:color w:val="010101"/>
          <w:sz w:val="20"/>
        </w:rPr>
        <w:t>(e)    Each Chargor waives any right it may have of first requiring the Administrative Agent to proceed against or enforce any other rights or Security Interest or claim payment from any person before claiming from an Obligor under a Loan Document. This waiver applies irrespective of any law or any provision of the Loan Document to the contrary.</w:t>
      </w:r>
    </w:p>
    <w:p>
      <w:pPr>
        <w:pStyle w:val="TextBody"/>
        <w:spacing w:lineRule="auto" w:line="288" w:before="0" w:after="180"/>
        <w:ind w:left="0" w:right="0" w:hanging="710"/>
        <w:jc w:val="both"/>
        <w:rPr/>
      </w:pPr>
      <w:r>
        <w:rPr>
          <w:rFonts w:ascii="Arial;sans-serif" w:hAnsi="Arial;sans-serif"/>
          <w:b w:val="false"/>
          <w:color w:val="010101"/>
          <w:sz w:val="20"/>
        </w:rPr>
        <w:t>(f)    Until the Security Period has ended, the Administrative Agent may refrain from applying or enforcing any other moneys</w:t>
      </w:r>
      <w:r>
        <w:rPr>
          <w:rFonts w:ascii="Arial;sans-serif" w:hAnsi="Arial;sans-serif"/>
          <w:b w:val="false"/>
          <w:color w:val="181818"/>
          <w:sz w:val="20"/>
        </w:rPr>
        <w:t xml:space="preserve">, </w:t>
      </w:r>
      <w:r>
        <w:rPr>
          <w:rFonts w:ascii="Arial;sans-serif" w:hAnsi="Arial;sans-serif"/>
          <w:b w:val="false"/>
          <w:color w:val="010101"/>
          <w:sz w:val="20"/>
        </w:rPr>
        <w:t>Security Interest or rights held or received by the Administrative Agent in respect of that amount</w:t>
      </w:r>
      <w:r>
        <w:rPr>
          <w:rFonts w:ascii="Arial;sans-serif" w:hAnsi="Arial;sans-serif"/>
          <w:b w:val="false"/>
          <w:color w:val="181818"/>
          <w:sz w:val="20"/>
        </w:rPr>
        <w:t xml:space="preserve">, </w:t>
      </w:r>
      <w:r>
        <w:rPr>
          <w:rFonts w:ascii="Arial;sans-serif" w:hAnsi="Arial;sans-serif"/>
          <w:b w:val="false"/>
          <w:color w:val="010101"/>
          <w:sz w:val="20"/>
        </w:rPr>
        <w:t>and may or apply and enforce the same in such manner and order as it sees fit (whether against those amounts or otherwise) and a Chargor shall not be entitled to the benefit of the same.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46050"/>
                <wp:effectExtent l="0" t="0" r="0" b="0"/>
                <wp:wrapNone/>
                <wp:docPr id="485" name="Frame4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9</w:t>
                      </w:r>
                    </w:p>
                  </w:txbxContent>
                </v:textbox>
              </v:rect>
            </w:pict>
          </mc:Fallback>
        </mc:AlternateContent>
      </w:r>
    </w:p>
    <w:p>
      <w:pPr>
        <w:pStyle w:val="TextBody"/>
        <w:spacing w:lineRule="auto" w:line="288" w:before="0" w:after="180"/>
        <w:ind w:left="0" w:right="0" w:hanging="710"/>
        <w:jc w:val="both"/>
        <w:rPr/>
      </w:pPr>
      <w:r>
        <w:rPr>
          <w:rFonts w:ascii="Arial;sans-serif" w:hAnsi="Arial;sans-serif"/>
          <w:b w:val="false"/>
          <w:color w:val="010101"/>
          <w:sz w:val="20"/>
        </w:rPr>
        <w:t>(g)    Without prejudice to the generality of sub-clause 4.1 (b ), each Chargor expressly confirms that it intends that the Security Interests constituted by this Deed shall extend from time to time to any (however fundamental) variation, increase</w:t>
      </w:r>
      <w:r>
        <w:rPr>
          <w:rFonts w:ascii="Arial;sans-serif" w:hAnsi="Arial;sans-serif"/>
          <w:b w:val="false"/>
          <w:color w:val="181818"/>
          <w:sz w:val="20"/>
        </w:rPr>
        <w:t xml:space="preserve">, </w:t>
      </w:r>
      <w:r>
        <w:rPr>
          <w:rFonts w:ascii="Arial;sans-serif" w:hAnsi="Arial;sans-serif"/>
          <w:b w:val="false"/>
          <w:color w:val="010101"/>
          <w:sz w:val="20"/>
        </w:rPr>
        <w:t>novation, extension or addition of or to the Secured Liabilities as a result of the amendment and/or restatement of the Credit Agreement and/or any of the other Loan Documents and/or any additional facility or amount which is made available under any of the Loan Documents (including any Increase) for any purpose including, without limitation, the purposes of or in connection with any of the following: business acquisitions of any nature</w:t>
      </w:r>
      <w:r>
        <w:rPr>
          <w:rFonts w:ascii="Arial;sans-serif" w:hAnsi="Arial;sans-serif"/>
          <w:b w:val="false"/>
          <w:color w:val="181818"/>
          <w:sz w:val="20"/>
        </w:rPr>
        <w:t xml:space="preserve">; </w:t>
      </w:r>
      <w:r>
        <w:rPr>
          <w:rFonts w:ascii="Arial;sans-serif" w:hAnsi="Arial;sans-serif"/>
          <w:b w:val="false"/>
          <w:color w:val="010101"/>
          <w:sz w:val="20"/>
        </w:rPr>
        <w:t>increasing working capital</w:t>
      </w:r>
      <w:r>
        <w:rPr>
          <w:rFonts w:ascii="Arial;sans-serif" w:hAnsi="Arial;sans-serif"/>
          <w:b w:val="false"/>
          <w:color w:val="181818"/>
          <w:sz w:val="20"/>
        </w:rPr>
        <w:t xml:space="preserve">; </w:t>
      </w:r>
      <w:r>
        <w:rPr>
          <w:rFonts w:ascii="Arial;sans-serif" w:hAnsi="Arial;sans-serif"/>
          <w:b w:val="false"/>
          <w:color w:val="010101"/>
          <w:sz w:val="20"/>
        </w:rPr>
        <w:t>enabling investor distributions to be made; carrying out restructurings</w:t>
      </w:r>
      <w:r>
        <w:rPr>
          <w:rFonts w:ascii="Arial;sans-serif" w:hAnsi="Arial;sans-serif"/>
          <w:b w:val="false"/>
          <w:color w:val="181818"/>
          <w:sz w:val="20"/>
        </w:rPr>
        <w:t xml:space="preserve">; </w:t>
      </w:r>
      <w:r>
        <w:rPr>
          <w:rFonts w:ascii="Arial;sans-serif" w:hAnsi="Arial;sans-serif"/>
          <w:b w:val="false"/>
          <w:color w:val="010101"/>
          <w:sz w:val="20"/>
        </w:rPr>
        <w:t>refinancing existing facilities</w:t>
      </w:r>
      <w:r>
        <w:rPr>
          <w:rFonts w:ascii="Arial;sans-serif" w:hAnsi="Arial;sans-serif"/>
          <w:b w:val="false"/>
          <w:color w:val="181818"/>
          <w:sz w:val="20"/>
        </w:rPr>
        <w:t xml:space="preserve">; </w:t>
      </w:r>
      <w:r>
        <w:rPr>
          <w:rFonts w:ascii="Arial;sans-serif" w:hAnsi="Arial;sans-serif"/>
          <w:b w:val="false"/>
          <w:color w:val="010101"/>
          <w:sz w:val="20"/>
        </w:rPr>
        <w:t>refinancing any other indebtedness</w:t>
      </w:r>
      <w:r>
        <w:rPr>
          <w:rFonts w:ascii="Arial;sans-serif" w:hAnsi="Arial;sans-serif"/>
          <w:b w:val="false"/>
          <w:color w:val="181818"/>
          <w:sz w:val="20"/>
        </w:rPr>
        <w:t xml:space="preserve">; </w:t>
      </w:r>
      <w:r>
        <w:rPr>
          <w:rFonts w:ascii="Arial;sans-serif" w:hAnsi="Arial;sans-serif"/>
          <w:b w:val="false"/>
          <w:color w:val="010101"/>
          <w:sz w:val="20"/>
        </w:rPr>
        <w:t>making facilities available to new borrowers</w:t>
      </w:r>
      <w:r>
        <w:rPr>
          <w:rFonts w:ascii="Arial;sans-serif" w:hAnsi="Arial;sans-serif"/>
          <w:b w:val="false"/>
          <w:color w:val="181818"/>
          <w:sz w:val="20"/>
        </w:rPr>
        <w:t xml:space="preserve">; </w:t>
      </w:r>
      <w:r>
        <w:rPr>
          <w:rFonts w:ascii="Arial;sans-serif" w:hAnsi="Arial;sans-serif"/>
          <w:b w:val="false"/>
          <w:color w:val="010101"/>
          <w:sz w:val="20"/>
        </w:rPr>
        <w:t>any other variation or extension of the purposes for which any such facility or amount might be made available from time to time</w:t>
      </w:r>
      <w:r>
        <w:rPr>
          <w:rFonts w:ascii="Arial;sans-serif" w:hAnsi="Arial;sans-serif"/>
          <w:b w:val="false"/>
          <w:color w:val="181818"/>
          <w:sz w:val="20"/>
        </w:rPr>
        <w:t xml:space="preserve">; </w:t>
      </w:r>
      <w:r>
        <w:rPr>
          <w:rFonts w:ascii="Arial;sans-serif" w:hAnsi="Arial;sans-serif"/>
          <w:b w:val="false"/>
          <w:color w:val="010101"/>
          <w:sz w:val="20"/>
        </w:rPr>
        <w:t>and any fees</w:t>
      </w:r>
      <w:r>
        <w:rPr>
          <w:rFonts w:ascii="Arial;sans-serif" w:hAnsi="Arial;sans-serif"/>
          <w:b w:val="false"/>
          <w:color w:val="181818"/>
          <w:sz w:val="20"/>
        </w:rPr>
        <w:t xml:space="preserve">, </w:t>
      </w:r>
      <w:r>
        <w:rPr>
          <w:rFonts w:ascii="Arial;sans-serif" w:hAnsi="Arial;sans-serif"/>
          <w:b w:val="false"/>
          <w:color w:val="010101"/>
          <w:sz w:val="20"/>
        </w:rPr>
        <w:t>costs and/or expenses associated with any of the foregoing</w:t>
      </w:r>
      <w:r>
        <w:rPr>
          <w:rFonts w:ascii="Arial;sans-serif" w:hAnsi="Arial;sans-serif"/>
          <w:b w:val="false"/>
          <w:color w:val="343434"/>
          <w:sz w:val="20"/>
        </w:rPr>
        <w:t>.</w:t>
      </w:r>
    </w:p>
    <w:p>
      <w:pPr>
        <w:pStyle w:val="TextBody"/>
        <w:spacing w:lineRule="auto" w:line="288" w:before="0" w:after="180"/>
        <w:ind w:left="0" w:right="0" w:hanging="720"/>
        <w:rPr/>
      </w:pPr>
      <w:r>
        <w:rPr>
          <w:rFonts w:ascii="Arial;sans-serif" w:hAnsi="Arial;sans-serif"/>
          <w:b w:val="false"/>
          <w:color w:val="010101"/>
          <w:sz w:val="20"/>
        </w:rPr>
        <w:t>4.2    </w:t>
      </w:r>
      <w:r>
        <w:rPr>
          <w:rFonts w:ascii="Arial;sans-serif" w:hAnsi="Arial;sans-serif"/>
          <w:b/>
          <w:i/>
          <w:color w:val="010101"/>
          <w:sz w:val="20"/>
        </w:rPr>
        <w:t>Non-merger of Security Interests</w:t>
      </w:r>
    </w:p>
    <w:p>
      <w:pPr>
        <w:pStyle w:val="TextBody"/>
        <w:spacing w:lineRule="auto" w:line="288" w:before="0" w:after="180"/>
        <w:jc w:val="both"/>
        <w:rPr/>
      </w:pPr>
      <w:r>
        <w:rPr>
          <w:rFonts w:ascii="Arial;sans-serif" w:hAnsi="Arial;sans-serif"/>
          <w:b w:val="false"/>
          <w:color w:val="010101"/>
          <w:sz w:val="20"/>
        </w:rPr>
        <w:t>The Security Interests created by this Deed are to be in addition to and shall neither be merged in nor in any way exclude or prejudice or be affected by any other Security Interests or other right which the Administrative Agent may now or after the date of this Deed hold for any of the Secured Liabilities</w:t>
      </w:r>
      <w:r>
        <w:rPr>
          <w:rFonts w:ascii="Arial;sans-serif" w:hAnsi="Arial;sans-serif"/>
          <w:b w:val="false"/>
          <w:color w:val="1A1A1A"/>
          <w:sz w:val="20"/>
        </w:rPr>
        <w:t xml:space="preserve">, </w:t>
      </w:r>
      <w:r>
        <w:rPr>
          <w:rFonts w:ascii="Arial;sans-serif" w:hAnsi="Arial;sans-serif"/>
          <w:b w:val="false"/>
          <w:color w:val="010101"/>
          <w:sz w:val="20"/>
        </w:rPr>
        <w:t>and this Deed may be enforced against any Chargor without first having recourse to any other rights of the Administrative Agent.</w:t>
      </w:r>
    </w:p>
    <w:p>
      <w:pPr>
        <w:pStyle w:val="TextBody"/>
        <w:spacing w:lineRule="auto" w:line="288" w:before="0" w:after="180"/>
        <w:ind w:left="0" w:right="0" w:hanging="720"/>
        <w:rPr/>
      </w:pPr>
      <w:r>
        <w:rPr>
          <w:rFonts w:ascii="Arial;sans-serif" w:hAnsi="Arial;sans-serif"/>
          <w:b w:val="false"/>
          <w:color w:val="010101"/>
          <w:sz w:val="20"/>
        </w:rPr>
        <w:t>5.    </w:t>
      </w:r>
      <w:r>
        <w:rPr>
          <w:rFonts w:ascii="Arial;sans-serif" w:hAnsi="Arial;sans-serif"/>
          <w:b/>
          <w:color w:val="010101"/>
          <w:sz w:val="20"/>
        </w:rPr>
        <w:t>Further Assurances and Protection of Priority</w:t>
      </w:r>
    </w:p>
    <w:p>
      <w:pPr>
        <w:pStyle w:val="TextBody"/>
        <w:spacing w:lineRule="auto" w:line="288" w:before="0" w:after="180"/>
        <w:ind w:left="0" w:right="0" w:hanging="720"/>
        <w:rPr/>
      </w:pPr>
      <w:r>
        <w:rPr>
          <w:rFonts w:ascii="Arial;sans-serif" w:hAnsi="Arial;sans-serif"/>
          <w:b w:val="false"/>
          <w:color w:val="010101"/>
          <w:sz w:val="20"/>
        </w:rPr>
        <w:t>5.1    </w:t>
      </w:r>
      <w:r>
        <w:rPr>
          <w:rFonts w:ascii="Arial;sans-serif" w:hAnsi="Arial;sans-serif"/>
          <w:b/>
          <w:i/>
          <w:color w:val="010101"/>
          <w:sz w:val="20"/>
        </w:rPr>
        <w:t>General</w:t>
      </w:r>
    </w:p>
    <w:p>
      <w:pPr>
        <w:pStyle w:val="TextBody"/>
        <w:spacing w:lineRule="auto" w:line="288" w:before="0" w:after="180"/>
        <w:ind w:left="0" w:right="0" w:hanging="720"/>
        <w:jc w:val="both"/>
        <w:rPr/>
      </w:pPr>
      <w:r>
        <w:rPr>
          <w:rFonts w:ascii="Arial;sans-serif" w:hAnsi="Arial;sans-serif"/>
          <w:b w:val="false"/>
          <w:color w:val="010101"/>
          <w:sz w:val="20"/>
        </w:rPr>
        <w:t>(a)    Each Chargor shall</w:t>
      </w:r>
      <w:r>
        <w:rPr>
          <w:rFonts w:ascii="Arial;sans-serif" w:hAnsi="Arial;sans-serif"/>
          <w:b w:val="false"/>
          <w:color w:val="1A1A1A"/>
          <w:sz w:val="20"/>
        </w:rPr>
        <w:t xml:space="preserve">, </w:t>
      </w:r>
      <w:r>
        <w:rPr>
          <w:rFonts w:ascii="Arial;sans-serif" w:hAnsi="Arial;sans-serif"/>
          <w:b w:val="false"/>
          <w:color w:val="010101"/>
          <w:sz w:val="20"/>
        </w:rPr>
        <w:t>at its own expense, promptly do all such acts or execute all such documents (including Supplemental Debentures, assignments</w:t>
      </w:r>
      <w:r>
        <w:rPr>
          <w:rFonts w:ascii="Arial;sans-serif" w:hAnsi="Arial;sans-serif"/>
          <w:b w:val="false"/>
          <w:color w:val="1A1A1A"/>
          <w:sz w:val="20"/>
        </w:rPr>
        <w:t xml:space="preserve">, </w:t>
      </w:r>
      <w:r>
        <w:rPr>
          <w:rFonts w:ascii="Arial;sans-serif" w:hAnsi="Arial;sans-serif"/>
          <w:b w:val="false"/>
          <w:color w:val="010101"/>
          <w:sz w:val="20"/>
        </w:rPr>
        <w:t>transfers</w:t>
      </w:r>
      <w:r>
        <w:rPr>
          <w:rFonts w:ascii="Arial;sans-serif" w:hAnsi="Arial;sans-serif"/>
          <w:b w:val="false"/>
          <w:color w:val="1A1A1A"/>
          <w:sz w:val="20"/>
        </w:rPr>
        <w:t xml:space="preserve">, </w:t>
      </w:r>
      <w:r>
        <w:rPr>
          <w:rFonts w:ascii="Arial;sans-serif" w:hAnsi="Arial;sans-serif"/>
          <w:b w:val="false"/>
          <w:color w:val="010101"/>
          <w:sz w:val="20"/>
        </w:rPr>
        <w:t>mortgages</w:t>
      </w:r>
      <w:r>
        <w:rPr>
          <w:rFonts w:ascii="Arial;sans-serif" w:hAnsi="Arial;sans-serif"/>
          <w:b w:val="false"/>
          <w:color w:val="1A1A1A"/>
          <w:sz w:val="20"/>
        </w:rPr>
        <w:t xml:space="preserve">, </w:t>
      </w:r>
      <w:r>
        <w:rPr>
          <w:rFonts w:ascii="Arial;sans-serif" w:hAnsi="Arial;sans-serif"/>
          <w:b w:val="false"/>
          <w:color w:val="010101"/>
          <w:sz w:val="20"/>
        </w:rPr>
        <w:t>charges</w:t>
      </w:r>
      <w:r>
        <w:rPr>
          <w:rFonts w:ascii="Arial;sans-serif" w:hAnsi="Arial;sans-serif"/>
          <w:b w:val="false"/>
          <w:color w:val="1A1A1A"/>
          <w:sz w:val="20"/>
        </w:rPr>
        <w:t xml:space="preserve">, </w:t>
      </w:r>
      <w:r>
        <w:rPr>
          <w:rFonts w:ascii="Arial;sans-serif" w:hAnsi="Arial;sans-serif"/>
          <w:b w:val="false"/>
          <w:color w:val="010101"/>
          <w:sz w:val="20"/>
        </w:rPr>
        <w:t>notices and instructions) as the Administrative Agent may reasonably specify in writing (and in such form as the Administrative Agent may reasonably require in favour of the Administrative Agent or its nominee(s) or any purchaser)</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(i)    to perfect or protect the Security Interests created or intended to be created under</w:t>
      </w:r>
      <w:r>
        <w:rPr>
          <w:rFonts w:ascii="Arial;sans-serif" w:hAnsi="Arial;sans-serif"/>
          <w:b w:val="false"/>
          <w:color w:val="1A1A1A"/>
          <w:sz w:val="20"/>
        </w:rPr>
        <w:t xml:space="preserve">, </w:t>
      </w:r>
      <w:r>
        <w:rPr>
          <w:rFonts w:ascii="Arial;sans-serif" w:hAnsi="Arial;sans-serif"/>
          <w:b w:val="false"/>
          <w:color w:val="010101"/>
          <w:sz w:val="20"/>
        </w:rPr>
        <w:t>or evidenced by</w:t>
      </w:r>
      <w:r>
        <w:rPr>
          <w:rFonts w:ascii="Arial;sans-serif" w:hAnsi="Arial;sans-serif"/>
          <w:b w:val="false"/>
          <w:color w:val="1A1A1A"/>
          <w:sz w:val="20"/>
        </w:rPr>
        <w:t xml:space="preserve">, </w:t>
      </w:r>
      <w:r>
        <w:rPr>
          <w:rFonts w:ascii="Arial;sans-serif" w:hAnsi="Arial;sans-serif"/>
          <w:b w:val="false"/>
          <w:color w:val="010101"/>
          <w:sz w:val="20"/>
        </w:rPr>
        <w:t>this Deed (which may include the execution of a Supplemental Debenture, mortgage, charge, assignment or other Security Interests over all or any of the assets which are, or are intended to be</w:t>
      </w:r>
      <w:r>
        <w:rPr>
          <w:rFonts w:ascii="Arial;sans-serif" w:hAnsi="Arial;sans-serif"/>
          <w:b w:val="false"/>
          <w:color w:val="1A1A1A"/>
          <w:sz w:val="20"/>
        </w:rPr>
        <w:t xml:space="preserve">, </w:t>
      </w:r>
      <w:r>
        <w:rPr>
          <w:rFonts w:ascii="Arial;sans-serif" w:hAnsi="Arial;sans-serif"/>
          <w:b w:val="false"/>
          <w:color w:val="010101"/>
          <w:sz w:val="20"/>
        </w:rPr>
        <w:t>the subject of this Deed) or for the exercise of any rights, powers and remedies of the Administrative Agent provided by or pursuant to this Deed or by law</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(ii)    to confer on the Administrative Agent</w:t>
      </w:r>
      <w:r>
        <w:rPr>
          <w:rFonts w:ascii="Arial;sans-serif" w:hAnsi="Arial;sans-serif"/>
          <w:b w:val="false"/>
          <w:color w:val="1A1A1A"/>
          <w:sz w:val="20"/>
        </w:rPr>
        <w:t xml:space="preserve">, </w:t>
      </w:r>
      <w:r>
        <w:rPr>
          <w:rFonts w:ascii="Arial;sans-serif" w:hAnsi="Arial;sans-serif"/>
          <w:b w:val="false"/>
          <w:color w:val="010101"/>
          <w:sz w:val="20"/>
        </w:rPr>
        <w:t>Security Interests over any assets of a Chargor</w:t>
      </w:r>
      <w:r>
        <w:rPr>
          <w:rFonts w:ascii="Arial;sans-serif" w:hAnsi="Arial;sans-serif"/>
          <w:b w:val="false"/>
          <w:color w:val="1A1A1A"/>
          <w:sz w:val="20"/>
        </w:rPr>
        <w:t xml:space="preserve">, </w:t>
      </w:r>
      <w:r>
        <w:rPr>
          <w:rFonts w:ascii="Arial;sans-serif" w:hAnsi="Arial;sans-serif"/>
          <w:b w:val="false"/>
          <w:color w:val="010101"/>
          <w:sz w:val="20"/>
        </w:rPr>
        <w:t>located in any jurisdiction, equivalent or similar to the Security Interests intended to be conferred by or pursuant to this Deed and</w:t>
      </w:r>
      <w:r>
        <w:rPr>
          <w:rFonts w:ascii="Arial;sans-serif" w:hAnsi="Arial;sans-serif"/>
          <w:b w:val="false"/>
          <w:color w:val="1A1A1A"/>
          <w:sz w:val="20"/>
        </w:rPr>
        <w:t xml:space="preserve">, </w:t>
      </w:r>
      <w:r>
        <w:rPr>
          <w:rFonts w:ascii="Arial;sans-serif" w:hAnsi="Arial;sans-serif"/>
          <w:b w:val="false"/>
          <w:color w:val="010101"/>
          <w:sz w:val="20"/>
        </w:rPr>
        <w:t>pending the conferring of such Security Interests</w:t>
      </w:r>
      <w:r>
        <w:rPr>
          <w:rFonts w:ascii="Arial;sans-serif" w:hAnsi="Arial;sans-serif"/>
          <w:b w:val="false"/>
          <w:color w:val="1A1A1A"/>
          <w:sz w:val="20"/>
        </w:rPr>
        <w:t xml:space="preserve">, </w:t>
      </w:r>
      <w:r>
        <w:rPr>
          <w:rFonts w:ascii="Arial;sans-serif" w:hAnsi="Arial;sans-serif"/>
          <w:b w:val="false"/>
          <w:color w:val="010101"/>
          <w:sz w:val="20"/>
        </w:rPr>
        <w:t>hold such assets upon trust (or in any manner required by the Administrative Agent) for the Administrative Agent</w:t>
      </w:r>
      <w:r>
        <w:rPr>
          <w:rFonts w:ascii="Arial;sans-serif" w:hAnsi="Arial;sans-serif"/>
          <w:b w:val="false"/>
          <w:color w:val="1A1A1A"/>
          <w:sz w:val="20"/>
        </w:rPr>
        <w:t xml:space="preserve">; </w:t>
      </w:r>
      <w:r>
        <w:rPr>
          <w:rFonts w:ascii="Arial;sans-serif" w:hAnsi="Arial;sans-serif"/>
          <w:b w:val="false"/>
          <w:color w:val="010101"/>
          <w:sz w:val="20"/>
        </w:rPr>
        <w:t>and/or</w:t>
      </w:r>
    </w:p>
    <w:p>
      <w:pPr>
        <w:pStyle w:val="TextBody"/>
        <w:spacing w:lineRule="auto" w:line="288" w:before="0" w:after="180"/>
        <w:ind w:left="0" w:right="0" w:hanging="720"/>
        <w:jc w:val="both"/>
        <w:rPr/>
      </w:pPr>
      <w:r>
        <w:rPr>
          <w:rFonts w:ascii="Arial;sans-serif" w:hAnsi="Arial;sans-serif"/>
          <w:b w:val="false"/>
          <w:color w:val="010101"/>
          <w:sz w:val="20"/>
        </w:rPr>
        <w:t>(iii)    to facilitate the realisation or enforcement of the assets which are, or are intended to be</w:t>
      </w:r>
      <w:r>
        <w:rPr>
          <w:rFonts w:ascii="Arial;sans-serif" w:hAnsi="Arial;sans-serif"/>
          <w:b w:val="false"/>
          <w:color w:val="1A1A1A"/>
          <w:sz w:val="20"/>
        </w:rPr>
        <w:t xml:space="preserve">, </w:t>
      </w:r>
      <w:r>
        <w:rPr>
          <w:rFonts w:ascii="Arial;sans-serif" w:hAnsi="Arial;sans-serif"/>
          <w:b w:val="false"/>
          <w:color w:val="010101"/>
          <w:sz w:val="20"/>
        </w:rPr>
        <w:t>the subject of the Security Interests created, or intended to be created, by this Deed</w:t>
      </w:r>
      <w:r>
        <w:rPr>
          <w:rFonts w:ascii="Arial;sans-serif" w:hAnsi="Arial;sans-serif"/>
          <w:b w:val="false"/>
          <w:color w:val="383838"/>
          <w:sz w:val="20"/>
        </w:rPr>
        <w:t>.</w:t>
      </w:r>
    </w:p>
    <w:p>
      <w:pPr>
        <w:pStyle w:val="TextBody"/>
        <w:spacing w:lineRule="auto" w:line="288" w:before="0" w:after="180"/>
        <w:ind w:left="0" w:right="0" w:hanging="720"/>
        <w:jc w:val="both"/>
        <w:rPr/>
      </w:pPr>
      <w:r>
        <w:rPr>
          <w:rFonts w:ascii="Arial;sans-serif" w:hAnsi="Arial;sans-serif"/>
          <w:b w:val="false"/>
          <w:color w:val="010101"/>
          <w:sz w:val="20"/>
        </w:rPr>
        <w:t>(b)    Each Chargor shall take all such action (including making all filings and registrations) as may be necessary for the purpose of the creation</w:t>
      </w:r>
      <w:r>
        <w:rPr>
          <w:rFonts w:ascii="Arial;sans-serif" w:hAnsi="Arial;sans-serif"/>
          <w:b w:val="false"/>
          <w:color w:val="1A1A1A"/>
          <w:sz w:val="20"/>
        </w:rPr>
        <w:t xml:space="preserve">, </w:t>
      </w:r>
      <w:r>
        <w:rPr>
          <w:rFonts w:ascii="Arial;sans-serif" w:hAnsi="Arial;sans-serif"/>
          <w:b w:val="false"/>
          <w:color w:val="010101"/>
          <w:sz w:val="20"/>
        </w:rPr>
        <w:t>perfection</w:t>
      </w:r>
      <w:r>
        <w:rPr>
          <w:rFonts w:ascii="Arial;sans-serif" w:hAnsi="Arial;sans-serif"/>
          <w:b w:val="false"/>
          <w:color w:val="1A1A1A"/>
          <w:sz w:val="20"/>
        </w:rPr>
        <w:t xml:space="preserve">, </w:t>
      </w:r>
      <w:r>
        <w:rPr>
          <w:rFonts w:ascii="Arial;sans-serif" w:hAnsi="Arial;sans-serif"/>
          <w:b w:val="false"/>
          <w:color w:val="010101"/>
          <w:sz w:val="20"/>
        </w:rPr>
        <w:t>protection or maintenance of any Security Interest conferred or intended to be conferred on the Administrative Agent by or pursuant to this Deed</w:t>
      </w:r>
      <w:r>
        <w:rPr>
          <w:rFonts w:ascii="Arial;sans-serif" w:hAnsi="Arial;sans-serif"/>
          <w:b w:val="false"/>
          <w:color w:val="383838"/>
          <w:sz w:val="20"/>
        </w:rPr>
        <w:t>.</w:t>
      </w:r>
    </w:p>
    <w:p>
      <w:pPr>
        <w:pStyle w:val="TextBody"/>
        <w:spacing w:lineRule="auto" w:line="288" w:before="0" w:after="180"/>
        <w:ind w:left="0" w:right="0" w:hanging="720"/>
        <w:rPr/>
      </w:pPr>
      <w:r>
        <w:rPr>
          <w:rFonts w:ascii="Arial;sans-serif" w:hAnsi="Arial;sans-serif"/>
          <w:b w:val="false"/>
          <w:color w:val="010101"/>
          <w:sz w:val="20"/>
        </w:rPr>
        <w:t>5.2    </w:t>
      </w:r>
      <w:r>
        <w:rPr>
          <w:rFonts w:ascii="Arial;sans-serif" w:hAnsi="Arial;sans-serif"/>
          <w:b/>
          <w:i/>
          <w:color w:val="010101"/>
          <w:sz w:val="20"/>
        </w:rPr>
        <w:t>HM Land Registry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050"/>
                <wp:effectExtent l="0" t="0" r="0" b="0"/>
                <wp:wrapNone/>
                <wp:docPr id="486" name="Frame4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10</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10101"/>
          <w:sz w:val="20"/>
        </w:rPr>
        <w:t>(a)    In relation to each Property from time to time charged by way of legal mortgage under this Deed, such Chargor hereby irrevocably consents to the Administrative Agent applying to the Chief Land Registrar for a restriction to be entered on the Register of Title of all that Property (including any unregistered properties subject to compulsory first registration at the date of this Deed) on the prescribed Land Registry form and in the following or substantially similar terms</w:t>
      </w:r>
      <w:r>
        <w:rPr>
          <w:rFonts w:ascii="Arial;sans-serif" w:hAnsi="Arial;sans-serif"/>
          <w:b w:val="false"/>
          <w:color w:val="383838"/>
          <w:sz w:val="20"/>
        </w:rPr>
        <w:t>:</w:t>
      </w:r>
    </w:p>
    <w:p>
      <w:pPr>
        <w:pStyle w:val="TextBody"/>
        <w:spacing w:lineRule="auto" w:line="288" w:before="0" w:after="180"/>
        <w:jc w:val="both"/>
        <w:rPr>
          <w:rFonts w:ascii="Arial;sans-serif" w:hAnsi="Arial;sans-serif"/>
          <w:b w:val="false"/>
          <w:i/>
          <w:color w:val="010101"/>
          <w:sz w:val="20"/>
        </w:rPr>
      </w:pPr>
      <w:r>
        <w:rPr>
          <w:rFonts w:ascii="Arial;sans-serif" w:hAnsi="Arial;sans-serif"/>
          <w:b w:val="false"/>
          <w:i/>
          <w:color w:val="010101"/>
          <w:sz w:val="20"/>
        </w:rPr>
        <w:t>"No disposition of the registered estate by the proprietor of the registered estate or by the proprietor of any registered charge not being a charge registered before the entry of this restriction is to be registered without a written consent signed by the proprietor for the time being of the debenture dated • in favour of Silicon Valley Bank referred to in the charges register. "</w:t>
      </w:r>
    </w:p>
    <w:p>
      <w:pPr>
        <w:pStyle w:val="TextBody"/>
        <w:spacing w:lineRule="auto" w:line="288" w:before="0" w:after="180"/>
        <w:ind w:left="0" w:right="0" w:hanging="720"/>
        <w:jc w:val="both"/>
        <w:rPr/>
      </w:pPr>
      <w:r>
        <w:rPr>
          <w:rFonts w:ascii="Arial;sans-serif" w:hAnsi="Arial;sans-serif"/>
          <w:b w:val="false"/>
          <w:color w:val="010101"/>
          <w:sz w:val="20"/>
        </w:rPr>
        <w:t>(b)    The Administrative Agent must perform its obligations under the Credit Agreement (including any obligation to make available further advances)</w:t>
      </w:r>
      <w:r>
        <w:rPr>
          <w:rFonts w:ascii="Arial;sans-serif" w:hAnsi="Arial;sans-serif"/>
          <w:b w:val="false"/>
          <w:color w:val="383838"/>
          <w:sz w:val="20"/>
        </w:rPr>
        <w:t xml:space="preserve">. </w:t>
      </w:r>
      <w:r>
        <w:rPr>
          <w:rFonts w:ascii="Arial;sans-serif" w:hAnsi="Arial;sans-serif"/>
          <w:b w:val="false"/>
          <w:color w:val="010101"/>
          <w:sz w:val="20"/>
        </w:rPr>
        <w:t>In relation to each Property from time to time charged by way of legal mortgage under this Deed</w:t>
      </w:r>
      <w:r>
        <w:rPr>
          <w:rFonts w:ascii="Arial;sans-serif" w:hAnsi="Arial;sans-serif"/>
          <w:b w:val="false"/>
          <w:color w:val="1A1A1A"/>
          <w:sz w:val="20"/>
        </w:rPr>
        <w:t xml:space="preserve">, </w:t>
      </w:r>
      <w:r>
        <w:rPr>
          <w:rFonts w:ascii="Arial;sans-serif" w:hAnsi="Arial;sans-serif"/>
          <w:b w:val="false"/>
          <w:color w:val="010101"/>
          <w:sz w:val="20"/>
        </w:rPr>
        <w:t>the Administrative Agent may apply to the Chief Land Registrar for a notice to be entered onto the Register of Title of all that Property (including any unregistered properties subject to compulsory first registration at the date of this Deed) of the obligation to make further advances.</w:t>
      </w:r>
    </w:p>
    <w:p>
      <w:pPr>
        <w:pStyle w:val="TextBody"/>
        <w:spacing w:lineRule="auto" w:line="288" w:before="0" w:after="180"/>
        <w:ind w:left="0" w:right="0" w:hanging="720"/>
        <w:rPr/>
      </w:pPr>
      <w:r>
        <w:rPr>
          <w:rFonts w:ascii="Arial;sans-serif" w:hAnsi="Arial;sans-serif"/>
          <w:b w:val="false"/>
          <w:color w:val="010101"/>
          <w:sz w:val="20"/>
        </w:rPr>
        <w:t>5.3    </w:t>
      </w:r>
      <w:r>
        <w:rPr>
          <w:rFonts w:ascii="Arial;sans-serif" w:hAnsi="Arial;sans-serif"/>
          <w:b/>
          <w:i/>
          <w:color w:val="010101"/>
          <w:sz w:val="20"/>
        </w:rPr>
        <w:t>Register of Intellectual Property</w:t>
      </w:r>
    </w:p>
    <w:p>
      <w:pPr>
        <w:pStyle w:val="TextBody"/>
        <w:spacing w:lineRule="auto" w:line="288" w:before="0" w:after="180"/>
        <w:jc w:val="both"/>
        <w:rPr/>
      </w:pPr>
      <w:r>
        <w:rPr>
          <w:rFonts w:ascii="Arial;sans-serif" w:hAnsi="Arial;sans-serif"/>
          <w:b w:val="false"/>
          <w:color w:val="010101"/>
          <w:sz w:val="20"/>
        </w:rPr>
        <w:t xml:space="preserve">Each Chargor shall as soon as reasonably practicable, if requested by the Administrative Agent, execute all such documents and do all such acts (including but not limited to the payment of any applicable registration fees) as the Administrative Agent may reasonably require to record the interests of the Administrative Agent in any registers relating to registered Intellectual Property charged under this Deed </w:t>
      </w:r>
      <w:r>
        <w:rPr>
          <w:rFonts w:ascii="Arial;sans-serif" w:hAnsi="Arial;sans-serif"/>
          <w:b/>
          <w:color w:val="010101"/>
          <w:sz w:val="20"/>
        </w:rPr>
        <w:t xml:space="preserve">(provided that </w:t>
      </w:r>
      <w:r>
        <w:rPr>
          <w:rFonts w:ascii="Arial;sans-serif" w:hAnsi="Arial;sans-serif"/>
          <w:b w:val="false"/>
          <w:color w:val="010101"/>
          <w:sz w:val="20"/>
        </w:rPr>
        <w:t>the Administrative Agent shall only require a registration pursuant to this Clause 5.3 where it believes (acting reasonably) that:</w:t>
      </w:r>
    </w:p>
    <w:p>
      <w:pPr>
        <w:pStyle w:val="TextBody"/>
        <w:spacing w:lineRule="auto" w:line="288" w:before="0" w:after="180"/>
        <w:ind w:left="0" w:right="0" w:hanging="720"/>
        <w:jc w:val="both"/>
        <w:rPr/>
      </w:pPr>
      <w:r>
        <w:rPr>
          <w:rFonts w:ascii="Arial;sans-serif" w:hAnsi="Arial;sans-serif"/>
          <w:b w:val="false"/>
          <w:color w:val="010101"/>
          <w:sz w:val="20"/>
        </w:rPr>
        <w:t>(a)    the value of any such Intellectual Property in the jurisdiction (in terms of the earnings or revenue generated in that jurisdiction using that Intellectual Property) in which any such recordation is required</w:t>
      </w:r>
      <w:r>
        <w:rPr>
          <w:rFonts w:ascii="Arial;sans-serif" w:hAnsi="Arial;sans-serif"/>
          <w:b w:val="false"/>
          <w:color w:val="1C1C1C"/>
          <w:sz w:val="20"/>
        </w:rPr>
        <w:t xml:space="preserve">; </w:t>
      </w:r>
      <w:r>
        <w:rPr>
          <w:rFonts w:ascii="Arial;sans-serif" w:hAnsi="Arial;sans-serif"/>
          <w:b w:val="false"/>
          <w:color w:val="010101"/>
          <w:sz w:val="20"/>
        </w:rPr>
        <w:t>or</w:t>
      </w:r>
    </w:p>
    <w:p>
      <w:pPr>
        <w:pStyle w:val="TextBody"/>
        <w:spacing w:lineRule="auto" w:line="288" w:before="0" w:after="180"/>
        <w:ind w:left="0" w:right="0" w:hanging="720"/>
        <w:rPr/>
      </w:pPr>
      <w:r>
        <w:rPr>
          <w:rFonts w:ascii="Arial;sans-serif" w:hAnsi="Arial;sans-serif"/>
          <w:b w:val="false"/>
          <w:color w:val="010101"/>
          <w:sz w:val="20"/>
        </w:rPr>
        <w:t>(b)    there is another legal reason that</w:t>
      </w:r>
      <w:r>
        <w:rPr>
          <w:rFonts w:ascii="Arial;sans-serif" w:hAnsi="Arial;sans-serif"/>
          <w:b w:val="false"/>
          <w:color w:val="1C1C1C"/>
          <w:sz w:val="20"/>
        </w:rPr>
        <w:t>,</w:t>
      </w:r>
    </w:p>
    <w:p>
      <w:pPr>
        <w:pStyle w:val="TextBody"/>
        <w:spacing w:lineRule="auto" w:line="288" w:before="0" w:after="180"/>
        <w:rPr>
          <w:rFonts w:ascii="Arial;sans-serif" w:hAnsi="Arial;sans-serif"/>
          <w:b w:val="false"/>
          <w:color w:val="010101"/>
          <w:sz w:val="20"/>
        </w:rPr>
      </w:pPr>
      <w:r>
        <w:rPr>
          <w:rFonts w:ascii="Arial;sans-serif" w:hAnsi="Arial;sans-serif"/>
          <w:b w:val="false"/>
          <w:color w:val="010101"/>
          <w:sz w:val="20"/>
        </w:rPr>
        <w:t>justifies any costs involved in such recordation.</w:t>
      </w:r>
    </w:p>
    <w:p>
      <w:pPr>
        <w:pStyle w:val="TextBody"/>
        <w:spacing w:lineRule="auto" w:line="288" w:before="0" w:after="180"/>
        <w:ind w:left="0" w:right="0" w:hanging="720"/>
        <w:rPr/>
      </w:pPr>
      <w:r>
        <w:rPr>
          <w:rFonts w:ascii="Arial;sans-serif" w:hAnsi="Arial;sans-serif"/>
          <w:b w:val="false"/>
          <w:color w:val="010101"/>
          <w:sz w:val="20"/>
        </w:rPr>
        <w:t>5.4    </w:t>
      </w:r>
      <w:r>
        <w:rPr>
          <w:rFonts w:ascii="Arial;sans-serif" w:hAnsi="Arial;sans-serif"/>
          <w:b/>
          <w:i/>
          <w:color w:val="010101"/>
          <w:sz w:val="20"/>
        </w:rPr>
        <w:t>Notices</w:t>
      </w:r>
    </w:p>
    <w:p>
      <w:pPr>
        <w:pStyle w:val="TextBody"/>
        <w:spacing w:lineRule="auto" w:line="288" w:before="0" w:after="180"/>
        <w:jc w:val="both"/>
        <w:rPr/>
      </w:pPr>
      <w:r>
        <w:rPr>
          <w:rFonts w:ascii="Arial;sans-serif" w:hAnsi="Arial;sans-serif"/>
          <w:b w:val="false"/>
          <w:color w:val="010101"/>
          <w:sz w:val="20"/>
        </w:rPr>
        <w:t>Each Chargor shall give notice of</w:t>
      </w:r>
      <w:r>
        <w:rPr>
          <w:rFonts w:ascii="Arial;sans-serif" w:hAnsi="Arial;sans-serif"/>
          <w:b w:val="false"/>
          <w:color w:val="343434"/>
          <w:sz w:val="20"/>
        </w:rPr>
        <w:t>:</w:t>
      </w:r>
    </w:p>
    <w:p>
      <w:pPr>
        <w:pStyle w:val="TextBody"/>
        <w:spacing w:lineRule="auto" w:line="288" w:before="0" w:after="180"/>
        <w:ind w:left="0" w:right="0" w:hanging="720"/>
        <w:jc w:val="both"/>
        <w:rPr/>
      </w:pPr>
      <w:r>
        <w:rPr>
          <w:rFonts w:ascii="Arial;sans-serif" w:hAnsi="Arial;sans-serif"/>
          <w:b w:val="false"/>
          <w:color w:val="010101"/>
          <w:sz w:val="20"/>
        </w:rPr>
        <w:t>(a)    promptly following the date of this Deed</w:t>
      </w:r>
      <w:r>
        <w:rPr>
          <w:rFonts w:ascii="Arial;sans-serif" w:hAnsi="Arial;sans-serif"/>
          <w:b w:val="false"/>
          <w:color w:val="1C1C1C"/>
          <w:sz w:val="20"/>
        </w:rPr>
        <w:t xml:space="preserve">, </w:t>
      </w:r>
      <w:r>
        <w:rPr>
          <w:rFonts w:ascii="Arial;sans-serif" w:hAnsi="Arial;sans-serif"/>
          <w:b w:val="false"/>
          <w:color w:val="010101"/>
          <w:sz w:val="20"/>
        </w:rPr>
        <w:t xml:space="preserve">the charge over its Third Party Accounts under this Deed to the person at which such accounts are maintained in the form set out in </w:t>
      </w:r>
      <w:r>
        <w:rPr>
          <w:rFonts w:ascii="Arial;sans-serif" w:hAnsi="Arial;sans-serif"/>
          <w:b w:val="false"/>
          <w:i/>
          <w:color w:val="010101"/>
          <w:sz w:val="20"/>
        </w:rPr>
        <w:t xml:space="preserve">Part </w:t>
      </w:r>
      <w:r>
        <w:rPr>
          <w:rFonts w:ascii="Arial;sans-serif" w:hAnsi="Arial;sans-serif"/>
          <w:b w:val="false"/>
          <w:color w:val="010101"/>
          <w:sz w:val="20"/>
        </w:rPr>
        <w:t xml:space="preserve">1 of Schedule 3 </w:t>
      </w:r>
      <w:r>
        <w:rPr>
          <w:rFonts w:ascii="Arial;sans-serif" w:hAnsi="Arial;sans-serif"/>
          <w:b w:val="false"/>
          <w:i/>
          <w:color w:val="010101"/>
          <w:sz w:val="20"/>
        </w:rPr>
        <w:t>(Form of notice in relation to a Third Party Account);</w:t>
      </w:r>
    </w:p>
    <w:p>
      <w:pPr>
        <w:pStyle w:val="TextBody"/>
        <w:spacing w:lineRule="auto" w:line="288" w:before="0" w:after="180"/>
        <w:ind w:left="0" w:right="0" w:hanging="720"/>
        <w:jc w:val="both"/>
        <w:rPr/>
      </w:pPr>
      <w:r>
        <w:rPr>
          <w:rFonts w:ascii="Arial;sans-serif" w:hAnsi="Arial;sans-serif"/>
          <w:b w:val="false"/>
          <w:color w:val="010101"/>
          <w:sz w:val="20"/>
        </w:rPr>
        <w:t xml:space="preserve">(b)    if the Administrative Agent so requires at any time whilst an Event of Default is continuing, the assignment or charge of any other Security Asset to the relevant third party (in the form of Part 2 of Schedule 3 </w:t>
      </w:r>
      <w:r>
        <w:rPr>
          <w:rFonts w:ascii="Arial;sans-serif" w:hAnsi="Arial;sans-serif"/>
          <w:b w:val="false"/>
          <w:i/>
          <w:color w:val="010101"/>
          <w:sz w:val="20"/>
        </w:rPr>
        <w:t>(Form of notice to counterparties),</w:t>
      </w:r>
    </w:p>
    <w:p>
      <w:pPr>
        <w:pStyle w:val="TextBody"/>
        <w:spacing w:lineRule="auto" w:line="288" w:before="0" w:after="180"/>
        <w:jc w:val="both"/>
        <w:rPr/>
      </w:pPr>
      <w:r>
        <w:rPr>
          <w:rFonts w:ascii="Arial;sans-serif" w:hAnsi="Arial;sans-serif"/>
          <w:b w:val="false"/>
          <w:color w:val="010101"/>
          <w:sz w:val="20"/>
        </w:rPr>
        <w:t>and</w:t>
      </w:r>
      <w:r>
        <w:rPr>
          <w:rFonts w:ascii="Arial;sans-serif" w:hAnsi="Arial;sans-serif"/>
          <w:b w:val="false"/>
          <w:color w:val="1C1C1C"/>
          <w:sz w:val="20"/>
        </w:rPr>
        <w:t xml:space="preserve">, </w:t>
      </w:r>
      <w:r>
        <w:rPr>
          <w:rFonts w:ascii="Arial;sans-serif" w:hAnsi="Arial;sans-serif"/>
          <w:b w:val="false"/>
          <w:color w:val="010101"/>
          <w:sz w:val="20"/>
        </w:rPr>
        <w:t>in each case, shall use all reasonable endeavours (without incurring any material costs or expenses) to procure that each person on whom a notice is served</w:t>
      </w:r>
      <w:r>
        <w:rPr>
          <w:rFonts w:ascii="Arial;sans-serif" w:hAnsi="Arial;sans-serif"/>
          <w:b w:val="false"/>
          <w:color w:val="1C1C1C"/>
          <w:sz w:val="20"/>
        </w:rPr>
        <w:t xml:space="preserve">, </w:t>
      </w:r>
      <w:r>
        <w:rPr>
          <w:rFonts w:ascii="Arial;sans-serif" w:hAnsi="Arial;sans-serif"/>
          <w:b w:val="false"/>
          <w:color w:val="010101"/>
          <w:sz w:val="20"/>
        </w:rPr>
        <w:t>executes and delivers to the Administrative Agent an acknowledgement of that notice in the relevant form scheduled to this Deed or in such other form as the Administrative Agent may require within 20 Business Days after the date of sending any such notice. If the UK Chargor has used its reasonable endeavours but has not been able to obtain an acknowledgement, its obligation to obtain acknowledgement shall cease on the date falling 20 Business Days after the date of sending any such notice.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050"/>
                <wp:effectExtent l="0" t="0" r="0" b="0"/>
                <wp:wrapNone/>
                <wp:docPr id="487" name="Frame4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11</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6.    </w:t>
      </w:r>
      <w:r>
        <w:rPr>
          <w:rFonts w:ascii="Arial;sans-serif" w:hAnsi="Arial;sans-serif"/>
          <w:b/>
          <w:color w:val="010101"/>
          <w:sz w:val="20"/>
        </w:rPr>
        <w:t>Representations and Warranties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Each Chargor makes the representations and warranties listed below in favour of each of the Administrative Agent.</w:t>
      </w:r>
    </w:p>
    <w:p>
      <w:pPr>
        <w:pStyle w:val="TextBody"/>
        <w:spacing w:lineRule="auto" w:line="288" w:before="0" w:after="180"/>
        <w:ind w:left="0" w:right="0" w:hanging="720"/>
        <w:rPr/>
      </w:pPr>
      <w:r>
        <w:rPr>
          <w:rFonts w:ascii="Arial;sans-serif" w:hAnsi="Arial;sans-serif"/>
          <w:b w:val="false"/>
          <w:color w:val="010101"/>
          <w:sz w:val="20"/>
        </w:rPr>
        <w:t>6.1    </w:t>
      </w:r>
      <w:r>
        <w:rPr>
          <w:rFonts w:ascii="Arial;sans-serif" w:hAnsi="Arial;sans-serif"/>
          <w:b/>
          <w:i/>
          <w:color w:val="010101"/>
          <w:sz w:val="20"/>
        </w:rPr>
        <w:t>Security Assets</w:t>
      </w:r>
    </w:p>
    <w:p>
      <w:pPr>
        <w:pStyle w:val="TextBody"/>
        <w:spacing w:lineRule="auto" w:line="288" w:before="0" w:after="180"/>
        <w:jc w:val="both"/>
        <w:rPr/>
      </w:pPr>
      <w:r>
        <w:rPr>
          <w:rFonts w:ascii="Arial;sans-serif" w:hAnsi="Arial;sans-serif"/>
          <w:b w:val="false"/>
          <w:color w:val="010101"/>
          <w:sz w:val="20"/>
        </w:rPr>
        <w:t>Save in respect of any Security Assets leally assigned to the Administrative Agent pursuant to this Deed</w:t>
      </w:r>
      <w:r>
        <w:rPr>
          <w:rFonts w:ascii="Arial;sans-serif" w:hAnsi="Arial;sans-serif"/>
          <w:b w:val="false"/>
          <w:color w:val="1C1C1C"/>
          <w:sz w:val="20"/>
        </w:rPr>
        <w:t xml:space="preserve">, </w:t>
      </w:r>
      <w:r>
        <w:rPr>
          <w:rFonts w:ascii="Arial;sans-serif" w:hAnsi="Arial;sans-serif"/>
          <w:b w:val="false"/>
          <w:color w:val="010101"/>
          <w:sz w:val="20"/>
        </w:rPr>
        <w:t>it is the legal and beneficial owner of the Security Assets with the right to transfer with full title guarantee all or any part of the Security Assets and has good and marketable title to the Security Assets</w:t>
      </w:r>
      <w:r>
        <w:rPr>
          <w:rFonts w:ascii="Arial;sans-serif" w:hAnsi="Arial;sans-serif"/>
          <w:b w:val="false"/>
          <w:color w:val="343434"/>
          <w:sz w:val="20"/>
        </w:rPr>
        <w:t>.</w:t>
      </w:r>
    </w:p>
    <w:p>
      <w:pPr>
        <w:pStyle w:val="TextBody"/>
        <w:spacing w:lineRule="auto" w:line="288" w:before="0" w:after="180"/>
        <w:ind w:left="0" w:right="0" w:hanging="720"/>
        <w:rPr/>
      </w:pPr>
      <w:r>
        <w:rPr>
          <w:rFonts w:ascii="Arial;sans-serif" w:hAnsi="Arial;sans-serif"/>
          <w:b w:val="false"/>
          <w:color w:val="010101"/>
          <w:sz w:val="20"/>
        </w:rPr>
        <w:t>6.2    </w:t>
      </w:r>
      <w:r>
        <w:rPr>
          <w:rFonts w:ascii="Arial;sans-serif" w:hAnsi="Arial;sans-serif"/>
          <w:b/>
          <w:i/>
          <w:color w:val="010101"/>
          <w:sz w:val="20"/>
        </w:rPr>
        <w:t>Investments and Shares</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(a)    All Investments and the Shares are fully paid and none are subject to any option to purchase or similar rights.</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It has not appointed any nominee to exercise or enjoy all or any of its rights in relation to the Investments or the Shares.</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(c)    The constitutional documents of any company whose shares are the subject of the Security Interests created by this Deed do not and could not restrict or prohibit any transfer of those shares on creation or on enforcement of that Security Interest.</w:t>
      </w:r>
    </w:p>
    <w:p>
      <w:pPr>
        <w:pStyle w:val="TextBody"/>
        <w:spacing w:lineRule="auto" w:line="288" w:before="0" w:after="180"/>
        <w:ind w:left="0" w:right="0" w:hanging="720"/>
        <w:rPr/>
      </w:pPr>
      <w:r>
        <w:rPr>
          <w:rFonts w:ascii="Arial;sans-serif" w:hAnsi="Arial;sans-serif"/>
          <w:b w:val="false"/>
          <w:color w:val="010101"/>
          <w:sz w:val="20"/>
        </w:rPr>
        <w:t>6.3    </w:t>
      </w:r>
      <w:r>
        <w:rPr>
          <w:rFonts w:ascii="Arial;sans-serif" w:hAnsi="Arial;sans-serif"/>
          <w:b/>
          <w:i/>
          <w:color w:val="010101"/>
          <w:sz w:val="20"/>
        </w:rPr>
        <w:t>Repetition</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The representations in this clause 6 are deemed to be made by each Chargor by reference to the facts and circumstances then existing on the date of this Deed and each day on which the representations and warranties contained in the Credit Agreement are repeated.</w:t>
      </w:r>
    </w:p>
    <w:p>
      <w:pPr>
        <w:pStyle w:val="TextBody"/>
        <w:spacing w:lineRule="auto" w:line="288" w:before="0" w:after="180"/>
        <w:ind w:left="0" w:right="0" w:hanging="720"/>
        <w:rPr/>
      </w:pPr>
      <w:r>
        <w:rPr>
          <w:rFonts w:ascii="Arial;sans-serif" w:hAnsi="Arial;sans-serif"/>
          <w:b w:val="false"/>
          <w:color w:val="010101"/>
          <w:sz w:val="20"/>
        </w:rPr>
        <w:t>7.    </w:t>
      </w:r>
      <w:r>
        <w:rPr>
          <w:rFonts w:ascii="Arial;sans-serif" w:hAnsi="Arial;sans-serif"/>
          <w:b/>
          <w:color w:val="010101"/>
          <w:sz w:val="20"/>
        </w:rPr>
        <w:t>Undertakings</w:t>
      </w:r>
    </w:p>
    <w:p>
      <w:pPr>
        <w:pStyle w:val="TextBody"/>
        <w:spacing w:lineRule="auto" w:line="288" w:before="0" w:after="180"/>
        <w:ind w:left="0" w:right="0" w:hanging="720"/>
        <w:rPr/>
      </w:pPr>
      <w:r>
        <w:rPr>
          <w:rFonts w:ascii="Arial;sans-serif" w:hAnsi="Arial;sans-serif"/>
          <w:b w:val="false"/>
          <w:color w:val="010101"/>
          <w:sz w:val="20"/>
        </w:rPr>
        <w:t>7.1    </w:t>
      </w:r>
      <w:r>
        <w:rPr>
          <w:rFonts w:ascii="Arial;sans-serif" w:hAnsi="Arial;sans-serif"/>
          <w:b/>
          <w:i/>
          <w:color w:val="010101"/>
          <w:sz w:val="20"/>
        </w:rPr>
        <w:t>Duration of Undertakings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Each Chargor undertakes to the Administrative Agent in the terms of this clause 7 for the duration of the Security Period.</w:t>
      </w:r>
    </w:p>
    <w:p>
      <w:pPr>
        <w:pStyle w:val="TextBody"/>
        <w:spacing w:lineRule="auto" w:line="288" w:before="0" w:after="180"/>
        <w:ind w:left="0" w:right="0" w:hanging="720"/>
        <w:rPr/>
      </w:pPr>
      <w:r>
        <w:rPr>
          <w:rFonts w:ascii="Arial;sans-serif" w:hAnsi="Arial;sans-serif"/>
          <w:b w:val="false"/>
          <w:color w:val="010101"/>
          <w:sz w:val="20"/>
        </w:rPr>
        <w:t>7.2    </w:t>
      </w:r>
      <w:r>
        <w:rPr>
          <w:rFonts w:ascii="Arial;sans-serif" w:hAnsi="Arial;sans-serif"/>
          <w:b/>
          <w:i/>
          <w:color w:val="010101"/>
          <w:sz w:val="20"/>
        </w:rPr>
        <w:t>General Undertakings</w:t>
      </w:r>
    </w:p>
    <w:p>
      <w:pPr>
        <w:pStyle w:val="TextBody"/>
        <w:spacing w:lineRule="auto" w:line="288" w:before="0" w:after="180"/>
        <w:ind w:left="0" w:right="0" w:hanging="720"/>
        <w:jc w:val="both"/>
        <w:rPr/>
      </w:pPr>
      <w:r>
        <w:rPr>
          <w:rFonts w:ascii="Arial;sans-serif" w:hAnsi="Arial;sans-serif"/>
          <w:b w:val="false"/>
          <w:color w:val="010101"/>
          <w:sz w:val="20"/>
        </w:rPr>
        <w:t>(a)    </w:t>
      </w:r>
      <w:r>
        <w:rPr>
          <w:rFonts w:ascii="Arial;sans-serif" w:hAnsi="Arial;sans-serif"/>
          <w:b w:val="false"/>
          <w:i/>
          <w:color w:val="010101"/>
          <w:sz w:val="20"/>
        </w:rPr>
        <w:t>Negative Pledge and Disposal Restrictions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It will not:</w:t>
      </w:r>
    </w:p>
    <w:p>
      <w:pPr>
        <w:pStyle w:val="TextBody"/>
        <w:spacing w:lineRule="auto" w:line="288" w:before="0" w:after="180"/>
        <w:ind w:left="0" w:right="0" w:hanging="720"/>
        <w:jc w:val="both"/>
        <w:rPr/>
      </w:pPr>
      <w:r>
        <w:rPr>
          <w:rFonts w:ascii="Arial;sans-serif" w:hAnsi="Arial;sans-serif"/>
          <w:b w:val="false"/>
          <w:color w:val="010101"/>
          <w:sz w:val="20"/>
        </w:rPr>
        <w:t>(i)    create or agree to create or permit to subsist or arise any Security Interest over all or any part of the Security Assets</w:t>
      </w:r>
      <w:r>
        <w:rPr>
          <w:rFonts w:ascii="Arial;sans-serif" w:hAnsi="Arial;sans-serif"/>
          <w:b w:val="false"/>
          <w:color w:val="1F1F1F"/>
          <w:sz w:val="20"/>
        </w:rPr>
        <w:t xml:space="preserve">; </w:t>
      </w:r>
      <w:r>
        <w:rPr>
          <w:rFonts w:ascii="Arial;sans-serif" w:hAnsi="Arial;sans-serif"/>
          <w:b w:val="false"/>
          <w:color w:val="010101"/>
          <w:sz w:val="20"/>
        </w:rPr>
        <w:t>or</w:t>
      </w:r>
    </w:p>
    <w:p>
      <w:pPr>
        <w:pStyle w:val="TextBody"/>
        <w:spacing w:lineRule="auto" w:line="288" w:before="0" w:after="180"/>
        <w:ind w:left="0" w:right="0" w:hanging="720"/>
        <w:jc w:val="both"/>
        <w:rPr/>
      </w:pPr>
      <w:r>
        <w:rPr>
          <w:rFonts w:ascii="Arial;sans-serif" w:hAnsi="Arial;sans-serif"/>
          <w:b w:val="false"/>
          <w:color w:val="010101"/>
          <w:sz w:val="20"/>
        </w:rPr>
        <w:t>(ii)    sell</w:t>
      </w:r>
      <w:r>
        <w:rPr>
          <w:rFonts w:ascii="Arial;sans-serif" w:hAnsi="Arial;sans-serif"/>
          <w:b w:val="false"/>
          <w:color w:val="1F1F1F"/>
          <w:sz w:val="20"/>
        </w:rPr>
        <w:t xml:space="preserve">, </w:t>
      </w:r>
      <w:r>
        <w:rPr>
          <w:rFonts w:ascii="Arial;sans-serif" w:hAnsi="Arial;sans-serif"/>
          <w:b w:val="false"/>
          <w:color w:val="010101"/>
          <w:sz w:val="20"/>
        </w:rPr>
        <w:t>transfer</w:t>
      </w:r>
      <w:r>
        <w:rPr>
          <w:rFonts w:ascii="Arial;sans-serif" w:hAnsi="Arial;sans-serif"/>
          <w:b w:val="false"/>
          <w:color w:val="1F1F1F"/>
          <w:sz w:val="20"/>
        </w:rPr>
        <w:t xml:space="preserve">, </w:t>
      </w:r>
      <w:r>
        <w:rPr>
          <w:rFonts w:ascii="Arial;sans-serif" w:hAnsi="Arial;sans-serif"/>
          <w:b w:val="false"/>
          <w:color w:val="010101"/>
          <w:sz w:val="20"/>
        </w:rPr>
        <w:t>lease out</w:t>
      </w:r>
      <w:r>
        <w:rPr>
          <w:rFonts w:ascii="Arial;sans-serif" w:hAnsi="Arial;sans-serif"/>
          <w:b w:val="false"/>
          <w:color w:val="1F1F1F"/>
          <w:sz w:val="20"/>
        </w:rPr>
        <w:t xml:space="preserve">, </w:t>
      </w:r>
      <w:r>
        <w:rPr>
          <w:rFonts w:ascii="Arial;sans-serif" w:hAnsi="Arial;sans-serif"/>
          <w:b w:val="false"/>
          <w:color w:val="010101"/>
          <w:sz w:val="20"/>
        </w:rPr>
        <w:t>lend or otherwise dispose of all or any part of the Security Assets (save for Floating Charge Assets on arm's length terms in the ordinary course of trading) or agree or attempt to do the same,</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except as permitted by the Credit Agreement or with the prior written consent of the Administrative Agent.</w:t>
      </w:r>
    </w:p>
    <w:p>
      <w:pPr>
        <w:pStyle w:val="TextBody"/>
        <w:spacing w:lineRule="auto" w:line="288" w:before="0" w:after="180"/>
        <w:ind w:left="0" w:right="0" w:hanging="720"/>
        <w:jc w:val="both"/>
        <w:rPr/>
      </w:pPr>
      <w:r>
        <w:rPr>
          <w:rFonts w:ascii="Arial;sans-serif" w:hAnsi="Arial;sans-serif"/>
          <w:b w:val="false"/>
          <w:color w:val="010101"/>
          <w:sz w:val="20"/>
        </w:rPr>
        <w:t>(b)    </w:t>
      </w:r>
      <w:r>
        <w:rPr>
          <w:rFonts w:ascii="Arial;sans-serif" w:hAnsi="Arial;sans-serif"/>
          <w:b w:val="false"/>
          <w:i/>
          <w:color w:val="010101"/>
          <w:sz w:val="20"/>
        </w:rPr>
        <w:t>Deposit of Documents or Title Deeds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It will deposit with the Administrative Agent: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 xml:space="preserve">(i)    to the extent that the relevant documents have not been deposited with a clearance system, settlement system or custodian, all deeds, stock and share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050"/>
                <wp:effectExtent l="0" t="0" r="0" b="0"/>
                <wp:wrapNone/>
                <wp:docPr id="488" name="Frame4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12</w:t>
                      </w:r>
                    </w:p>
                  </w:txbxContent>
                </v:textbox>
              </v:rect>
            </w:pict>
          </mc:Fallback>
        </mc:AlternateContent>
      </w:r>
    </w:p>
    <w:p>
      <w:pPr>
        <w:pStyle w:val="TextBody"/>
        <w:spacing w:lineRule="auto" w:line="288" w:before="0" w:after="180"/>
        <w:jc w:val="both"/>
        <w:rPr/>
      </w:pPr>
      <w:r>
        <w:rPr>
          <w:rFonts w:ascii="Arial;sans-serif" w:hAnsi="Arial;sans-serif"/>
          <w:b w:val="false"/>
          <w:color w:val="010101"/>
          <w:sz w:val="20"/>
        </w:rPr>
        <w:t>certificates or other documents of title (or documents evidencing title or the right to title) and agreements relating to a Security Asset (including all deeds and documents of title relating to the Investments or the Property)</w:t>
      </w:r>
      <w:r>
        <w:rPr>
          <w:rFonts w:ascii="Arial;sans-serif" w:hAnsi="Arial;sans-serif"/>
          <w:b w:val="false"/>
          <w:color w:val="1F1F1F"/>
          <w:sz w:val="20"/>
        </w:rPr>
        <w:t>;</w:t>
      </w:r>
    </w:p>
    <w:p>
      <w:pPr>
        <w:pStyle w:val="TextBody"/>
        <w:spacing w:lineRule="auto" w:line="288" w:before="0" w:after="180"/>
        <w:ind w:left="0" w:right="0" w:hanging="720"/>
        <w:jc w:val="both"/>
        <w:rPr/>
      </w:pPr>
      <w:r>
        <w:rPr>
          <w:rFonts w:ascii="Arial;sans-serif" w:hAnsi="Arial;sans-serif"/>
          <w:b w:val="false"/>
          <w:color w:val="010101"/>
          <w:sz w:val="20"/>
        </w:rPr>
        <w:t>(ii)    any stock transfer forms or other instruments of transfer duly completed and executed to the Administrative Agent's satisfaction (acting reasonably)</w:t>
      </w:r>
      <w:r>
        <w:rPr>
          <w:rFonts w:ascii="Arial;sans-serif" w:hAnsi="Arial;sans-serif"/>
          <w:b w:val="false"/>
          <w:color w:val="1F1F1F"/>
          <w:sz w:val="20"/>
        </w:rPr>
        <w:t>;</w:t>
      </w:r>
    </w:p>
    <w:p>
      <w:pPr>
        <w:pStyle w:val="TextBody"/>
        <w:spacing w:lineRule="auto" w:line="288" w:before="0" w:after="180"/>
        <w:ind w:left="0" w:right="0" w:hanging="720"/>
        <w:jc w:val="both"/>
        <w:rPr/>
      </w:pPr>
      <w:r>
        <w:rPr>
          <w:rFonts w:ascii="Arial;sans-serif" w:hAnsi="Arial;sans-serif"/>
          <w:b w:val="false"/>
          <w:color w:val="010101"/>
          <w:sz w:val="20"/>
        </w:rPr>
        <w:t>(iii)    to the extent requested by the Administrative Agent from time to time (but no more than once a calendar month) certified copies of all the Assigned Contracts</w:t>
      </w:r>
      <w:r>
        <w:rPr>
          <w:rFonts w:ascii="Arial;sans-serif" w:hAnsi="Arial;sans-serif"/>
          <w:b w:val="false"/>
          <w:color w:val="1F1F1F"/>
          <w:sz w:val="20"/>
        </w:rPr>
        <w: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(iv)    any other document which the Administrative Agent may reasonably require for the purposes of perfecting the Security Interests created or expressed to be created by this Deed.</w:t>
      </w:r>
    </w:p>
    <w:p>
      <w:pPr>
        <w:pStyle w:val="TextBody"/>
        <w:spacing w:lineRule="auto" w:line="288" w:before="0" w:after="180"/>
        <w:jc w:val="both"/>
        <w:rPr/>
      </w:pPr>
      <w:r>
        <w:rPr>
          <w:rFonts w:ascii="Arial;sans-serif" w:hAnsi="Arial;sans-serif"/>
          <w:b w:val="false"/>
          <w:color w:val="010101"/>
          <w:sz w:val="20"/>
        </w:rPr>
        <w:t>The Administrative Agent may retain any document delivered to it under clause 7.2(b) above or otherwise only until such time as the security created under this Deed is released</w:t>
      </w:r>
      <w:r>
        <w:rPr>
          <w:rFonts w:ascii="Arial;sans-serif" w:hAnsi="Arial;sans-serif"/>
          <w:b w:val="false"/>
          <w:color w:val="3F3F3F"/>
          <w:sz w:val="20"/>
        </w:rPr>
        <w:t>.</w:t>
      </w:r>
    </w:p>
    <w:p>
      <w:pPr>
        <w:pStyle w:val="TextBody"/>
        <w:spacing w:lineRule="auto" w:line="288" w:before="0" w:after="180"/>
        <w:ind w:left="0" w:right="0" w:hanging="720"/>
        <w:rPr/>
      </w:pPr>
      <w:r>
        <w:rPr>
          <w:rFonts w:ascii="Arial;sans-serif" w:hAnsi="Arial;sans-serif"/>
          <w:b w:val="false"/>
          <w:color w:val="010101"/>
          <w:sz w:val="20"/>
        </w:rPr>
        <w:t>(c)    </w:t>
      </w:r>
      <w:r>
        <w:rPr>
          <w:rFonts w:ascii="Arial;sans-serif" w:hAnsi="Arial;sans-serif"/>
          <w:b w:val="false"/>
          <w:i/>
          <w:color w:val="010101"/>
          <w:sz w:val="20"/>
        </w:rPr>
        <w:t>Registration and Notifications</w:t>
      </w:r>
    </w:p>
    <w:p>
      <w:pPr>
        <w:pStyle w:val="TextBody"/>
        <w:spacing w:lineRule="auto" w:line="288" w:before="0" w:after="180"/>
        <w:jc w:val="both"/>
        <w:rPr/>
      </w:pPr>
      <w:r>
        <w:rPr>
          <w:rFonts w:ascii="Arial;sans-serif" w:hAnsi="Arial;sans-serif"/>
          <w:b w:val="false"/>
          <w:color w:val="010101"/>
          <w:sz w:val="20"/>
        </w:rPr>
        <w:t>It shall promptly (but in any event within 10 Business Days of the entry into any such contract</w:t>
      </w:r>
      <w:r>
        <w:rPr>
          <w:rFonts w:ascii="Arial;sans-serif" w:hAnsi="Arial;sans-serif"/>
          <w:b w:val="false"/>
          <w:color w:val="1A1A1A"/>
          <w:sz w:val="20"/>
        </w:rPr>
        <w:t xml:space="preserve">, </w:t>
      </w:r>
      <w:r>
        <w:rPr>
          <w:rFonts w:ascii="Arial;sans-serif" w:hAnsi="Arial;sans-serif"/>
          <w:b w:val="false"/>
          <w:color w:val="010101"/>
          <w:sz w:val="20"/>
        </w:rPr>
        <w:t>conveyance</w:t>
      </w:r>
      <w:r>
        <w:rPr>
          <w:rFonts w:ascii="Arial;sans-serif" w:hAnsi="Arial;sans-serif"/>
          <w:b w:val="false"/>
          <w:color w:val="1A1A1A"/>
          <w:sz w:val="20"/>
        </w:rPr>
        <w:t xml:space="preserve">, </w:t>
      </w:r>
      <w:r>
        <w:rPr>
          <w:rFonts w:ascii="Arial;sans-serif" w:hAnsi="Arial;sans-serif"/>
          <w:b w:val="false"/>
          <w:color w:val="010101"/>
          <w:sz w:val="20"/>
        </w:rPr>
        <w:t>transfer or other disposition) notify the Administrative Agent of any contract</w:t>
      </w:r>
      <w:r>
        <w:rPr>
          <w:rFonts w:ascii="Arial;sans-serif" w:hAnsi="Arial;sans-serif"/>
          <w:b w:val="false"/>
          <w:color w:val="1A1A1A"/>
          <w:sz w:val="20"/>
        </w:rPr>
        <w:t xml:space="preserve">, </w:t>
      </w:r>
      <w:r>
        <w:rPr>
          <w:rFonts w:ascii="Arial;sans-serif" w:hAnsi="Arial;sans-serif"/>
          <w:b w:val="false"/>
          <w:color w:val="010101"/>
          <w:sz w:val="20"/>
        </w:rPr>
        <w:t>conveyance</w:t>
      </w:r>
      <w:r>
        <w:rPr>
          <w:rFonts w:ascii="Arial;sans-serif" w:hAnsi="Arial;sans-serif"/>
          <w:b w:val="false"/>
          <w:color w:val="1A1A1A"/>
          <w:sz w:val="20"/>
        </w:rPr>
        <w:t xml:space="preserve">, </w:t>
      </w:r>
      <w:r>
        <w:rPr>
          <w:rFonts w:ascii="Arial;sans-serif" w:hAnsi="Arial;sans-serif"/>
          <w:b w:val="false"/>
          <w:color w:val="010101"/>
          <w:sz w:val="20"/>
        </w:rPr>
        <w:t>transfer or other disposition or the acquisition by it of the legal or beneficial interest in any Property.</w:t>
      </w:r>
    </w:p>
    <w:p>
      <w:pPr>
        <w:pStyle w:val="TextBody"/>
        <w:spacing w:lineRule="auto" w:line="288" w:before="0" w:after="180"/>
        <w:ind w:left="0" w:right="0" w:hanging="720"/>
        <w:rPr/>
      </w:pPr>
      <w:r>
        <w:rPr>
          <w:rFonts w:ascii="Arial;sans-serif" w:hAnsi="Arial;sans-serif"/>
          <w:b w:val="false"/>
          <w:color w:val="010101"/>
          <w:sz w:val="20"/>
        </w:rPr>
        <w:t>7.3    </w:t>
      </w:r>
      <w:r>
        <w:rPr>
          <w:rFonts w:ascii="Arial;sans-serif" w:hAnsi="Arial;sans-serif"/>
          <w:b/>
          <w:i/>
          <w:color w:val="010101"/>
          <w:sz w:val="20"/>
        </w:rPr>
        <w:t>Investments and Shares</w:t>
      </w:r>
    </w:p>
    <w:p>
      <w:pPr>
        <w:pStyle w:val="TextBody"/>
        <w:spacing w:lineRule="auto" w:line="288" w:before="0" w:after="180"/>
        <w:ind w:left="0" w:right="0" w:hanging="720"/>
        <w:rPr/>
      </w:pPr>
      <w:r>
        <w:rPr>
          <w:rFonts w:ascii="Arial;sans-serif" w:hAnsi="Arial;sans-serif"/>
          <w:b w:val="false"/>
          <w:color w:val="010101"/>
          <w:sz w:val="20"/>
        </w:rPr>
        <w:t>(a)    </w:t>
      </w:r>
      <w:r>
        <w:rPr>
          <w:rFonts w:ascii="Arial;sans-serif" w:hAnsi="Arial;sans-serif"/>
          <w:b w:val="false"/>
          <w:i/>
          <w:color w:val="010101"/>
          <w:sz w:val="20"/>
        </w:rPr>
        <w:t>Exercise of Rights</w:t>
      </w:r>
    </w:p>
    <w:p>
      <w:pPr>
        <w:pStyle w:val="TextBody"/>
        <w:spacing w:lineRule="auto" w:line="288" w:before="0" w:after="180"/>
        <w:ind w:left="0" w:right="0" w:hanging="720"/>
        <w:jc w:val="both"/>
        <w:rPr/>
      </w:pPr>
      <w:r>
        <w:rPr>
          <w:rFonts w:ascii="Arial;sans-serif" w:hAnsi="Arial;sans-serif"/>
          <w:b w:val="false"/>
          <w:color w:val="010101"/>
          <w:sz w:val="20"/>
        </w:rPr>
        <w:t>(i)    Prior to the occurrence of an Event of Default which is continuing</w:t>
      </w:r>
      <w:r>
        <w:rPr>
          <w:rFonts w:ascii="Arial;sans-serif" w:hAnsi="Arial;sans-serif"/>
          <w:b w:val="false"/>
          <w:color w:val="1A1A1A"/>
          <w:sz w:val="20"/>
        </w:rPr>
        <w:t xml:space="preserve">, </w:t>
      </w:r>
      <w:r>
        <w:rPr>
          <w:rFonts w:ascii="Arial;sans-serif" w:hAnsi="Arial;sans-serif"/>
          <w:b w:val="false"/>
          <w:color w:val="010101"/>
          <w:sz w:val="20"/>
        </w:rPr>
        <w:t>it may exercise or refrain from exercising (or direct the same) any of the powers or rights conferred upon or exercisable by the legal or beneficial owner of the Investments or the Shares unless such exercise or refrain from exercising (or direction to do the same)</w:t>
      </w:r>
      <w:r>
        <w:rPr>
          <w:rFonts w:ascii="Arial;sans-serif" w:hAnsi="Arial;sans-serif"/>
          <w:b w:val="false"/>
          <w:color w:val="1A1A1A"/>
          <w:sz w:val="20"/>
        </w:rPr>
        <w:t>:</w:t>
      </w:r>
    </w:p>
    <w:p>
      <w:pPr>
        <w:pStyle w:val="TextBody"/>
        <w:spacing w:lineRule="auto" w:line="288" w:before="0" w:after="180"/>
        <w:ind w:left="0" w:right="0" w:hanging="720"/>
        <w:rPr/>
      </w:pPr>
      <w:r>
        <w:rPr>
          <w:rFonts w:ascii="Arial;sans-serif" w:hAnsi="Arial;sans-serif"/>
          <w:b w:val="false"/>
          <w:color w:val="010101"/>
          <w:sz w:val="20"/>
        </w:rPr>
        <w:t>(A)    Breaches any term of the Credit Agreement</w:t>
      </w:r>
      <w:r>
        <w:rPr>
          <w:rFonts w:ascii="Arial;sans-serif" w:hAnsi="Arial;sans-serif"/>
          <w:b w:val="false"/>
          <w:color w:val="1A1A1A"/>
          <w:sz w:val="20"/>
        </w:rPr>
        <w:t xml:space="preserve">; </w:t>
      </w:r>
      <w:r>
        <w:rPr>
          <w:rFonts w:ascii="Arial;sans-serif" w:hAnsi="Arial;sans-serif"/>
          <w:b w:val="false"/>
          <w:color w:val="010101"/>
          <w:sz w:val="20"/>
        </w:rPr>
        <w:t>or</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would, or would be reasonably likely to, affect any rights or powers of the relevant Chargor arising from its legal or beneficial ownership of the Investment or the Shares.</w:t>
      </w:r>
    </w:p>
    <w:p>
      <w:pPr>
        <w:pStyle w:val="TextBody"/>
        <w:spacing w:lineRule="auto" w:line="288" w:before="0" w:after="180"/>
        <w:ind w:left="0" w:right="0" w:hanging="720"/>
        <w:jc w:val="both"/>
        <w:rPr/>
      </w:pPr>
      <w:r>
        <w:rPr>
          <w:rFonts w:ascii="Arial;sans-serif" w:hAnsi="Arial;sans-serif"/>
          <w:b w:val="false"/>
          <w:color w:val="010101"/>
          <w:sz w:val="20"/>
        </w:rPr>
        <w:t>(ii)    Whilst an Event of Default is continuing, it shall not</w:t>
      </w:r>
      <w:r>
        <w:rPr>
          <w:rFonts w:ascii="Arial;sans-serif" w:hAnsi="Arial;sans-serif"/>
          <w:b w:val="false"/>
          <w:color w:val="1A1A1A"/>
          <w:sz w:val="20"/>
        </w:rPr>
        <w:t xml:space="preserve">, </w:t>
      </w:r>
      <w:r>
        <w:rPr>
          <w:rFonts w:ascii="Arial;sans-serif" w:hAnsi="Arial;sans-serif"/>
          <w:b w:val="false"/>
          <w:color w:val="010101"/>
          <w:sz w:val="20"/>
        </w:rPr>
        <w:t>without the prior written consent of the Administrative Agent, exercise or refrain from exercising (or direct the same) any of the powers or rights conferred upon or exercisable by the legal or beneficial owner of the Investments or the Shares.</w:t>
      </w:r>
    </w:p>
    <w:p>
      <w:pPr>
        <w:pStyle w:val="TextBody"/>
        <w:spacing w:lineRule="auto" w:line="288" w:before="0" w:after="180"/>
        <w:ind w:left="0" w:right="0" w:hanging="720"/>
        <w:rPr/>
      </w:pPr>
      <w:r>
        <w:rPr>
          <w:rFonts w:ascii="Arial;sans-serif" w:hAnsi="Arial;sans-serif"/>
          <w:b w:val="false"/>
          <w:color w:val="010101"/>
          <w:sz w:val="20"/>
        </w:rPr>
        <w:t>(b)    </w:t>
      </w:r>
      <w:r>
        <w:rPr>
          <w:rFonts w:ascii="Arial;sans-serif" w:hAnsi="Arial;sans-serif"/>
          <w:b w:val="false"/>
          <w:i/>
          <w:color w:val="010101"/>
          <w:sz w:val="20"/>
        </w:rPr>
        <w:t>Registration of Transfers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If requested by the Administrative Agent at any time whilst an Event of Default is continuing, it shall procure that all Investments and Shares which are in registered form are duly registered in the name of the Administrative Agent or its nominee once a transfer relating to those Investments and Shares is presented for that purpose.</w:t>
      </w:r>
    </w:p>
    <w:p>
      <w:pPr>
        <w:pStyle w:val="TextBody"/>
        <w:spacing w:lineRule="auto" w:line="288" w:before="0" w:after="180"/>
        <w:ind w:left="0" w:right="0" w:hanging="720"/>
        <w:rPr/>
      </w:pPr>
      <w:r>
        <w:rPr>
          <w:rFonts w:ascii="Arial;sans-serif" w:hAnsi="Arial;sans-serif"/>
          <w:b w:val="false"/>
          <w:color w:val="010101"/>
          <w:sz w:val="20"/>
        </w:rPr>
        <w:t>(c)    </w:t>
      </w:r>
      <w:r>
        <w:rPr>
          <w:rFonts w:ascii="Arial;sans-serif" w:hAnsi="Arial;sans-serif"/>
          <w:b w:val="false"/>
          <w:i/>
          <w:color w:val="010101"/>
          <w:sz w:val="20"/>
        </w:rPr>
        <w:t>Clearance Systems etc</w:t>
      </w:r>
    </w:p>
    <w:p>
      <w:pPr>
        <w:pStyle w:val="TextBody"/>
        <w:spacing w:lineRule="auto" w:line="288" w:before="0" w:after="180"/>
        <w:jc w:val="both"/>
        <w:rPr/>
      </w:pPr>
      <w:r>
        <w:rPr>
          <w:rFonts w:ascii="Arial;sans-serif" w:hAnsi="Arial;sans-serif"/>
          <w:b w:val="false"/>
          <w:color w:val="010101"/>
          <w:sz w:val="20"/>
        </w:rPr>
        <w:t>If requested by the Administrative Agent at any time whilst an Event of Default is continuing, it shall instruct any clearance system, settlement system</w:t>
      </w:r>
      <w:r>
        <w:rPr>
          <w:rFonts w:ascii="Arial;sans-serif" w:hAnsi="Arial;sans-serif"/>
          <w:b w:val="false"/>
          <w:color w:val="1A1A1A"/>
          <w:sz w:val="20"/>
        </w:rPr>
        <w:t xml:space="preserve">, </w:t>
      </w:r>
      <w:r>
        <w:rPr>
          <w:rFonts w:ascii="Arial;sans-serif" w:hAnsi="Arial;sans-serif"/>
          <w:b w:val="false"/>
          <w:color w:val="010101"/>
          <w:sz w:val="20"/>
        </w:rPr>
        <w:t xml:space="preserve">custodian or similar person to transfer any Investments then held by any such person for its or some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050"/>
                <wp:effectExtent l="0" t="0" r="0" b="0"/>
                <wp:wrapNone/>
                <wp:docPr id="489" name="Frame4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13</w:t>
                      </w:r>
                    </w:p>
                  </w:txbxContent>
                </v:textbox>
              </v:rect>
            </w:pict>
          </mc:Fallback>
        </mc:AlternateContent>
      </w:r>
    </w:p>
    <w:p>
      <w:pPr>
        <w:pStyle w:val="TextBody"/>
        <w:spacing w:lineRule="auto" w:line="288" w:before="0" w:after="180"/>
        <w:jc w:val="both"/>
        <w:rPr/>
      </w:pPr>
      <w:r>
        <w:rPr>
          <w:rFonts w:ascii="Arial;sans-serif" w:hAnsi="Arial;sans-serif"/>
          <w:b w:val="false"/>
          <w:color w:val="010101"/>
          <w:sz w:val="20"/>
        </w:rPr>
        <w:t>nominee's account to the account of the Administrative Agent (or its nominee) with such clearance system (or as otherwise required by the Administrative Agent)</w:t>
      </w:r>
      <w:r>
        <w:rPr>
          <w:rFonts w:ascii="Arial;sans-serif" w:hAnsi="Arial;sans-serif"/>
          <w:b w:val="false"/>
          <w:color w:val="3B3B3B"/>
          <w:sz w:val="20"/>
        </w:rPr>
        <w:t>.</w:t>
      </w:r>
    </w:p>
    <w:p>
      <w:pPr>
        <w:pStyle w:val="TextBody"/>
        <w:spacing w:lineRule="auto" w:line="288" w:before="0" w:after="180"/>
        <w:ind w:left="0" w:right="0" w:hanging="720"/>
        <w:rPr/>
      </w:pPr>
      <w:r>
        <w:rPr>
          <w:rFonts w:ascii="Arial;sans-serif" w:hAnsi="Arial;sans-serif"/>
          <w:b w:val="false"/>
          <w:color w:val="010101"/>
          <w:sz w:val="20"/>
        </w:rPr>
        <w:t>(d)    </w:t>
      </w:r>
      <w:r>
        <w:rPr>
          <w:rFonts w:ascii="Arial;sans-serif" w:hAnsi="Arial;sans-serif"/>
          <w:b w:val="false"/>
          <w:i/>
          <w:color w:val="010101"/>
          <w:sz w:val="20"/>
        </w:rPr>
        <w:t>Dividends</w:t>
      </w:r>
    </w:p>
    <w:p>
      <w:pPr>
        <w:pStyle w:val="TextBody"/>
        <w:spacing w:lineRule="auto" w:line="288" w:before="0" w:after="180"/>
        <w:ind w:left="0" w:right="0" w:hanging="720"/>
        <w:jc w:val="both"/>
        <w:rPr/>
      </w:pPr>
      <w:r>
        <w:rPr>
          <w:rFonts w:ascii="Arial;sans-serif" w:hAnsi="Arial;sans-serif"/>
          <w:b w:val="false"/>
          <w:color w:val="010101"/>
          <w:sz w:val="20"/>
        </w:rPr>
        <w:t>(i)    Prior to the occurrence of an Event of Default which is continuing</w:t>
      </w:r>
      <w:r>
        <w:rPr>
          <w:rFonts w:ascii="Arial;sans-serif" w:hAnsi="Arial;sans-serif"/>
          <w:b w:val="false"/>
          <w:color w:val="1A1A1A"/>
          <w:sz w:val="20"/>
        </w:rPr>
        <w:t xml:space="preserve">, </w:t>
      </w:r>
      <w:r>
        <w:rPr>
          <w:rFonts w:ascii="Arial;sans-serif" w:hAnsi="Arial;sans-serif"/>
          <w:b w:val="false"/>
          <w:color w:val="010101"/>
          <w:sz w:val="20"/>
        </w:rPr>
        <w:t>it shall be entitled to receive and retain all dividends</w:t>
      </w:r>
      <w:r>
        <w:rPr>
          <w:rFonts w:ascii="Arial;sans-serif" w:hAnsi="Arial;sans-serif"/>
          <w:b w:val="false"/>
          <w:color w:val="1A1A1A"/>
          <w:sz w:val="20"/>
        </w:rPr>
        <w:t xml:space="preserve">, </w:t>
      </w:r>
      <w:r>
        <w:rPr>
          <w:rFonts w:ascii="Arial;sans-serif" w:hAnsi="Arial;sans-serif"/>
          <w:b w:val="false"/>
          <w:color w:val="010101"/>
          <w:sz w:val="20"/>
        </w:rPr>
        <w:t>distributions and other monies paid on or derived from its Shares and Investments</w:t>
      </w:r>
      <w:r>
        <w:rPr>
          <w:rFonts w:ascii="Arial;sans-serif" w:hAnsi="Arial;sans-serif"/>
          <w:b w:val="false"/>
          <w:color w:val="3B3B3B"/>
          <w:sz w:val="20"/>
        </w:rPr>
        <w:t>.</w:t>
      </w:r>
    </w:p>
    <w:p>
      <w:pPr>
        <w:pStyle w:val="TextBody"/>
        <w:spacing w:lineRule="auto" w:line="288" w:before="0" w:after="180"/>
        <w:ind w:left="0" w:right="0" w:hanging="720"/>
        <w:jc w:val="both"/>
        <w:rPr/>
      </w:pPr>
      <w:r>
        <w:rPr>
          <w:rFonts w:ascii="Arial;sans-serif" w:hAnsi="Arial;sans-serif"/>
          <w:b w:val="false"/>
          <w:color w:val="010101"/>
          <w:sz w:val="20"/>
        </w:rPr>
        <w:t>(ii)    Whilst an Event of Default is continuing</w:t>
      </w:r>
      <w:r>
        <w:rPr>
          <w:rFonts w:ascii="Arial;sans-serif" w:hAnsi="Arial;sans-serif"/>
          <w:b w:val="false"/>
          <w:color w:val="1A1A1A"/>
          <w:sz w:val="20"/>
        </w:rPr>
        <w:t xml:space="preserve">, </w:t>
      </w:r>
      <w:r>
        <w:rPr>
          <w:rFonts w:ascii="Arial;sans-serif" w:hAnsi="Arial;sans-serif"/>
          <w:b w:val="false"/>
          <w:color w:val="010101"/>
          <w:sz w:val="20"/>
        </w:rPr>
        <w:t>it shall promptly pay all dividends or other monies received by it in respect of the Investments and the Shares into a SVB Operating Account.</w:t>
      </w:r>
    </w:p>
    <w:p>
      <w:pPr>
        <w:pStyle w:val="TextBody"/>
        <w:spacing w:lineRule="auto" w:line="288" w:before="0" w:after="180"/>
        <w:ind w:left="0" w:right="0" w:hanging="720"/>
        <w:rPr>
          <w:rFonts w:ascii="Arial;sans-serif" w:hAnsi="Arial;sans-serif"/>
          <w:b w:val="false"/>
          <w:color w:val="010101"/>
          <w:sz w:val="20"/>
        </w:rPr>
      </w:pPr>
      <w:r>
        <w:rPr>
          <w:rFonts w:ascii="Arial;sans-serif" w:hAnsi="Arial;sans-serif"/>
          <w:b w:val="false"/>
          <w:color w:val="010101"/>
          <w:sz w:val="20"/>
        </w:rPr>
        <w:t>(e)    Nominees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It shall notify the Administrative Agent promptly (but in any event within 10 Business Days) after appointing any nominee to exercise or enjoy all or any of its rights in relation to the Investments or the Shares.</w:t>
      </w:r>
    </w:p>
    <w:p>
      <w:pPr>
        <w:pStyle w:val="TextBody"/>
        <w:spacing w:lineRule="auto" w:line="288" w:before="0" w:after="180"/>
        <w:ind w:left="0" w:right="0" w:hanging="720"/>
        <w:rPr/>
      </w:pPr>
      <w:r>
        <w:rPr>
          <w:rFonts w:ascii="Arial;sans-serif" w:hAnsi="Arial;sans-serif"/>
          <w:b w:val="false"/>
          <w:color w:val="010101"/>
          <w:sz w:val="20"/>
        </w:rPr>
        <w:t>7.4    </w:t>
      </w:r>
      <w:r>
        <w:rPr>
          <w:rFonts w:ascii="Arial;sans-serif" w:hAnsi="Arial;sans-serif"/>
          <w:b/>
          <w:i/>
          <w:color w:val="010101"/>
          <w:sz w:val="20"/>
        </w:rPr>
        <w:t>Receivables</w:t>
      </w:r>
    </w:p>
    <w:p>
      <w:pPr>
        <w:pStyle w:val="TextBody"/>
        <w:spacing w:lineRule="auto" w:line="288" w:before="0" w:after="180"/>
        <w:ind w:left="0" w:right="0" w:hanging="720"/>
        <w:jc w:val="both"/>
        <w:rPr/>
      </w:pPr>
      <w:r>
        <w:rPr>
          <w:rFonts w:ascii="Arial;sans-serif" w:hAnsi="Arial;sans-serif"/>
          <w:b w:val="false"/>
          <w:color w:val="010101"/>
          <w:sz w:val="20"/>
        </w:rPr>
        <w:t>(a)    During the Security Period</w:t>
      </w:r>
      <w:r>
        <w:rPr>
          <w:rFonts w:ascii="Arial;sans-serif" w:hAnsi="Arial;sans-serif"/>
          <w:b w:val="false"/>
          <w:color w:val="1C1C1C"/>
          <w:sz w:val="20"/>
        </w:rPr>
        <w:t xml:space="preserve">, </w:t>
      </w:r>
      <w:r>
        <w:rPr>
          <w:rFonts w:ascii="Arial;sans-serif" w:hAnsi="Arial;sans-serif"/>
          <w:b w:val="false"/>
          <w:color w:val="010101"/>
          <w:sz w:val="20"/>
        </w:rPr>
        <w:t>each Chargor shall</w:t>
      </w:r>
      <w:r>
        <w:rPr>
          <w:rFonts w:ascii="Arial;sans-serif" w:hAnsi="Arial;sans-serif"/>
          <w:b w:val="false"/>
          <w:color w:val="1C1C1C"/>
          <w:sz w:val="20"/>
        </w:rPr>
        <w: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(i)    collect and realise all Receivables (other than UK Receivables) in the ordinary course of its business</w:t>
      </w:r>
    </w:p>
    <w:p>
      <w:pPr>
        <w:pStyle w:val="TextBody"/>
        <w:spacing w:lineRule="auto" w:line="288" w:before="0" w:after="180"/>
        <w:ind w:left="0" w:right="0" w:hanging="720"/>
        <w:jc w:val="both"/>
        <w:rPr/>
      </w:pPr>
      <w:r>
        <w:rPr>
          <w:rFonts w:ascii="Arial;sans-serif" w:hAnsi="Arial;sans-serif"/>
          <w:b w:val="false"/>
          <w:color w:val="010101"/>
          <w:sz w:val="20"/>
        </w:rPr>
        <w:t>(ii)    whilst an Event of Default is continuing, not at any time factor or discount any of such UK Receivables or their proceeds or enter into any agreement for such factoring or discounting and shall not, without the prior written consent of the Administrative Agent (not to be unreasonably withheld or delayed)</w:t>
      </w:r>
      <w:r>
        <w:rPr>
          <w:rFonts w:ascii="Arial;sans-serif" w:hAnsi="Arial;sans-serif"/>
          <w:b w:val="false"/>
          <w:color w:val="1C1C1C"/>
          <w:sz w:val="20"/>
        </w:rPr>
        <w:t xml:space="preserve">, </w:t>
      </w:r>
      <w:r>
        <w:rPr>
          <w:rFonts w:ascii="Arial;sans-serif" w:hAnsi="Arial;sans-serif"/>
          <w:b w:val="false"/>
          <w:color w:val="010101"/>
          <w:sz w:val="20"/>
        </w:rPr>
        <w:t>release</w:t>
      </w:r>
      <w:r>
        <w:rPr>
          <w:rFonts w:ascii="Arial;sans-serif" w:hAnsi="Arial;sans-serif"/>
          <w:b w:val="false"/>
          <w:color w:val="1C1C1C"/>
          <w:sz w:val="20"/>
        </w:rPr>
        <w:t xml:space="preserve">, </w:t>
      </w:r>
      <w:r>
        <w:rPr>
          <w:rFonts w:ascii="Arial;sans-serif" w:hAnsi="Arial;sans-serif"/>
          <w:b w:val="false"/>
          <w:color w:val="010101"/>
          <w:sz w:val="20"/>
        </w:rPr>
        <w:t>exchange, compound</w:t>
      </w:r>
      <w:r>
        <w:rPr>
          <w:rFonts w:ascii="Arial;sans-serif" w:hAnsi="Arial;sans-serif"/>
          <w:b w:val="false"/>
          <w:color w:val="1C1C1C"/>
          <w:sz w:val="20"/>
        </w:rPr>
        <w:t xml:space="preserve">, </w:t>
      </w:r>
      <w:r>
        <w:rPr>
          <w:rFonts w:ascii="Arial;sans-serif" w:hAnsi="Arial;sans-serif"/>
          <w:b w:val="false"/>
          <w:color w:val="010101"/>
          <w:sz w:val="20"/>
        </w:rPr>
        <w:t>set off</w:t>
      </w:r>
      <w:r>
        <w:rPr>
          <w:rFonts w:ascii="Arial;sans-serif" w:hAnsi="Arial;sans-serif"/>
          <w:b w:val="false"/>
          <w:color w:val="1C1C1C"/>
          <w:sz w:val="20"/>
        </w:rPr>
        <w:t xml:space="preserve">, </w:t>
      </w:r>
      <w:r>
        <w:rPr>
          <w:rFonts w:ascii="Arial;sans-serif" w:hAnsi="Arial;sans-serif"/>
          <w:b w:val="false"/>
          <w:color w:val="010101"/>
          <w:sz w:val="20"/>
        </w:rPr>
        <w:t>grant time or indulgence in respect of</w:t>
      </w:r>
      <w:r>
        <w:rPr>
          <w:rFonts w:ascii="Arial;sans-serif" w:hAnsi="Arial;sans-serif"/>
          <w:b w:val="false"/>
          <w:color w:val="1C1C1C"/>
          <w:sz w:val="20"/>
        </w:rPr>
        <w:t xml:space="preserve">, </w:t>
      </w:r>
      <w:r>
        <w:rPr>
          <w:rFonts w:ascii="Arial;sans-serif" w:hAnsi="Arial;sans-serif"/>
          <w:b w:val="false"/>
          <w:color w:val="010101"/>
          <w:sz w:val="20"/>
        </w:rPr>
        <w:t>or in any other manner deal with all or any of such UK Receivables or their proceeds</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(iii)    if called upon so to do by the Administrative Agent at any time whilst an Event of Default is continuing</w:t>
      </w:r>
      <w:r>
        <w:rPr>
          <w:rFonts w:ascii="Arial;sans-serif" w:hAnsi="Arial;sans-serif"/>
          <w:b w:val="false"/>
          <w:color w:val="1C1C1C"/>
          <w:sz w:val="20"/>
        </w:rPr>
        <w:t xml:space="preserve">, </w:t>
      </w:r>
      <w:r>
        <w:rPr>
          <w:rFonts w:ascii="Arial;sans-serif" w:hAnsi="Arial;sans-serif"/>
          <w:b w:val="false"/>
          <w:color w:val="010101"/>
          <w:sz w:val="20"/>
        </w:rPr>
        <w:t>execute a legal assignment of the UK Receivables to the Administrative Agent in such terms as the Administrative Agent in its discretion may require</w:t>
      </w:r>
      <w:r>
        <w:rPr>
          <w:rFonts w:ascii="Arial;sans-serif" w:hAnsi="Arial;sans-serif"/>
          <w:b w:val="false"/>
          <w:color w:val="1C1C1C"/>
          <w:sz w:val="20"/>
        </w:rPr>
        <w:t xml:space="preserve">, </w:t>
      </w:r>
      <w:r>
        <w:rPr>
          <w:rFonts w:ascii="Arial;sans-serif" w:hAnsi="Arial;sans-serif"/>
          <w:b w:val="false"/>
          <w:color w:val="010101"/>
          <w:sz w:val="20"/>
        </w:rPr>
        <w:t>give such notice of that legal assignment to the debtors from whom the UK Receivables are due, owing or incurred and take any such other step as the Administrative Agent in its discretion may require to perfect such legal assignment.</w:t>
      </w:r>
    </w:p>
    <w:p>
      <w:pPr>
        <w:pStyle w:val="TextBody"/>
        <w:spacing w:lineRule="auto" w:line="288" w:before="0" w:after="180"/>
        <w:ind w:left="0" w:right="0" w:hanging="720"/>
        <w:jc w:val="both"/>
        <w:rPr/>
      </w:pPr>
      <w:r>
        <w:rPr>
          <w:rFonts w:ascii="Arial;sans-serif" w:hAnsi="Arial;sans-serif"/>
          <w:b w:val="false"/>
          <w:color w:val="010101"/>
          <w:sz w:val="20"/>
        </w:rPr>
        <w:t>(b)    </w:t>
      </w:r>
      <w:r>
        <w:rPr>
          <w:rFonts w:ascii="Arial;sans-serif" w:hAnsi="Arial;sans-serif"/>
          <w:b w:val="false"/>
          <w:i/>
          <w:color w:val="010101"/>
          <w:sz w:val="20"/>
        </w:rPr>
        <w:t>Other Bank Accounts</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(i)    Whilst an Event of Default is continuing, if the Administrative Agent has served written notice on the Chargors requiring the same, no Chargor shall, except with the prior written consent of the Administrative Agent, withdraw or attempt or be entitled to withdraw from any of its bank accounts (including the SVB Operating Accounts and the Third Party Accounts) all or any monies standing to the credit of such bank accounts.</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(ii)    The Administrative Agent shall not request any information regarding the bank accounts from an account bank unless an Event of Default is continuing or it is otherwise permitted to do so under the terms of the Credit Agreement.</w:t>
      </w:r>
    </w:p>
    <w:p>
      <w:pPr>
        <w:pStyle w:val="TextBody"/>
        <w:spacing w:lineRule="auto" w:line="288" w:before="0" w:after="180"/>
        <w:ind w:left="0" w:right="0" w:hanging="720"/>
        <w:jc w:val="both"/>
        <w:rPr/>
      </w:pPr>
      <w:r>
        <w:rPr>
          <w:rFonts w:ascii="Arial;sans-serif" w:hAnsi="Arial;sans-serif"/>
          <w:b w:val="false"/>
          <w:color w:val="010101"/>
          <w:sz w:val="20"/>
        </w:rPr>
        <w:t>(c)    This Clause 7.4 does not impose any affirmative duty on the Administrative Agent to perform any act in respect of the Receivables or otherwise</w:t>
      </w:r>
      <w:r>
        <w:rPr>
          <w:rFonts w:ascii="Arial;sans-serif" w:hAnsi="Arial;sans-serif"/>
          <w:b w:val="false"/>
          <w:color w:val="1C1C1C"/>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050"/>
                <wp:effectExtent l="0" t="0" r="0" b="0"/>
                <wp:wrapNone/>
                <wp:docPr id="490" name="Frame48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14</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7.5    </w:t>
      </w:r>
      <w:r>
        <w:rPr>
          <w:rFonts w:ascii="Arial;sans-serif" w:hAnsi="Arial;sans-serif"/>
          <w:b/>
          <w:i/>
          <w:color w:val="010101"/>
          <w:sz w:val="20"/>
        </w:rPr>
        <w:t>Power to Remedy</w:t>
      </w:r>
    </w:p>
    <w:p>
      <w:pPr>
        <w:pStyle w:val="TextBody"/>
        <w:spacing w:lineRule="auto" w:line="288" w:before="0" w:after="180"/>
        <w:jc w:val="both"/>
        <w:rPr/>
      </w:pPr>
      <w:r>
        <w:rPr>
          <w:rFonts w:ascii="Arial;sans-serif" w:hAnsi="Arial;sans-serif"/>
          <w:b w:val="false"/>
          <w:color w:val="010101"/>
          <w:sz w:val="20"/>
        </w:rPr>
        <w:t>If a Chargor fails to comply with any covenant set out in clause 7</w:t>
      </w:r>
      <w:r>
        <w:rPr>
          <w:rFonts w:ascii="Arial;sans-serif" w:hAnsi="Arial;sans-serif"/>
          <w:b w:val="false"/>
          <w:color w:val="3F3F3F"/>
          <w:sz w:val="20"/>
        </w:rPr>
        <w:t>.</w:t>
      </w:r>
      <w:r>
        <w:rPr>
          <w:rFonts w:ascii="Arial;sans-serif" w:hAnsi="Arial;sans-serif"/>
          <w:b w:val="false"/>
          <w:color w:val="010101"/>
          <w:sz w:val="20"/>
        </w:rPr>
        <w:t xml:space="preserve">2 </w:t>
      </w:r>
      <w:r>
        <w:rPr>
          <w:rFonts w:ascii="Arial;sans-serif" w:hAnsi="Arial;sans-serif"/>
          <w:b w:val="false"/>
          <w:i/>
          <w:color w:val="010101"/>
          <w:sz w:val="20"/>
        </w:rPr>
        <w:t xml:space="preserve">(General Undertakings) </w:t>
      </w:r>
      <w:r>
        <w:rPr>
          <w:rFonts w:ascii="Arial;sans-serif" w:hAnsi="Arial;sans-serif"/>
          <w:b w:val="false"/>
          <w:color w:val="010101"/>
          <w:sz w:val="20"/>
        </w:rPr>
        <w:t xml:space="preserve">to 7.4 </w:t>
      </w:r>
      <w:r>
        <w:rPr>
          <w:rFonts w:ascii="Arial;sans-serif" w:hAnsi="Arial;sans-serif"/>
          <w:b w:val="false"/>
          <w:i/>
          <w:color w:val="010101"/>
          <w:sz w:val="20"/>
        </w:rPr>
        <w:t xml:space="preserve">(Receivables) </w:t>
      </w:r>
      <w:r>
        <w:rPr>
          <w:rFonts w:ascii="Arial;sans-serif" w:hAnsi="Arial;sans-serif"/>
          <w:b w:val="false"/>
          <w:color w:val="010101"/>
          <w:sz w:val="20"/>
        </w:rPr>
        <w:t>(inclusive), and that failure is not remedied within 10 Business Days of the Administrative Agent giving notice to the relevant Chargor or the relevant Chargor becoming aware of the failure to comply</w:t>
      </w:r>
      <w:r>
        <w:rPr>
          <w:rFonts w:ascii="Arial;sans-serif" w:hAnsi="Arial;sans-serif"/>
          <w:b w:val="false"/>
          <w:color w:val="1C1C1C"/>
          <w:sz w:val="20"/>
        </w:rPr>
        <w:t xml:space="preserve">, </w:t>
      </w:r>
      <w:r>
        <w:rPr>
          <w:rFonts w:ascii="Arial;sans-serif" w:hAnsi="Arial;sans-serif"/>
          <w:b w:val="false"/>
          <w:color w:val="010101"/>
          <w:sz w:val="20"/>
        </w:rPr>
        <w:t>it will allow (and irrevocably authorises) the Administrative Agent or any Receiver to take any action on its behalf which the Administrative Agent or the Receiver deems necessary to ensure that those covenants are complied with</w:t>
      </w:r>
      <w:r>
        <w:rPr>
          <w:rFonts w:ascii="Arial;sans-serif" w:hAnsi="Arial;sans-serif"/>
          <w:b w:val="false"/>
          <w:color w:val="3F3F3F"/>
          <w:sz w:val="20"/>
        </w:rPr>
        <w:t xml:space="preserve">. </w:t>
      </w:r>
      <w:r>
        <w:rPr>
          <w:rFonts w:ascii="Arial;sans-serif" w:hAnsi="Arial;sans-serif"/>
          <w:b w:val="false"/>
          <w:color w:val="010101"/>
          <w:sz w:val="20"/>
        </w:rPr>
        <w:t>The relevant Chargor shall reimburse to the Administrative Agent and/or any Receiver, on demand, all amounts expended by the Administrative Agent or any Receiver in remedying such failure together with interest at the Default Rate from the date of payment by the Administrative Agent or Receiver (as the case may be) until the date of reimbursement.</w:t>
      </w:r>
    </w:p>
    <w:p>
      <w:pPr>
        <w:pStyle w:val="TextBody"/>
        <w:spacing w:lineRule="auto" w:line="288" w:before="0" w:after="180"/>
        <w:ind w:left="0" w:right="0" w:hanging="720"/>
        <w:rPr/>
      </w:pPr>
      <w:r>
        <w:rPr>
          <w:rFonts w:ascii="Arial;sans-serif" w:hAnsi="Arial;sans-serif"/>
          <w:b w:val="false"/>
          <w:color w:val="010101"/>
          <w:sz w:val="20"/>
        </w:rPr>
        <w:t>7.6    </w:t>
      </w:r>
      <w:r>
        <w:rPr>
          <w:rFonts w:ascii="Arial;sans-serif" w:hAnsi="Arial;sans-serif"/>
          <w:b/>
          <w:i/>
          <w:color w:val="010101"/>
          <w:sz w:val="20"/>
        </w:rPr>
        <w:t>To repair</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Each Chargor shall:</w:t>
      </w:r>
    </w:p>
    <w:p>
      <w:pPr>
        <w:pStyle w:val="TextBody"/>
        <w:spacing w:lineRule="auto" w:line="288" w:before="0" w:after="180"/>
        <w:ind w:left="0" w:right="0" w:hanging="720"/>
        <w:rPr/>
      </w:pPr>
      <w:r>
        <w:rPr>
          <w:rFonts w:ascii="Arial;sans-serif" w:hAnsi="Arial;sans-serif"/>
          <w:b w:val="false"/>
          <w:color w:val="010101"/>
          <w:sz w:val="20"/>
        </w:rPr>
        <w:t>(a)    at all times keep in good and substantial repair and condition all the Property including all buildings, erections and structures on and in the Property</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(b)    keep all Plant and Machinery in good repair, working order and condition and fit for its purpose</w:t>
      </w:r>
      <w:r>
        <w:rPr>
          <w:rFonts w:ascii="Arial;sans-serif" w:hAnsi="Arial;sans-serif"/>
          <w:b w:val="false"/>
          <w:color w:val="1C1C1C"/>
          <w:sz w:val="20"/>
        </w:rPr>
        <w:t xml:space="preserve">, </w:t>
      </w:r>
      <w:r>
        <w:rPr>
          <w:rFonts w:ascii="Arial;sans-serif" w:hAnsi="Arial;sans-serif"/>
          <w:b w:val="false"/>
          <w:color w:val="010101"/>
          <w:sz w:val="20"/>
        </w:rPr>
        <w:t>subject to normal wear and tear.</w:t>
      </w:r>
    </w:p>
    <w:p>
      <w:pPr>
        <w:pStyle w:val="TextBody"/>
        <w:spacing w:lineRule="auto" w:line="288" w:before="0" w:after="180"/>
        <w:ind w:left="0" w:right="0" w:hanging="720"/>
        <w:rPr/>
      </w:pPr>
      <w:r>
        <w:rPr>
          <w:rFonts w:ascii="Arial;sans-serif" w:hAnsi="Arial;sans-serif"/>
          <w:b w:val="false"/>
          <w:color w:val="010101"/>
          <w:sz w:val="20"/>
        </w:rPr>
        <w:t>7.7    </w:t>
      </w:r>
      <w:r>
        <w:rPr>
          <w:rFonts w:ascii="Arial;sans-serif" w:hAnsi="Arial;sans-serif"/>
          <w:b/>
          <w:i/>
          <w:color w:val="010101"/>
          <w:sz w:val="20"/>
        </w:rPr>
        <w:t>To allow entry</w:t>
      </w:r>
    </w:p>
    <w:p>
      <w:pPr>
        <w:pStyle w:val="TextBody"/>
        <w:spacing w:lineRule="auto" w:line="288" w:before="0" w:after="180"/>
        <w:jc w:val="both"/>
        <w:rPr/>
      </w:pPr>
      <w:r>
        <w:rPr>
          <w:rFonts w:ascii="Arial;sans-serif" w:hAnsi="Arial;sans-serif"/>
          <w:b w:val="false"/>
          <w:color w:val="010101"/>
          <w:sz w:val="20"/>
        </w:rPr>
        <w:t>Each Chargor shall</w:t>
      </w:r>
      <w:r>
        <w:rPr>
          <w:rFonts w:ascii="Arial;sans-serif" w:hAnsi="Arial;sans-serif"/>
          <w:b w:val="false"/>
          <w:color w:val="1C1C1C"/>
          <w:sz w:val="20"/>
        </w:rPr>
        <w:t xml:space="preserve">, </w:t>
      </w:r>
      <w:r>
        <w:rPr>
          <w:rFonts w:ascii="Arial;sans-serif" w:hAnsi="Arial;sans-serif"/>
          <w:b w:val="false"/>
          <w:color w:val="010101"/>
          <w:sz w:val="20"/>
        </w:rPr>
        <w:t xml:space="preserve">at reasonable times on five business Days' notice </w:t>
      </w:r>
      <w:r>
        <w:rPr>
          <w:rFonts w:ascii="Arial;sans-serif" w:hAnsi="Arial;sans-serif"/>
          <w:b/>
          <w:color w:val="010101"/>
          <w:sz w:val="20"/>
        </w:rPr>
        <w:t xml:space="preserve">(provided that </w:t>
      </w:r>
      <w:r>
        <w:rPr>
          <w:rFonts w:ascii="Arial;sans-serif" w:hAnsi="Arial;sans-serif"/>
          <w:b w:val="false"/>
          <w:color w:val="010101"/>
          <w:sz w:val="20"/>
        </w:rPr>
        <w:t>no notice is required whilst an Event of Default is continuing) allow, and shall procure that any person occupying the whole or any part of the Property under any lease will allow</w:t>
      </w:r>
      <w:r>
        <w:rPr>
          <w:rFonts w:ascii="Arial;sans-serif" w:hAnsi="Arial;sans-serif"/>
          <w:b w:val="false"/>
          <w:color w:val="1C1C1C"/>
          <w:sz w:val="20"/>
        </w:rPr>
        <w:t xml:space="preserve">, </w:t>
      </w:r>
      <w:r>
        <w:rPr>
          <w:rFonts w:ascii="Arial;sans-serif" w:hAnsi="Arial;sans-serif"/>
          <w:b w:val="false"/>
          <w:color w:val="010101"/>
          <w:sz w:val="20"/>
        </w:rPr>
        <w:t>the Administrative Agent and its agents, with or without surveyors, workmen or others authorised by it upon five (5) Business Days' prior notice (except in an emergency) to enter the Property from time to time in order to view the Property</w:t>
      </w:r>
      <w:r>
        <w:rPr>
          <w:rFonts w:ascii="Arial;sans-serif" w:hAnsi="Arial;sans-serif"/>
          <w:b w:val="false"/>
          <w:color w:val="1C1C1C"/>
          <w:sz w:val="20"/>
        </w:rPr>
        <w:t xml:space="preserve">, </w:t>
      </w:r>
      <w:r>
        <w:rPr>
          <w:rFonts w:ascii="Arial;sans-serif" w:hAnsi="Arial;sans-serif"/>
          <w:b w:val="false"/>
          <w:color w:val="010101"/>
          <w:sz w:val="20"/>
        </w:rPr>
        <w:t>to carry out any repairs on the Property which the Administrative Agent considers necessary or to do anything the Administrative Agent is entitled to do pursuant to this Agreement.</w:t>
      </w:r>
    </w:p>
    <w:p>
      <w:pPr>
        <w:pStyle w:val="TextBody"/>
        <w:spacing w:lineRule="auto" w:line="288" w:before="0" w:after="180"/>
        <w:ind w:left="0" w:right="0" w:hanging="720"/>
        <w:rPr/>
      </w:pPr>
      <w:r>
        <w:rPr>
          <w:rFonts w:ascii="Arial;sans-serif" w:hAnsi="Arial;sans-serif"/>
          <w:b w:val="false"/>
          <w:color w:val="010101"/>
          <w:sz w:val="20"/>
        </w:rPr>
        <w:t>7.8    </w:t>
      </w:r>
      <w:r>
        <w:rPr>
          <w:rFonts w:ascii="Arial;sans-serif" w:hAnsi="Arial;sans-serif"/>
          <w:b/>
          <w:i/>
          <w:color w:val="010101"/>
          <w:sz w:val="20"/>
        </w:rPr>
        <w:t>Alterations</w:t>
      </w:r>
    </w:p>
    <w:p>
      <w:pPr>
        <w:pStyle w:val="TextBody"/>
        <w:spacing w:lineRule="auto" w:line="288" w:before="0" w:after="180"/>
        <w:jc w:val="both"/>
        <w:rPr/>
      </w:pPr>
      <w:r>
        <w:rPr>
          <w:rFonts w:ascii="Arial;sans-serif" w:hAnsi="Arial;sans-serif"/>
          <w:b w:val="false"/>
          <w:color w:val="010101"/>
          <w:sz w:val="20"/>
        </w:rPr>
        <w:t>Except as permitted by the Credit Agreement no Chargor shall except with the prior written consent of the Administrative Agent (not to be unreasonably withheld)</w:t>
      </w:r>
      <w:r>
        <w:rPr>
          <w:rFonts w:ascii="Arial;sans-serif" w:hAnsi="Arial;sans-serif"/>
          <w:b w:val="false"/>
          <w:color w:val="1C1C1C"/>
          <w:sz w:val="20"/>
        </w:rPr>
        <w:t xml:space="preserve">, </w:t>
      </w:r>
      <w:r>
        <w:rPr>
          <w:rFonts w:ascii="Arial;sans-serif" w:hAnsi="Arial;sans-serif"/>
          <w:b w:val="false"/>
          <w:color w:val="010101"/>
          <w:sz w:val="20"/>
        </w:rPr>
        <w:t>make any alterations to the Property</w:t>
      </w:r>
      <w:r>
        <w:rPr>
          <w:rFonts w:ascii="Arial;sans-serif" w:hAnsi="Arial;sans-serif"/>
          <w:b w:val="false"/>
          <w:color w:val="3B3B3B"/>
          <w:sz w:val="20"/>
        </w:rPr>
        <w:t>.</w:t>
      </w:r>
    </w:p>
    <w:p>
      <w:pPr>
        <w:pStyle w:val="TextBody"/>
        <w:spacing w:lineRule="auto" w:line="288" w:before="0" w:after="180"/>
        <w:ind w:left="0" w:right="0" w:hanging="720"/>
        <w:rPr/>
      </w:pPr>
      <w:r>
        <w:rPr>
          <w:rFonts w:ascii="Arial;sans-serif" w:hAnsi="Arial;sans-serif"/>
          <w:b w:val="false"/>
          <w:color w:val="010101"/>
          <w:sz w:val="20"/>
        </w:rPr>
        <w:t>8.    </w:t>
      </w:r>
      <w:r>
        <w:rPr>
          <w:rFonts w:ascii="Arial;sans-serif" w:hAnsi="Arial;sans-serif"/>
          <w:b/>
          <w:color w:val="010101"/>
          <w:sz w:val="20"/>
        </w:rPr>
        <w:t>Enforcement and Powers of the Administrative Agent</w:t>
      </w:r>
    </w:p>
    <w:p>
      <w:pPr>
        <w:pStyle w:val="TextBody"/>
        <w:spacing w:lineRule="auto" w:line="288" w:before="0" w:after="180"/>
        <w:ind w:left="0" w:right="0" w:hanging="720"/>
        <w:rPr/>
      </w:pPr>
      <w:r>
        <w:rPr>
          <w:rFonts w:ascii="Arial;sans-serif" w:hAnsi="Arial;sans-serif"/>
          <w:b w:val="false"/>
          <w:color w:val="010101"/>
          <w:sz w:val="20"/>
        </w:rPr>
        <w:t>8.1    </w:t>
      </w:r>
      <w:r>
        <w:rPr>
          <w:rFonts w:ascii="Arial;sans-serif" w:hAnsi="Arial;sans-serif"/>
          <w:b/>
          <w:i/>
          <w:color w:val="010101"/>
          <w:sz w:val="20"/>
        </w:rPr>
        <w:t>Enforcement</w:t>
      </w:r>
    </w:p>
    <w:p>
      <w:pPr>
        <w:pStyle w:val="TextBody"/>
        <w:spacing w:lineRule="auto" w:line="288" w:before="0" w:after="180"/>
        <w:jc w:val="both"/>
        <w:rPr/>
      </w:pPr>
      <w:r>
        <w:rPr>
          <w:rFonts w:ascii="Arial;sans-serif" w:hAnsi="Arial;sans-serif"/>
          <w:b w:val="false"/>
          <w:color w:val="010101"/>
          <w:sz w:val="20"/>
        </w:rPr>
        <w:t>The Security Interests created pursuant to this Deed shall become immediately enforceable following the a Declared Default, following which the Administrative Agent may in its absolute discretion and without notice to the Chargors or any of them or the prior authorisation of any court</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(a)    enforce all or any part of the Security Interests created by this Deed and take possession of or dispose of all or any of the Security Assets in each case at such times and upon such terms as it sees fit</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(b)    whether or not it has appointed a Receiver, exercise all of the powers</w:t>
      </w:r>
      <w:r>
        <w:rPr>
          <w:rFonts w:ascii="Arial;sans-serif" w:hAnsi="Arial;sans-serif"/>
          <w:b w:val="false"/>
          <w:color w:val="1C1C1C"/>
          <w:sz w:val="20"/>
        </w:rPr>
        <w:t xml:space="preserve">, </w:t>
      </w:r>
      <w:r>
        <w:rPr>
          <w:rFonts w:ascii="Arial;sans-serif" w:hAnsi="Arial;sans-serif"/>
          <w:b w:val="false"/>
          <w:color w:val="010101"/>
          <w:sz w:val="20"/>
        </w:rPr>
        <w:t>authorities and discretions: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050"/>
                <wp:effectExtent l="0" t="0" r="0" b="0"/>
                <wp:wrapNone/>
                <wp:docPr id="491" name="Frame48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15</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(i)    conferred from time to time on mortgagees by the LPA (as varied or extended by this Deed) or by law</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rPr/>
      </w:pPr>
      <w:r>
        <w:rPr>
          <w:rFonts w:ascii="Arial;sans-serif" w:hAnsi="Arial;sans-serif"/>
          <w:b w:val="false"/>
          <w:color w:val="010101"/>
          <w:sz w:val="20"/>
        </w:rPr>
        <w:t>(ii)    granted to a Receiver by this Deed or from time to time by law</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(c)    exercise all the rights</w:t>
      </w:r>
      <w:r>
        <w:rPr>
          <w:rFonts w:ascii="Arial;sans-serif" w:hAnsi="Arial;sans-serif"/>
          <w:b w:val="false"/>
          <w:color w:val="1C1C1C"/>
          <w:sz w:val="20"/>
        </w:rPr>
        <w:t xml:space="preserve">, </w:t>
      </w:r>
      <w:r>
        <w:rPr>
          <w:rFonts w:ascii="Arial;sans-serif" w:hAnsi="Arial;sans-serif"/>
          <w:b w:val="false"/>
          <w:color w:val="010101"/>
          <w:sz w:val="20"/>
        </w:rPr>
        <w:t>powers and discretions conferred on a Receiver by this Deed, the LPA</w:t>
      </w:r>
      <w:r>
        <w:rPr>
          <w:rFonts w:ascii="Arial;sans-serif" w:hAnsi="Arial;sans-serif"/>
          <w:b w:val="false"/>
          <w:color w:val="1C1C1C"/>
          <w:sz w:val="20"/>
        </w:rPr>
        <w:t xml:space="preserve">, </w:t>
      </w:r>
      <w:r>
        <w:rPr>
          <w:rFonts w:ascii="Arial;sans-serif" w:hAnsi="Arial;sans-serif"/>
          <w:b w:val="false"/>
          <w:color w:val="010101"/>
          <w:sz w:val="20"/>
        </w:rPr>
        <w:t>the Insolvency Act 1986 or otherwise by law</w:t>
      </w:r>
      <w:r>
        <w:rPr>
          <w:rFonts w:ascii="Arial;sans-serif" w:hAnsi="Arial;sans-serif"/>
          <w:b w:val="false"/>
          <w:color w:val="1C1C1C"/>
          <w:sz w:val="20"/>
        </w:rPr>
        <w:t xml:space="preserve">, </w:t>
      </w:r>
      <w:r>
        <w:rPr>
          <w:rFonts w:ascii="Arial;sans-serif" w:hAnsi="Arial;sans-serif"/>
          <w:b w:val="false"/>
          <w:color w:val="010101"/>
          <w:sz w:val="20"/>
        </w:rPr>
        <w:t>without first appointing a Receiver or notwithstanding the appointment of a Receiver.</w:t>
      </w:r>
    </w:p>
    <w:p>
      <w:pPr>
        <w:pStyle w:val="TextBody"/>
        <w:spacing w:lineRule="auto" w:line="288" w:before="0" w:after="180"/>
        <w:ind w:left="0" w:right="0" w:hanging="720"/>
        <w:rPr/>
      </w:pPr>
      <w:r>
        <w:rPr>
          <w:rFonts w:ascii="Arial;sans-serif" w:hAnsi="Arial;sans-serif"/>
          <w:b w:val="false"/>
          <w:color w:val="010101"/>
          <w:sz w:val="20"/>
        </w:rPr>
        <w:t>8.2    </w:t>
      </w:r>
      <w:r>
        <w:rPr>
          <w:rFonts w:ascii="Arial;sans-serif" w:hAnsi="Arial;sans-serif"/>
          <w:b/>
          <w:i/>
          <w:color w:val="010101"/>
          <w:sz w:val="20"/>
        </w:rPr>
        <w:t>Power of Sale, Leasing and Other Powers</w:t>
      </w:r>
    </w:p>
    <w:p>
      <w:pPr>
        <w:pStyle w:val="TextBody"/>
        <w:spacing w:lineRule="auto" w:line="288" w:before="0" w:after="180"/>
        <w:ind w:left="0" w:right="0" w:hanging="720"/>
        <w:jc w:val="both"/>
        <w:rPr/>
      </w:pPr>
      <w:r>
        <w:rPr>
          <w:rFonts w:ascii="Arial;sans-serif" w:hAnsi="Arial;sans-serif"/>
          <w:b w:val="false"/>
          <w:color w:val="010101"/>
          <w:sz w:val="20"/>
        </w:rPr>
        <w:t>(a)    For the purpose of all rights and powers implied or granted by law, the Secured Liabilities are deemed to have fallen due on the date of this Deed</w:t>
      </w:r>
      <w:r>
        <w:rPr>
          <w:rFonts w:ascii="Arial;sans-serif" w:hAnsi="Arial;sans-serif"/>
          <w:b w:val="false"/>
          <w:color w:val="3B3B3B"/>
          <w:sz w:val="20"/>
        </w:rPr>
        <w:t xml:space="preserve">. </w:t>
      </w:r>
      <w:r>
        <w:rPr>
          <w:rFonts w:ascii="Arial;sans-serif" w:hAnsi="Arial;sans-serif"/>
          <w:b w:val="false"/>
          <w:color w:val="010101"/>
          <w:sz w:val="20"/>
        </w:rPr>
        <w:t>The power of sale and other powers conferred by section 101 of the LPA and all other enforcement powers conferred by this Deed shall be immediately exercisable by the Administrative Agent following the occurrence of a Declared Default.</w:t>
      </w:r>
    </w:p>
    <w:p>
      <w:pPr>
        <w:pStyle w:val="TextBody"/>
        <w:spacing w:lineRule="auto" w:line="288" w:before="0" w:after="180"/>
        <w:ind w:left="0" w:right="0" w:hanging="720"/>
        <w:jc w:val="both"/>
        <w:rPr/>
      </w:pPr>
      <w:r>
        <w:rPr>
          <w:rFonts w:ascii="Arial;sans-serif" w:hAnsi="Arial;sans-serif"/>
          <w:b w:val="false"/>
          <w:color w:val="010101"/>
          <w:sz w:val="20"/>
        </w:rPr>
        <w:t>(b)    Following the occurrence of a Declared Default, the Administrative Agent may lease, make agreements for leases at a premium or otherwise</w:t>
      </w:r>
      <w:r>
        <w:rPr>
          <w:rFonts w:ascii="Arial;sans-serif" w:hAnsi="Arial;sans-serif"/>
          <w:b w:val="false"/>
          <w:color w:val="1C1C1C"/>
          <w:sz w:val="20"/>
        </w:rPr>
        <w:t xml:space="preserve">, </w:t>
      </w:r>
      <w:r>
        <w:rPr>
          <w:rFonts w:ascii="Arial;sans-serif" w:hAnsi="Arial;sans-serif"/>
          <w:b w:val="false"/>
          <w:color w:val="010101"/>
          <w:sz w:val="20"/>
        </w:rPr>
        <w:t>accept surrenders of leases and grant options or vary or reduce any sum payable under any leases or tenancy agreements as it thinks fit</w:t>
      </w:r>
      <w:r>
        <w:rPr>
          <w:rFonts w:ascii="Arial;sans-serif" w:hAnsi="Arial;sans-serif"/>
          <w:b w:val="false"/>
          <w:color w:val="1C1C1C"/>
          <w:sz w:val="20"/>
        </w:rPr>
        <w:t xml:space="preserve">, </w:t>
      </w:r>
      <w:r>
        <w:rPr>
          <w:rFonts w:ascii="Arial;sans-serif" w:hAnsi="Arial;sans-serif"/>
          <w:b w:val="false"/>
          <w:color w:val="010101"/>
          <w:sz w:val="20"/>
        </w:rPr>
        <w:t>without the need to comply with any of the provisions of sections 99 and 100 of the LPA.</w:t>
      </w:r>
    </w:p>
    <w:p>
      <w:pPr>
        <w:pStyle w:val="TextBody"/>
        <w:spacing w:lineRule="auto" w:line="288" w:before="0" w:after="180"/>
        <w:ind w:left="0" w:right="0" w:hanging="720"/>
        <w:jc w:val="both"/>
        <w:rPr/>
      </w:pPr>
      <w:r>
        <w:rPr>
          <w:rFonts w:ascii="Arial;sans-serif" w:hAnsi="Arial;sans-serif"/>
          <w:b w:val="false"/>
          <w:color w:val="010101"/>
          <w:sz w:val="20"/>
        </w:rPr>
        <w:t>(c)    In the exercise of the powers conferred by this Deed following the occurrence of a Declared Default</w:t>
      </w:r>
      <w:r>
        <w:rPr>
          <w:rFonts w:ascii="Arial;sans-serif" w:hAnsi="Arial;sans-serif"/>
          <w:b w:val="false"/>
          <w:color w:val="1A1A1A"/>
          <w:sz w:val="20"/>
        </w:rPr>
        <w:t xml:space="preserve">, </w:t>
      </w:r>
      <w:r>
        <w:rPr>
          <w:rFonts w:ascii="Arial;sans-serif" w:hAnsi="Arial;sans-serif"/>
          <w:b w:val="false"/>
          <w:color w:val="010101"/>
          <w:sz w:val="20"/>
        </w:rPr>
        <w:t>the Administrative Agent may sever and sell plant, machinery or other fixtures separately from the property to which they may be annexed and it may apportion any rent or other amount without the consent of any Chargor.</w:t>
      </w:r>
    </w:p>
    <w:p>
      <w:pPr>
        <w:pStyle w:val="TextBody"/>
        <w:spacing w:lineRule="auto" w:line="288" w:before="0" w:after="180"/>
        <w:ind w:left="0" w:right="0" w:hanging="720"/>
        <w:rPr/>
      </w:pPr>
      <w:r>
        <w:rPr>
          <w:rFonts w:ascii="Arial;sans-serif" w:hAnsi="Arial;sans-serif"/>
          <w:b w:val="false"/>
          <w:color w:val="010101"/>
          <w:sz w:val="20"/>
        </w:rPr>
        <w:t>8.3    </w:t>
      </w:r>
      <w:r>
        <w:rPr>
          <w:rFonts w:ascii="Arial;sans-serif" w:hAnsi="Arial;sans-serif"/>
          <w:b/>
          <w:i/>
          <w:color w:val="010101"/>
          <w:sz w:val="20"/>
        </w:rPr>
        <w:t>Statutory Restrictions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The restriction on the consolidation of mortgages and on the power of sale imposed by sections 93 and 103 respectively of the LPA shall not apply to the Security Interests constituted by this Deed.</w:t>
      </w:r>
    </w:p>
    <w:p>
      <w:pPr>
        <w:pStyle w:val="TextBody"/>
        <w:spacing w:lineRule="auto" w:line="288" w:before="0" w:after="180"/>
        <w:ind w:left="0" w:right="0" w:hanging="720"/>
        <w:rPr/>
      </w:pPr>
      <w:r>
        <w:rPr>
          <w:rFonts w:ascii="Arial;sans-serif" w:hAnsi="Arial;sans-serif"/>
          <w:b w:val="false"/>
          <w:color w:val="010101"/>
          <w:sz w:val="20"/>
        </w:rPr>
        <w:t>8.4    </w:t>
      </w:r>
      <w:r>
        <w:rPr>
          <w:rFonts w:ascii="Arial;sans-serif" w:hAnsi="Arial;sans-serif"/>
          <w:b/>
          <w:i/>
          <w:color w:val="010101"/>
          <w:sz w:val="20"/>
        </w:rPr>
        <w:t>Appropriation</w:t>
      </w:r>
    </w:p>
    <w:p>
      <w:pPr>
        <w:pStyle w:val="TextBody"/>
        <w:spacing w:lineRule="auto" w:line="288" w:before="0" w:after="180"/>
        <w:ind w:left="0" w:right="0" w:hanging="720"/>
        <w:jc w:val="both"/>
        <w:rPr/>
      </w:pPr>
      <w:r>
        <w:rPr>
          <w:rFonts w:ascii="Arial;sans-serif" w:hAnsi="Arial;sans-serif"/>
          <w:b w:val="false"/>
          <w:color w:val="010101"/>
          <w:sz w:val="20"/>
        </w:rPr>
        <w:t xml:space="preserve">(a)    In this deed, </w:t>
      </w:r>
      <w:r>
        <w:rPr>
          <w:rFonts w:ascii="Arial;sans-serif" w:hAnsi="Arial;sans-serif"/>
          <w:b/>
          <w:color w:val="010101"/>
          <w:sz w:val="20"/>
        </w:rPr>
        <w:t xml:space="preserve">"financial collateral" </w:t>
      </w:r>
      <w:r>
        <w:rPr>
          <w:rFonts w:ascii="Arial;sans-serif" w:hAnsi="Arial;sans-serif"/>
          <w:b w:val="false"/>
          <w:color w:val="010101"/>
          <w:sz w:val="20"/>
        </w:rPr>
        <w:t>has the meaning given to that term in the Financial Collateral Arrangements (No.2) Regulations 2003</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(b)    At any time after the occurrence of a Declared Default, the Administrative Agent may appropriate all or part of the financial collateral forming part of the Security Assets in or towards satisfaction of the Secured Liabilities</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(c)    The Parties agree that the value of any such Security Assets appropriated in accordance with paragraph (b) above shall be the market price of such Security Assets at the time the right of appropriation is exercised as determined by the Administrative Agent by reference to such method or source of valuation as the Administrative Agent may reasonably select</w:t>
      </w:r>
      <w:r>
        <w:rPr>
          <w:rFonts w:ascii="Arial;sans-serif" w:hAnsi="Arial;sans-serif"/>
          <w:b w:val="false"/>
          <w:color w:val="1A1A1A"/>
          <w:sz w:val="20"/>
        </w:rPr>
        <w:t xml:space="preserve">, </w:t>
      </w:r>
      <w:r>
        <w:rPr>
          <w:rFonts w:ascii="Arial;sans-serif" w:hAnsi="Arial;sans-serif"/>
          <w:b w:val="false"/>
          <w:color w:val="010101"/>
          <w:sz w:val="20"/>
        </w:rPr>
        <w:t>including by independent valuation</w:t>
      </w:r>
      <w:r>
        <w:rPr>
          <w:rFonts w:ascii="Arial;sans-serif" w:hAnsi="Arial;sans-serif"/>
          <w:b w:val="false"/>
          <w:color w:val="3D3D3D"/>
          <w:sz w:val="20"/>
        </w:rPr>
        <w:t xml:space="preserve">. </w:t>
      </w:r>
      <w:r>
        <w:rPr>
          <w:rFonts w:ascii="Arial;sans-serif" w:hAnsi="Arial;sans-serif"/>
          <w:b w:val="false"/>
          <w:color w:val="010101"/>
          <w:sz w:val="20"/>
        </w:rPr>
        <w:t>The Parties agree that the methods or sources of valuation provided for or selected by the Administrative Agent in accordance with this paragraph (c) shall constitute a commercially reasonable manner of valuation for the purposes of the Financial Collateral Arrangements (No.2) Regulations 2003.</w:t>
      </w:r>
    </w:p>
    <w:p>
      <w:pPr>
        <w:pStyle w:val="TextBody"/>
        <w:spacing w:lineRule="auto" w:line="288" w:before="0" w:after="180"/>
        <w:ind w:left="0" w:right="0" w:hanging="720"/>
        <w:jc w:val="both"/>
        <w:rPr/>
      </w:pPr>
      <w:r>
        <w:rPr>
          <w:rFonts w:ascii="Arial;sans-serif" w:hAnsi="Arial;sans-serif"/>
          <w:b w:val="false"/>
          <w:color w:val="010101"/>
          <w:sz w:val="20"/>
        </w:rPr>
        <w:t>(d)    The Administrative Agent shall notify the relevant Chargor</w:t>
      </w:r>
      <w:r>
        <w:rPr>
          <w:rFonts w:ascii="Arial;sans-serif" w:hAnsi="Arial;sans-serif"/>
          <w:b w:val="false"/>
          <w:color w:val="1A1A1A"/>
          <w:sz w:val="20"/>
        </w:rPr>
        <w:t xml:space="preserve">, </w:t>
      </w:r>
      <w:r>
        <w:rPr>
          <w:rFonts w:ascii="Arial;sans-serif" w:hAnsi="Arial;sans-serif"/>
          <w:b w:val="false"/>
          <w:color w:val="010101"/>
          <w:sz w:val="20"/>
        </w:rPr>
        <w:t>as soon as reasonably practicable</w:t>
      </w:r>
      <w:r>
        <w:rPr>
          <w:rFonts w:ascii="Arial;sans-serif" w:hAnsi="Arial;sans-serif"/>
          <w:b w:val="false"/>
          <w:color w:val="1A1A1A"/>
          <w:sz w:val="20"/>
        </w:rPr>
        <w:t xml:space="preserve">, </w:t>
      </w:r>
      <w:r>
        <w:rPr>
          <w:rFonts w:ascii="Arial;sans-serif" w:hAnsi="Arial;sans-serif"/>
          <w:b w:val="false"/>
          <w:color w:val="010101"/>
          <w:sz w:val="20"/>
        </w:rPr>
        <w:t>of the exercise of its right of appropriation as regards such of the Security Assets as are specified in such notice</w:t>
      </w:r>
      <w:r>
        <w:rPr>
          <w:rFonts w:ascii="Arial;sans-serif" w:hAnsi="Arial;sans-serif"/>
          <w:b w:val="false"/>
          <w:color w:val="3D3D3D"/>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050"/>
                <wp:effectExtent l="0" t="0" r="0" b="0"/>
                <wp:wrapNone/>
                <wp:docPr id="492" name="Frame48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16</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9.    </w:t>
      </w:r>
      <w:r>
        <w:rPr>
          <w:rFonts w:ascii="Arial;sans-serif" w:hAnsi="Arial;sans-serif"/>
          <w:b/>
          <w:color w:val="010101"/>
          <w:sz w:val="20"/>
        </w:rPr>
        <w:t>Appointment of a Receiver or Administrator</w:t>
      </w:r>
    </w:p>
    <w:p>
      <w:pPr>
        <w:pStyle w:val="TextBody"/>
        <w:spacing w:lineRule="auto" w:line="288" w:before="0" w:after="180"/>
        <w:ind w:left="0" w:right="0" w:hanging="720"/>
        <w:rPr/>
      </w:pPr>
      <w:r>
        <w:rPr>
          <w:rFonts w:ascii="Arial;sans-serif" w:hAnsi="Arial;sans-serif"/>
          <w:b w:val="false"/>
          <w:color w:val="010101"/>
          <w:sz w:val="20"/>
        </w:rPr>
        <w:t>9.1    </w:t>
      </w:r>
      <w:r>
        <w:rPr>
          <w:rFonts w:ascii="Arial;sans-serif" w:hAnsi="Arial;sans-serif"/>
          <w:b/>
          <w:i/>
          <w:color w:val="010101"/>
          <w:sz w:val="20"/>
        </w:rPr>
        <w:t>Appointment</w:t>
      </w:r>
    </w:p>
    <w:p>
      <w:pPr>
        <w:pStyle w:val="TextBody"/>
        <w:spacing w:lineRule="auto" w:line="288" w:before="0" w:after="180"/>
        <w:ind w:left="0" w:right="0" w:hanging="720"/>
        <w:jc w:val="both"/>
        <w:rPr/>
      </w:pPr>
      <w:r>
        <w:rPr>
          <w:rFonts w:ascii="Arial;sans-serif" w:hAnsi="Arial;sans-serif"/>
          <w:b w:val="false"/>
          <w:color w:val="010101"/>
          <w:sz w:val="20"/>
        </w:rPr>
        <w:t>(a)    At any time after the occurrence of a Declared Default</w:t>
      </w:r>
      <w:r>
        <w:rPr>
          <w:rFonts w:ascii="Arial;sans-serif" w:hAnsi="Arial;sans-serif"/>
          <w:b w:val="false"/>
          <w:color w:val="1A1A1A"/>
          <w:sz w:val="20"/>
        </w:rPr>
        <w:t xml:space="preserve">, </w:t>
      </w:r>
      <w:r>
        <w:rPr>
          <w:rFonts w:ascii="Arial;sans-serif" w:hAnsi="Arial;sans-serif"/>
          <w:b w:val="false"/>
          <w:color w:val="010101"/>
          <w:sz w:val="20"/>
        </w:rPr>
        <w:t>or at the request of a Chargor or its directors</w:t>
      </w:r>
      <w:r>
        <w:rPr>
          <w:rFonts w:ascii="Arial;sans-serif" w:hAnsi="Arial;sans-serif"/>
          <w:b w:val="false"/>
          <w:color w:val="1A1A1A"/>
          <w:sz w:val="20"/>
        </w:rPr>
        <w:t xml:space="preserve">, </w:t>
      </w:r>
      <w:r>
        <w:rPr>
          <w:rFonts w:ascii="Arial;sans-serif" w:hAnsi="Arial;sans-serif"/>
          <w:b w:val="false"/>
          <w:color w:val="010101"/>
          <w:sz w:val="20"/>
        </w:rPr>
        <w:t>the Administrative Agent may</w:t>
      </w:r>
      <w:r>
        <w:rPr>
          <w:rFonts w:ascii="Arial;sans-serif" w:hAnsi="Arial;sans-serif"/>
          <w:b w:val="false"/>
          <w:color w:val="1A1A1A"/>
          <w:sz w:val="20"/>
        </w:rPr>
        <w:t xml:space="preserve">, </w:t>
      </w:r>
      <w:r>
        <w:rPr>
          <w:rFonts w:ascii="Arial;sans-serif" w:hAnsi="Arial;sans-serif"/>
          <w:b w:val="false"/>
          <w:color w:val="010101"/>
          <w:sz w:val="20"/>
        </w:rPr>
        <w:t>without prior notice to the Chargors or any of them</w:t>
      </w:r>
      <w:r>
        <w:rPr>
          <w:rFonts w:ascii="Arial;sans-serif" w:hAnsi="Arial;sans-serif"/>
          <w:b w:val="false"/>
          <w:color w:val="1A1A1A"/>
          <w:sz w:val="20"/>
        </w:rPr>
        <w:t xml:space="preserve">, </w:t>
      </w:r>
      <w:r>
        <w:rPr>
          <w:rFonts w:ascii="Arial;sans-serif" w:hAnsi="Arial;sans-serif"/>
          <w:b w:val="false"/>
          <w:color w:val="010101"/>
          <w:sz w:val="20"/>
        </w:rPr>
        <w:t>in writing (under seal</w:t>
      </w:r>
      <w:r>
        <w:rPr>
          <w:rFonts w:ascii="Arial;sans-serif" w:hAnsi="Arial;sans-serif"/>
          <w:b w:val="false"/>
          <w:color w:val="1A1A1A"/>
          <w:sz w:val="20"/>
        </w:rPr>
        <w:t xml:space="preserve">, </w:t>
      </w:r>
      <w:r>
        <w:rPr>
          <w:rFonts w:ascii="Arial;sans-serif" w:hAnsi="Arial;sans-serif"/>
          <w:b w:val="false"/>
          <w:color w:val="010101"/>
          <w:sz w:val="20"/>
        </w:rPr>
        <w:t>by deed or otherwise under hand) appoint:</w:t>
      </w:r>
    </w:p>
    <w:p>
      <w:pPr>
        <w:pStyle w:val="TextBody"/>
        <w:spacing w:lineRule="auto" w:line="288" w:before="0" w:after="180"/>
        <w:ind w:left="0" w:right="0" w:hanging="720"/>
        <w:jc w:val="both"/>
        <w:rPr/>
      </w:pPr>
      <w:r>
        <w:rPr>
          <w:rFonts w:ascii="Arial;sans-serif" w:hAnsi="Arial;sans-serif"/>
          <w:b w:val="false"/>
          <w:color w:val="010101"/>
          <w:sz w:val="20"/>
        </w:rPr>
        <w:t>(i)    a Receiver in respect of the Security Assets or any part thereof and may in like manner from time to time (and insofar as it is lawfully able to do) remove any Receiver and appoint another in his place</w:t>
      </w:r>
      <w:r>
        <w:rPr>
          <w:rFonts w:ascii="Arial;sans-serif" w:hAnsi="Arial;sans-serif"/>
          <w:b w:val="false"/>
          <w:color w:val="1A1A1A"/>
          <w:sz w:val="20"/>
        </w:rPr>
        <w:t xml:space="preserve">; </w:t>
      </w:r>
      <w:r>
        <w:rPr>
          <w:rFonts w:ascii="Arial;sans-serif" w:hAnsi="Arial;sans-serif"/>
          <w:b w:val="false"/>
          <w:color w:val="010101"/>
          <w:sz w:val="20"/>
        </w:rPr>
        <w:t>or</w:t>
      </w:r>
    </w:p>
    <w:p>
      <w:pPr>
        <w:pStyle w:val="TextBody"/>
        <w:spacing w:lineRule="auto" w:line="288" w:before="0" w:after="180"/>
        <w:ind w:left="0" w:right="0" w:hanging="720"/>
        <w:jc w:val="both"/>
        <w:rPr/>
      </w:pPr>
      <w:r>
        <w:rPr>
          <w:rFonts w:ascii="Arial;sans-serif" w:hAnsi="Arial;sans-serif"/>
          <w:b w:val="false"/>
          <w:color w:val="010101"/>
          <w:sz w:val="20"/>
        </w:rPr>
        <w:t>(ii)    one or more persons to be an Administrator in accordance with paragraph 14 of Schedule B1 to the Insolvency Act 1986</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(b)    Nothing in paragraph (a) above shall restrict the exercise by the Administrative Agent of any one or more of the rights of the Administrative Agent under Schedule B1 to the Insolvency Act 1986 and the rules thereunder or at common law</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(c)    Section 109(1) of the LPA shall not apply to this Deed</w:t>
      </w:r>
      <w:r>
        <w:rPr>
          <w:rFonts w:ascii="Arial;sans-serif" w:hAnsi="Arial;sans-serif"/>
          <w:b w:val="false"/>
          <w:color w:val="3D3D3D"/>
          <w:sz w:val="20"/>
        </w:rPr>
        <w:t>.</w:t>
      </w:r>
    </w:p>
    <w:p>
      <w:pPr>
        <w:pStyle w:val="TextBody"/>
        <w:spacing w:lineRule="auto" w:line="288" w:before="0" w:after="180"/>
        <w:ind w:left="0" w:right="0" w:hanging="720"/>
        <w:rPr/>
      </w:pPr>
      <w:r>
        <w:rPr>
          <w:rFonts w:ascii="Arial;sans-serif" w:hAnsi="Arial;sans-serif"/>
          <w:b w:val="false"/>
          <w:color w:val="010101"/>
          <w:sz w:val="20"/>
        </w:rPr>
        <w:t>9.2    </w:t>
      </w:r>
      <w:r>
        <w:rPr>
          <w:rFonts w:ascii="Arial;sans-serif" w:hAnsi="Arial;sans-serif"/>
          <w:b/>
          <w:i/>
          <w:color w:val="010101"/>
          <w:sz w:val="20"/>
        </w:rPr>
        <w:t>Several Receivers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If at any time there is more than one Receiver, each Receiver may separately exercise all of the powers conferred by this Deed (unless the document appointing such Receiver states otherwise).</w:t>
      </w:r>
    </w:p>
    <w:p>
      <w:pPr>
        <w:pStyle w:val="TextBody"/>
        <w:spacing w:lineRule="auto" w:line="288" w:before="0" w:after="180"/>
        <w:ind w:left="0" w:right="0" w:hanging="720"/>
        <w:rPr/>
      </w:pPr>
      <w:r>
        <w:rPr>
          <w:rFonts w:ascii="Arial;sans-serif" w:hAnsi="Arial;sans-serif"/>
          <w:b w:val="false"/>
          <w:color w:val="010101"/>
          <w:sz w:val="20"/>
        </w:rPr>
        <w:t>9.3    </w:t>
      </w:r>
      <w:r>
        <w:rPr>
          <w:rFonts w:ascii="Arial;sans-serif" w:hAnsi="Arial;sans-serif"/>
          <w:b/>
          <w:i/>
          <w:color w:val="010101"/>
          <w:sz w:val="20"/>
        </w:rPr>
        <w:t>Remuneration of Receiver</w:t>
      </w:r>
    </w:p>
    <w:p>
      <w:pPr>
        <w:pStyle w:val="TextBody"/>
        <w:spacing w:lineRule="auto" w:line="288" w:before="0" w:after="180"/>
        <w:jc w:val="both"/>
        <w:rPr/>
      </w:pPr>
      <w:r>
        <w:rPr>
          <w:rFonts w:ascii="Arial;sans-serif" w:hAnsi="Arial;sans-serif"/>
          <w:b w:val="false"/>
          <w:color w:val="010101"/>
          <w:sz w:val="20"/>
        </w:rPr>
        <w:t>The Administrative Agent may from time to time fix the remuneration of any Receiver. For the purpose of this clause 9</w:t>
      </w:r>
      <w:r>
        <w:rPr>
          <w:rFonts w:ascii="Arial;sans-serif" w:hAnsi="Arial;sans-serif"/>
          <w:b w:val="false"/>
          <w:color w:val="343434"/>
          <w:sz w:val="20"/>
        </w:rPr>
        <w:t>.</w:t>
      </w:r>
      <w:r>
        <w:rPr>
          <w:rFonts w:ascii="Arial;sans-serif" w:hAnsi="Arial;sans-serif"/>
          <w:b w:val="false"/>
          <w:color w:val="010101"/>
          <w:sz w:val="20"/>
        </w:rPr>
        <w:t>3, the limitation set out in Section 109(6) LPA shall not apply.</w:t>
      </w:r>
    </w:p>
    <w:p>
      <w:pPr>
        <w:pStyle w:val="TextBody"/>
        <w:spacing w:lineRule="auto" w:line="288" w:before="0" w:after="180"/>
        <w:ind w:left="0" w:right="0" w:hanging="720"/>
        <w:rPr/>
      </w:pPr>
      <w:r>
        <w:rPr>
          <w:rFonts w:ascii="Arial;sans-serif" w:hAnsi="Arial;sans-serif"/>
          <w:b w:val="false"/>
          <w:color w:val="010101"/>
          <w:sz w:val="20"/>
        </w:rPr>
        <w:t>9.4    </w:t>
      </w:r>
      <w:r>
        <w:rPr>
          <w:rFonts w:ascii="Arial;sans-serif" w:hAnsi="Arial;sans-serif"/>
          <w:b/>
          <w:i/>
          <w:color w:val="010101"/>
          <w:sz w:val="20"/>
        </w:rPr>
        <w:t>Liability of the Administrative Agent for Actions of a Receiver or Administrator</w:t>
      </w:r>
    </w:p>
    <w:p>
      <w:pPr>
        <w:pStyle w:val="TextBody"/>
        <w:spacing w:lineRule="auto" w:line="288" w:before="0" w:after="180"/>
        <w:ind w:left="0" w:right="0" w:hanging="720"/>
        <w:jc w:val="both"/>
        <w:rPr/>
      </w:pPr>
      <w:r>
        <w:rPr>
          <w:rFonts w:ascii="Arial;sans-serif" w:hAnsi="Arial;sans-serif"/>
          <w:b w:val="false"/>
          <w:color w:val="010101"/>
          <w:sz w:val="20"/>
        </w:rPr>
        <w:t>(a)    Each Receiver shall be the agent of the relevant Chargor which shall be solely responsible for his acts or defaults, and for his remuneration and expenses, and be liable on any agreements or engagements made or entered into by him. The Administrative Agent shall not be responsible for any misconduct</w:t>
      </w:r>
      <w:r>
        <w:rPr>
          <w:rFonts w:ascii="Arial;sans-serif" w:hAnsi="Arial;sans-serif"/>
          <w:b w:val="false"/>
          <w:color w:val="1C1C1C"/>
          <w:sz w:val="20"/>
        </w:rPr>
        <w:t xml:space="preserve">, </w:t>
      </w:r>
      <w:r>
        <w:rPr>
          <w:rFonts w:ascii="Arial;sans-serif" w:hAnsi="Arial;sans-serif"/>
          <w:b w:val="false"/>
          <w:color w:val="010101"/>
          <w:sz w:val="20"/>
        </w:rPr>
        <w:t>negligence or default of a Receiver.</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The Administrative Agent shall not have any liability for the acts or omissions of an Administrator.</w:t>
      </w:r>
    </w:p>
    <w:p>
      <w:pPr>
        <w:pStyle w:val="TextBody"/>
        <w:spacing w:lineRule="auto" w:line="288" w:before="0" w:after="180"/>
        <w:ind w:left="0" w:right="0" w:hanging="720"/>
        <w:rPr/>
      </w:pPr>
      <w:r>
        <w:rPr>
          <w:rFonts w:ascii="Arial;sans-serif" w:hAnsi="Arial;sans-serif"/>
          <w:b w:val="false"/>
          <w:color w:val="010101"/>
          <w:sz w:val="20"/>
        </w:rPr>
        <w:t>10.    </w:t>
      </w:r>
      <w:r>
        <w:rPr>
          <w:rFonts w:ascii="Arial;sans-serif" w:hAnsi="Arial;sans-serif"/>
          <w:b/>
          <w:color w:val="010101"/>
          <w:sz w:val="20"/>
        </w:rPr>
        <w:t>Powers of a Receiver</w:t>
      </w:r>
    </w:p>
    <w:p>
      <w:pPr>
        <w:pStyle w:val="TextBody"/>
        <w:spacing w:lineRule="auto" w:line="288" w:before="0" w:after="180"/>
        <w:jc w:val="both"/>
        <w:rPr/>
      </w:pPr>
      <w:r>
        <w:rPr>
          <w:rFonts w:ascii="Arial;sans-serif" w:hAnsi="Arial;sans-serif"/>
          <w:b w:val="false"/>
          <w:color w:val="010101"/>
          <w:sz w:val="20"/>
        </w:rPr>
        <w:t>A Receiver shall have (and be entitled to exercise) in relation to the Security Assets over which he is appointed the following powers (as the same may be varied or extended by the provisions of this Deed)</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 xml:space="preserve">(a)    all of the specific powers set out in Schedule 6 </w:t>
      </w:r>
      <w:r>
        <w:rPr>
          <w:rFonts w:ascii="Arial;sans-serif" w:hAnsi="Arial;sans-serif"/>
          <w:b w:val="false"/>
          <w:i/>
          <w:color w:val="010101"/>
          <w:sz w:val="20"/>
        </w:rPr>
        <w:t>(Powers of Receiver)</w:t>
      </w:r>
      <w:r>
        <w:rPr>
          <w:rFonts w:ascii="Arial;sans-serif" w:hAnsi="Arial;sans-serif"/>
          <w:b w:val="false"/>
          <w:i/>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(b)    all of the powers of an administrative receiver set out in Schedule 1 to the Insolvency Act 1986 (whether or not the Receiver is an administrative receiver)</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(c)    all of the powers conferred from time to time on receivers, mortgagors and mortgagees in possession by the LPA</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(d)    all of the powers conferred on the Administrative Agent under this Deed</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(e)    all the powers and rights of a legal and beneficial owner and the power to do or omit to do anything which a Chargor itself could do or omit to do</w:t>
      </w:r>
      <w:r>
        <w:rPr>
          <w:rFonts w:ascii="Arial;sans-serif" w:hAnsi="Arial;sans-serif"/>
          <w:b w:val="false"/>
          <w:color w:val="1C1C1C"/>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050"/>
                <wp:effectExtent l="0" t="0" r="0" b="0"/>
                <wp:wrapNone/>
                <wp:docPr id="493" name="Frame48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17</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10101"/>
          <w:sz w:val="20"/>
        </w:rPr>
        <w:t>(f)    the power to do all things which</w:t>
      </w:r>
      <w:r>
        <w:rPr>
          <w:rFonts w:ascii="Arial;sans-serif" w:hAnsi="Arial;sans-serif"/>
          <w:b w:val="false"/>
          <w:color w:val="1C1C1C"/>
          <w:sz w:val="20"/>
        </w:rPr>
        <w:t xml:space="preserve">, </w:t>
      </w:r>
      <w:r>
        <w:rPr>
          <w:rFonts w:ascii="Arial;sans-serif" w:hAnsi="Arial;sans-serif"/>
          <w:b w:val="false"/>
          <w:color w:val="010101"/>
          <w:sz w:val="20"/>
        </w:rPr>
        <w:t>in the opinion of the Receiver</w:t>
      </w:r>
      <w:r>
        <w:rPr>
          <w:rFonts w:ascii="Arial;sans-serif" w:hAnsi="Arial;sans-serif"/>
          <w:b w:val="false"/>
          <w:color w:val="1C1C1C"/>
          <w:sz w:val="20"/>
        </w:rPr>
        <w:t xml:space="preserve">, </w:t>
      </w:r>
      <w:r>
        <w:rPr>
          <w:rFonts w:ascii="Arial;sans-serif" w:hAnsi="Arial;sans-serif"/>
          <w:b w:val="false"/>
          <w:color w:val="010101"/>
          <w:sz w:val="20"/>
        </w:rPr>
        <w:t>are incidental to any of the powers</w:t>
      </w:r>
      <w:r>
        <w:rPr>
          <w:rFonts w:ascii="Arial;sans-serif" w:hAnsi="Arial;sans-serif"/>
          <w:b w:val="false"/>
          <w:color w:val="1C1C1C"/>
          <w:sz w:val="20"/>
        </w:rPr>
        <w:t xml:space="preserve">, </w:t>
      </w:r>
      <w:r>
        <w:rPr>
          <w:rFonts w:ascii="Arial;sans-serif" w:hAnsi="Arial;sans-serif"/>
          <w:b w:val="false"/>
          <w:color w:val="010101"/>
          <w:sz w:val="20"/>
        </w:rPr>
        <w:t>functions, authorities or discretions conferred or vested in the Receiver pursuant to this Deed or upon receivers by statute or law generally (including the bringing or defending of proceedings in the name of, or on behalf of</w:t>
      </w:r>
      <w:r>
        <w:rPr>
          <w:rFonts w:ascii="Arial;sans-serif" w:hAnsi="Arial;sans-serif"/>
          <w:b w:val="false"/>
          <w:color w:val="1C1C1C"/>
          <w:sz w:val="20"/>
        </w:rPr>
        <w:t xml:space="preserve">, </w:t>
      </w:r>
      <w:r>
        <w:rPr>
          <w:rFonts w:ascii="Arial;sans-serif" w:hAnsi="Arial;sans-serif"/>
          <w:b w:val="false"/>
          <w:color w:val="010101"/>
          <w:sz w:val="20"/>
        </w:rPr>
        <w:t>a Chargor</w:t>
      </w:r>
      <w:r>
        <w:rPr>
          <w:rFonts w:ascii="Arial;sans-serif" w:hAnsi="Arial;sans-serif"/>
          <w:b w:val="false"/>
          <w:color w:val="1C1C1C"/>
          <w:sz w:val="20"/>
        </w:rPr>
        <w:t xml:space="preserve">; </w:t>
      </w:r>
      <w:r>
        <w:rPr>
          <w:rFonts w:ascii="Arial;sans-serif" w:hAnsi="Arial;sans-serif"/>
          <w:b w:val="false"/>
          <w:color w:val="010101"/>
          <w:sz w:val="20"/>
        </w:rPr>
        <w:t>the collection and/or realisation of Security Assets in such manner and on such terms as the Receiver sees fit</w:t>
      </w:r>
      <w:r>
        <w:rPr>
          <w:rFonts w:ascii="Arial;sans-serif" w:hAnsi="Arial;sans-serif"/>
          <w:b w:val="false"/>
          <w:color w:val="1C1C1C"/>
          <w:sz w:val="20"/>
        </w:rPr>
        <w:t xml:space="preserve">; </w:t>
      </w:r>
      <w:r>
        <w:rPr>
          <w:rFonts w:ascii="Arial;sans-serif" w:hAnsi="Arial;sans-serif"/>
          <w:b w:val="false"/>
          <w:color w:val="010101"/>
          <w:sz w:val="20"/>
        </w:rPr>
        <w:t>and the execution of documents in the name of a Chargor (whether under hand, or by way of deed or by utilisation of the company seal of a Chargor).</w:t>
      </w:r>
    </w:p>
    <w:p>
      <w:pPr>
        <w:pStyle w:val="TextBody"/>
        <w:spacing w:lineRule="auto" w:line="288" w:before="0" w:after="180"/>
        <w:ind w:left="0" w:right="0" w:hanging="720"/>
        <w:rPr/>
      </w:pPr>
      <w:r>
        <w:rPr>
          <w:rFonts w:ascii="Arial;sans-serif" w:hAnsi="Arial;sans-serif"/>
          <w:b w:val="false"/>
          <w:color w:val="010101"/>
          <w:sz w:val="20"/>
        </w:rPr>
        <w:t>11.    </w:t>
      </w:r>
      <w:r>
        <w:rPr>
          <w:rFonts w:ascii="Arial;sans-serif" w:hAnsi="Arial;sans-serif"/>
          <w:b/>
          <w:color w:val="010101"/>
          <w:sz w:val="20"/>
        </w:rPr>
        <w:t>Application of Moneys</w:t>
      </w:r>
    </w:p>
    <w:p>
      <w:pPr>
        <w:pStyle w:val="TextBody"/>
        <w:spacing w:lineRule="auto" w:line="288" w:before="0" w:after="180"/>
        <w:ind w:left="0" w:right="0" w:hanging="720"/>
        <w:rPr/>
      </w:pPr>
      <w:r>
        <w:rPr>
          <w:rFonts w:ascii="Arial;sans-serif" w:hAnsi="Arial;sans-serif"/>
          <w:b w:val="false"/>
          <w:color w:val="010101"/>
          <w:sz w:val="20"/>
        </w:rPr>
        <w:t>11.1    </w:t>
      </w:r>
      <w:r>
        <w:rPr>
          <w:rFonts w:ascii="Arial;sans-serif" w:hAnsi="Arial;sans-serif"/>
          <w:b/>
          <w:i/>
          <w:color w:val="010101"/>
          <w:sz w:val="20"/>
        </w:rPr>
        <w:t>Order of Application</w:t>
      </w:r>
    </w:p>
    <w:p>
      <w:pPr>
        <w:pStyle w:val="TextBody"/>
        <w:spacing w:lineRule="auto" w:line="288" w:before="0" w:after="180"/>
        <w:jc w:val="both"/>
        <w:rPr/>
      </w:pPr>
      <w:r>
        <w:rPr>
          <w:rFonts w:ascii="Arial;sans-serif" w:hAnsi="Arial;sans-serif"/>
          <w:b w:val="false"/>
          <w:color w:val="010101"/>
          <w:sz w:val="20"/>
        </w:rPr>
        <w:t>All amounts from time to time received or recovered by the Administrative Agent pursuant to the terms of this Deed or in connection with the realisation or enforcement of all or any part of the Security Interests created by this Deed (for the purposes of this clause 11</w:t>
      </w:r>
      <w:r>
        <w:rPr>
          <w:rFonts w:ascii="Arial;sans-serif" w:hAnsi="Arial;sans-serif"/>
          <w:b w:val="false"/>
          <w:color w:val="1C1C1C"/>
          <w:sz w:val="20"/>
        </w:rPr>
        <w:t xml:space="preserve">, </w:t>
      </w:r>
      <w:r>
        <w:rPr>
          <w:rFonts w:ascii="Arial;sans-serif" w:hAnsi="Arial;sans-serif"/>
          <w:b w:val="false"/>
          <w:color w:val="010101"/>
          <w:sz w:val="20"/>
        </w:rPr>
        <w:t xml:space="preserve">the </w:t>
      </w:r>
      <w:r>
        <w:rPr>
          <w:rFonts w:ascii="Arial;sans-serif" w:hAnsi="Arial;sans-serif"/>
          <w:b/>
          <w:color w:val="010101"/>
          <w:sz w:val="20"/>
        </w:rPr>
        <w:t xml:space="preserve">"Recoveries") </w:t>
      </w:r>
      <w:r>
        <w:rPr>
          <w:rFonts w:ascii="Arial;sans-serif" w:hAnsi="Arial;sans-serif"/>
          <w:b w:val="false"/>
          <w:color w:val="010101"/>
          <w:sz w:val="20"/>
        </w:rPr>
        <w:t xml:space="preserve">shall be applied in accordance with Section 8.3 </w:t>
      </w:r>
      <w:r>
        <w:rPr>
          <w:rFonts w:ascii="Arial;sans-serif" w:hAnsi="Arial;sans-serif"/>
          <w:b w:val="false"/>
          <w:i/>
          <w:color w:val="010101"/>
          <w:sz w:val="20"/>
        </w:rPr>
        <w:t xml:space="preserve">(Application of Funds) </w:t>
      </w:r>
      <w:r>
        <w:rPr>
          <w:rFonts w:ascii="Arial;sans-serif" w:hAnsi="Arial;sans-serif"/>
          <w:b w:val="false"/>
          <w:color w:val="010101"/>
          <w:sz w:val="20"/>
        </w:rPr>
        <w:t>of the Credit Agreement.</w:t>
      </w:r>
    </w:p>
    <w:p>
      <w:pPr>
        <w:pStyle w:val="TextBody"/>
        <w:spacing w:lineRule="auto" w:line="288" w:before="0" w:after="180"/>
        <w:ind w:left="0" w:right="0" w:hanging="720"/>
        <w:rPr/>
      </w:pPr>
      <w:r>
        <w:rPr>
          <w:rFonts w:ascii="Arial;sans-serif" w:hAnsi="Arial;sans-serif"/>
          <w:b w:val="false"/>
          <w:color w:val="010101"/>
          <w:sz w:val="20"/>
        </w:rPr>
        <w:t>11.2    </w:t>
      </w:r>
      <w:r>
        <w:rPr>
          <w:rFonts w:ascii="Arial;sans-serif" w:hAnsi="Arial;sans-serif"/>
          <w:b/>
          <w:i/>
          <w:color w:val="010101"/>
          <w:sz w:val="20"/>
        </w:rPr>
        <w:t>Prospective Liabilities</w:t>
      </w:r>
    </w:p>
    <w:p>
      <w:pPr>
        <w:pStyle w:val="TextBody"/>
        <w:spacing w:lineRule="auto" w:line="288" w:before="0" w:after="180"/>
        <w:jc w:val="both"/>
        <w:rPr/>
      </w:pPr>
      <w:r>
        <w:rPr>
          <w:rFonts w:ascii="Arial;sans-serif" w:hAnsi="Arial;sans-serif"/>
          <w:b w:val="false"/>
          <w:color w:val="010101"/>
          <w:sz w:val="20"/>
        </w:rPr>
        <w:t>Following the occurrence of a Declared Default, the Administrative Agent may</w:t>
      </w:r>
      <w:r>
        <w:rPr>
          <w:rFonts w:ascii="Arial;sans-serif" w:hAnsi="Arial;sans-serif"/>
          <w:b w:val="false"/>
          <w:color w:val="1C1C1C"/>
          <w:sz w:val="20"/>
        </w:rPr>
        <w:t xml:space="preserve">, </w:t>
      </w:r>
      <w:r>
        <w:rPr>
          <w:rFonts w:ascii="Arial;sans-serif" w:hAnsi="Arial;sans-serif"/>
          <w:b w:val="false"/>
          <w:color w:val="010101"/>
          <w:sz w:val="20"/>
        </w:rPr>
        <w:t>in its discretion</w:t>
      </w:r>
      <w:r>
        <w:rPr>
          <w:rFonts w:ascii="Arial;sans-serif" w:hAnsi="Arial;sans-serif"/>
          <w:b w:val="false"/>
          <w:color w:val="1C1C1C"/>
          <w:sz w:val="20"/>
        </w:rPr>
        <w:t xml:space="preserve">, </w:t>
      </w:r>
      <w:r>
        <w:rPr>
          <w:rFonts w:ascii="Arial;sans-serif" w:hAnsi="Arial;sans-serif"/>
          <w:b w:val="false"/>
          <w:color w:val="010101"/>
          <w:sz w:val="20"/>
        </w:rPr>
        <w:t>hold any amount of the Recoveries in an interest bearing suspense or impersonal account(s) in the name of the Administrative Agent with such financial institution (including itself) and for so long as the Administrative Agent shall think fit (the interest being credited to the relevant account) for later application under clause 11</w:t>
      </w:r>
      <w:r>
        <w:rPr>
          <w:rFonts w:ascii="Arial;sans-serif" w:hAnsi="Arial;sans-serif"/>
          <w:b w:val="false"/>
          <w:color w:val="1C1C1C"/>
          <w:sz w:val="20"/>
        </w:rPr>
        <w:t>.</w:t>
      </w:r>
      <w:r>
        <w:rPr>
          <w:rFonts w:ascii="Arial;sans-serif" w:hAnsi="Arial;sans-serif"/>
          <w:b w:val="false"/>
          <w:color w:val="010101"/>
          <w:sz w:val="20"/>
        </w:rPr>
        <w:t xml:space="preserve">1 </w:t>
      </w:r>
      <w:r>
        <w:rPr>
          <w:rFonts w:ascii="Arial;sans-serif" w:hAnsi="Arial;sans-serif"/>
          <w:b w:val="false"/>
          <w:i/>
          <w:color w:val="010101"/>
          <w:sz w:val="20"/>
        </w:rPr>
        <w:t xml:space="preserve">(Order of Application) </w:t>
      </w:r>
      <w:r>
        <w:rPr>
          <w:rFonts w:ascii="Arial;sans-serif" w:hAnsi="Arial;sans-serif"/>
          <w:b w:val="false"/>
          <w:color w:val="010101"/>
          <w:sz w:val="20"/>
        </w:rPr>
        <w:t>in respect of</w:t>
      </w:r>
      <w:r>
        <w:rPr>
          <w:rFonts w:ascii="Arial;sans-serif" w:hAnsi="Arial;sans-serif"/>
          <w:b w:val="false"/>
          <w:color w:val="343434"/>
          <w:sz w:val="20"/>
        </w:rPr>
        <w:t>:</w:t>
      </w:r>
    </w:p>
    <w:p>
      <w:pPr>
        <w:pStyle w:val="TextBody"/>
        <w:spacing w:lineRule="auto" w:line="288" w:before="0" w:after="180"/>
        <w:ind w:left="0" w:right="0" w:hanging="720"/>
        <w:jc w:val="both"/>
        <w:rPr/>
      </w:pPr>
      <w:r>
        <w:rPr>
          <w:rFonts w:ascii="Arial;sans-serif" w:hAnsi="Arial;sans-serif"/>
          <w:b w:val="false"/>
          <w:color w:val="010101"/>
          <w:sz w:val="20"/>
        </w:rPr>
        <w:t>(a)    any sum owed to the Administrative Agent</w:t>
      </w:r>
      <w:r>
        <w:rPr>
          <w:rFonts w:ascii="Arial;sans-serif" w:hAnsi="Arial;sans-serif"/>
          <w:b w:val="false"/>
          <w:color w:val="1A1A1A"/>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(b)    any part of the Secured Liabilities</w:t>
      </w:r>
      <w:r>
        <w:rPr>
          <w:rFonts w:ascii="Arial;sans-serif" w:hAnsi="Arial;sans-serif"/>
          <w:b w:val="false"/>
          <w:color w:val="1A1A1A"/>
          <w:sz w:val="20"/>
        </w:rPr>
        <w:t>,</w:t>
      </w:r>
    </w:p>
    <w:p>
      <w:pPr>
        <w:pStyle w:val="TextBody"/>
        <w:spacing w:lineRule="auto" w:line="288" w:before="0" w:after="180"/>
        <w:jc w:val="both"/>
        <w:rPr/>
      </w:pPr>
      <w:r>
        <w:rPr>
          <w:rFonts w:ascii="Arial;sans-serif" w:hAnsi="Arial;sans-serif"/>
          <w:b w:val="false"/>
          <w:color w:val="010101"/>
          <w:sz w:val="20"/>
        </w:rPr>
        <w:t>that the Administrative Agent reasonably considers</w:t>
      </w:r>
      <w:r>
        <w:rPr>
          <w:rFonts w:ascii="Arial;sans-serif" w:hAnsi="Arial;sans-serif"/>
          <w:b w:val="false"/>
          <w:color w:val="1A1A1A"/>
          <w:sz w:val="20"/>
        </w:rPr>
        <w:t xml:space="preserve">, </w:t>
      </w:r>
      <w:r>
        <w:rPr>
          <w:rFonts w:ascii="Arial;sans-serif" w:hAnsi="Arial;sans-serif"/>
          <w:b w:val="false"/>
          <w:color w:val="010101"/>
          <w:sz w:val="20"/>
        </w:rPr>
        <w:t>in each case</w:t>
      </w:r>
      <w:r>
        <w:rPr>
          <w:rFonts w:ascii="Arial;sans-serif" w:hAnsi="Arial;sans-serif"/>
          <w:b w:val="false"/>
          <w:color w:val="1A1A1A"/>
          <w:sz w:val="20"/>
        </w:rPr>
        <w:t xml:space="preserve">, </w:t>
      </w:r>
      <w:r>
        <w:rPr>
          <w:rFonts w:ascii="Arial;sans-serif" w:hAnsi="Arial;sans-serif"/>
          <w:b w:val="false"/>
          <w:color w:val="010101"/>
          <w:sz w:val="20"/>
        </w:rPr>
        <w:t>might become due or owing at any time in the future.</w:t>
      </w:r>
    </w:p>
    <w:p>
      <w:pPr>
        <w:pStyle w:val="TextBody"/>
        <w:spacing w:lineRule="auto" w:line="288" w:before="0" w:after="180"/>
        <w:ind w:left="0" w:right="0" w:hanging="720"/>
        <w:rPr/>
      </w:pPr>
      <w:r>
        <w:rPr>
          <w:rFonts w:ascii="Arial;sans-serif" w:hAnsi="Arial;sans-serif"/>
          <w:b w:val="false"/>
          <w:color w:val="010101"/>
          <w:sz w:val="20"/>
        </w:rPr>
        <w:t>11.3    </w:t>
      </w:r>
      <w:r>
        <w:rPr>
          <w:rFonts w:ascii="Arial;sans-serif" w:hAnsi="Arial;sans-serif"/>
          <w:b/>
          <w:i/>
          <w:color w:val="010101"/>
          <w:sz w:val="20"/>
        </w:rPr>
        <w:t>Investment of Proceeds</w:t>
      </w:r>
    </w:p>
    <w:p>
      <w:pPr>
        <w:pStyle w:val="TextBody"/>
        <w:spacing w:lineRule="auto" w:line="288" w:before="0" w:after="180"/>
        <w:jc w:val="both"/>
        <w:rPr/>
      </w:pPr>
      <w:r>
        <w:rPr>
          <w:rFonts w:ascii="Arial;sans-serif" w:hAnsi="Arial;sans-serif"/>
          <w:b w:val="false"/>
          <w:color w:val="010101"/>
          <w:sz w:val="20"/>
        </w:rPr>
        <w:t xml:space="preserve">Prior to the application of the proceeds of the Recoveries in accordance with clause 11.1( </w:t>
      </w:r>
      <w:r>
        <w:rPr>
          <w:rFonts w:ascii="Arial;sans-serif" w:hAnsi="Arial;sans-serif"/>
          <w:b w:val="false"/>
          <w:i/>
          <w:color w:val="010101"/>
          <w:sz w:val="20"/>
        </w:rPr>
        <w:t xml:space="preserve">Order ofApplication) </w:t>
      </w:r>
      <w:r>
        <w:rPr>
          <w:rFonts w:ascii="Arial;sans-serif" w:hAnsi="Arial;sans-serif"/>
          <w:b w:val="false"/>
          <w:color w:val="010101"/>
          <w:sz w:val="20"/>
        </w:rPr>
        <w:t>the Administrative Agent may</w:t>
      </w:r>
      <w:r>
        <w:rPr>
          <w:rFonts w:ascii="Arial;sans-serif" w:hAnsi="Arial;sans-serif"/>
          <w:b w:val="false"/>
          <w:color w:val="1A1A1A"/>
          <w:sz w:val="20"/>
        </w:rPr>
        <w:t xml:space="preserve">, </w:t>
      </w:r>
      <w:r>
        <w:rPr>
          <w:rFonts w:ascii="Arial;sans-serif" w:hAnsi="Arial;sans-serif"/>
          <w:b w:val="false"/>
          <w:color w:val="010101"/>
          <w:sz w:val="20"/>
        </w:rPr>
        <w:t>in its discretion</w:t>
      </w:r>
      <w:r>
        <w:rPr>
          <w:rFonts w:ascii="Arial;sans-serif" w:hAnsi="Arial;sans-serif"/>
          <w:b w:val="false"/>
          <w:color w:val="1A1A1A"/>
          <w:sz w:val="20"/>
        </w:rPr>
        <w:t xml:space="preserve">, </w:t>
      </w:r>
      <w:r>
        <w:rPr>
          <w:rFonts w:ascii="Arial;sans-serif" w:hAnsi="Arial;sans-serif"/>
          <w:b w:val="false"/>
          <w:color w:val="010101"/>
          <w:sz w:val="20"/>
        </w:rPr>
        <w:t>hold all or part of those proceeds in an interest bearing suspense or impersonal account(s) in the name of the Administrative Agent with such financial institution (including itself) and for so long as the Administrative Agent shall think fit (the interest being credited to the relevant account) pending the application from time to time of those moneys in the Administrative Agent's discretion in accordance with the provisions of clause 11</w:t>
      </w:r>
      <w:r>
        <w:rPr>
          <w:rFonts w:ascii="Arial;sans-serif" w:hAnsi="Arial;sans-serif"/>
          <w:b w:val="false"/>
          <w:color w:val="383838"/>
          <w:sz w:val="20"/>
        </w:rPr>
        <w:t>.</w:t>
      </w:r>
      <w:r>
        <w:rPr>
          <w:rFonts w:ascii="Arial;sans-serif" w:hAnsi="Arial;sans-serif"/>
          <w:b w:val="false"/>
          <w:color w:val="010101"/>
          <w:sz w:val="20"/>
        </w:rPr>
        <w:t xml:space="preserve">1( </w:t>
      </w:r>
      <w:r>
        <w:rPr>
          <w:rFonts w:ascii="Arial;sans-serif" w:hAnsi="Arial;sans-serif"/>
          <w:b w:val="false"/>
          <w:i/>
          <w:color w:val="010101"/>
          <w:sz w:val="20"/>
        </w:rPr>
        <w:t>Order of Application).</w:t>
      </w:r>
    </w:p>
    <w:p>
      <w:pPr>
        <w:pStyle w:val="TextBody"/>
        <w:spacing w:lineRule="auto" w:line="288" w:before="0" w:after="180"/>
        <w:ind w:left="0" w:right="0" w:hanging="720"/>
        <w:rPr/>
      </w:pPr>
      <w:r>
        <w:rPr>
          <w:rFonts w:ascii="Arial;sans-serif" w:hAnsi="Arial;sans-serif"/>
          <w:b w:val="false"/>
          <w:color w:val="010101"/>
          <w:sz w:val="20"/>
        </w:rPr>
        <w:t>11.4    </w:t>
      </w:r>
      <w:r>
        <w:rPr>
          <w:rFonts w:ascii="Arial;sans-serif" w:hAnsi="Arial;sans-serif"/>
          <w:b/>
          <w:i/>
          <w:color w:val="010101"/>
          <w:sz w:val="20"/>
        </w:rPr>
        <w:t>Currency Conversion</w:t>
      </w:r>
    </w:p>
    <w:p>
      <w:pPr>
        <w:pStyle w:val="TextBody"/>
        <w:spacing w:lineRule="auto" w:line="288" w:before="0" w:after="180"/>
        <w:ind w:left="0" w:right="0" w:hanging="720"/>
        <w:jc w:val="both"/>
        <w:rPr/>
      </w:pPr>
      <w:r>
        <w:rPr>
          <w:rFonts w:ascii="Arial;sans-serif" w:hAnsi="Arial;sans-serif"/>
          <w:b w:val="false"/>
          <w:color w:val="010101"/>
          <w:sz w:val="20"/>
        </w:rPr>
        <w:t>(a)    For the purpose of</w:t>
      </w:r>
      <w:r>
        <w:rPr>
          <w:rFonts w:ascii="Arial;sans-serif" w:hAnsi="Arial;sans-serif"/>
          <w:b w:val="false"/>
          <w:color w:val="1A1A1A"/>
          <w:sz w:val="20"/>
        </w:rPr>
        <w:t xml:space="preserve">, </w:t>
      </w:r>
      <w:r>
        <w:rPr>
          <w:rFonts w:ascii="Arial;sans-serif" w:hAnsi="Arial;sans-serif"/>
          <w:b w:val="false"/>
          <w:color w:val="010101"/>
          <w:sz w:val="20"/>
        </w:rPr>
        <w:t>or pending the discharge of</w:t>
      </w:r>
      <w:r>
        <w:rPr>
          <w:rFonts w:ascii="Arial;sans-serif" w:hAnsi="Arial;sans-serif"/>
          <w:b w:val="false"/>
          <w:color w:val="1A1A1A"/>
          <w:sz w:val="20"/>
        </w:rPr>
        <w:t xml:space="preserve">, </w:t>
      </w:r>
      <w:r>
        <w:rPr>
          <w:rFonts w:ascii="Arial;sans-serif" w:hAnsi="Arial;sans-serif"/>
          <w:b w:val="false"/>
          <w:color w:val="010101"/>
          <w:sz w:val="20"/>
        </w:rPr>
        <w:t>any of the Secured Liabilities the Administrative Agent may convert any moneys received or recovered by the Administrative Agent from one currency to another, at a market rate of exchange</w:t>
      </w:r>
      <w:r>
        <w:rPr>
          <w:rFonts w:ascii="Arial;sans-serif" w:hAnsi="Arial;sans-serif"/>
          <w:b w:val="false"/>
          <w:color w:val="383838"/>
          <w:sz w:val="20"/>
        </w:rPr>
        <w: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The obligations of any Obligor to pay in the due currency shall only be satisfied to the extent of the amount of the due currency purchased after deducting the costs of conversion.</w:t>
      </w:r>
    </w:p>
    <w:p>
      <w:pPr>
        <w:pStyle w:val="TextBody"/>
        <w:spacing w:lineRule="auto" w:line="288" w:before="0" w:after="180"/>
        <w:ind w:left="0" w:right="0" w:hanging="720"/>
        <w:rPr/>
      </w:pPr>
      <w:r>
        <w:rPr>
          <w:rFonts w:ascii="Arial;sans-serif" w:hAnsi="Arial;sans-serif"/>
          <w:b w:val="false"/>
          <w:color w:val="010101"/>
          <w:sz w:val="20"/>
        </w:rPr>
        <w:t>11.5    </w:t>
      </w:r>
      <w:r>
        <w:rPr>
          <w:rFonts w:ascii="Arial;sans-serif" w:hAnsi="Arial;sans-serif"/>
          <w:b/>
          <w:i/>
          <w:color w:val="010101"/>
          <w:sz w:val="20"/>
        </w:rPr>
        <w:t>Permitted Deductions</w:t>
      </w:r>
    </w:p>
    <w:p>
      <w:pPr>
        <w:pStyle w:val="TextBody"/>
        <w:spacing w:lineRule="auto" w:line="288" w:before="0" w:after="180"/>
        <w:jc w:val="both"/>
        <w:rPr/>
      </w:pPr>
      <w:r>
        <w:rPr>
          <w:rFonts w:ascii="Arial;sans-serif" w:hAnsi="Arial;sans-serif"/>
          <w:b w:val="false"/>
          <w:color w:val="010101"/>
          <w:sz w:val="20"/>
        </w:rPr>
        <w:t>The Administrative Agent shall be entitled, in its discretion</w:t>
      </w:r>
      <w:r>
        <w:rPr>
          <w:rFonts w:ascii="Arial;sans-serif" w:hAnsi="Arial;sans-serif"/>
          <w:b w:val="false"/>
          <w:color w:val="2A2A2A"/>
          <w:sz w:val="20"/>
        </w:rPr>
        <w:t>:</w:t>
      </w:r>
    </w:p>
    <w:p>
      <w:pPr>
        <w:pStyle w:val="TextBody"/>
        <w:spacing w:lineRule="auto" w:line="288" w:before="0" w:after="180"/>
        <w:ind w:left="0" w:right="0" w:hanging="720"/>
        <w:jc w:val="both"/>
        <w:rPr/>
      </w:pPr>
      <w:r>
        <w:rPr>
          <w:rFonts w:ascii="Arial;sans-serif" w:hAnsi="Arial;sans-serif"/>
          <w:b w:val="false"/>
          <w:color w:val="010101"/>
          <w:sz w:val="20"/>
        </w:rPr>
        <w:t>(a)    to set aside by way of reserve</w:t>
      </w:r>
      <w:r>
        <w:rPr>
          <w:rFonts w:ascii="Arial;sans-serif" w:hAnsi="Arial;sans-serif"/>
          <w:b w:val="false"/>
          <w:color w:val="1A1A1A"/>
          <w:sz w:val="20"/>
        </w:rPr>
        <w:t xml:space="preserve">, </w:t>
      </w:r>
      <w:r>
        <w:rPr>
          <w:rFonts w:ascii="Arial;sans-serif" w:hAnsi="Arial;sans-serif"/>
          <w:b w:val="false"/>
          <w:color w:val="010101"/>
          <w:sz w:val="20"/>
        </w:rPr>
        <w:t>amounts required to meet</w:t>
      </w:r>
      <w:r>
        <w:rPr>
          <w:rFonts w:ascii="Arial;sans-serif" w:hAnsi="Arial;sans-serif"/>
          <w:b w:val="false"/>
          <w:color w:val="1A1A1A"/>
          <w:sz w:val="20"/>
        </w:rPr>
        <w:t xml:space="preserve">, </w:t>
      </w:r>
      <w:r>
        <w:rPr>
          <w:rFonts w:ascii="Arial;sans-serif" w:hAnsi="Arial;sans-serif"/>
          <w:b w:val="false"/>
          <w:color w:val="010101"/>
          <w:sz w:val="20"/>
        </w:rPr>
        <w:t>and to make and pay</w:t>
      </w:r>
      <w:r>
        <w:rPr>
          <w:rFonts w:ascii="Arial;sans-serif" w:hAnsi="Arial;sans-serif"/>
          <w:b w:val="false"/>
          <w:color w:val="1A1A1A"/>
          <w:sz w:val="20"/>
        </w:rPr>
        <w:t xml:space="preserve">, </w:t>
      </w:r>
      <w:r>
        <w:rPr>
          <w:rFonts w:ascii="Arial;sans-serif" w:hAnsi="Arial;sans-serif"/>
          <w:b w:val="false"/>
          <w:color w:val="010101"/>
          <w:sz w:val="20"/>
        </w:rPr>
        <w:t xml:space="preserve">any deductions and withholdings (on account of taxes or otherwise) which it is or may be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050"/>
                <wp:effectExtent l="0" t="0" r="0" b="0"/>
                <wp:wrapNone/>
                <wp:docPr id="494" name="Frame48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18</w:t>
                      </w:r>
                    </w:p>
                  </w:txbxContent>
                </v:textbox>
              </v:rect>
            </w:pict>
          </mc:Fallback>
        </mc:AlternateContent>
      </w:r>
    </w:p>
    <w:p>
      <w:pPr>
        <w:pStyle w:val="TextBody"/>
        <w:spacing w:lineRule="auto" w:line="288" w:before="0" w:after="180"/>
        <w:jc w:val="both"/>
        <w:rPr/>
      </w:pPr>
      <w:r>
        <w:rPr>
          <w:rFonts w:ascii="Arial;sans-serif" w:hAnsi="Arial;sans-serif"/>
          <w:b w:val="false"/>
          <w:color w:val="010101"/>
          <w:sz w:val="20"/>
        </w:rPr>
        <w:t>required by any applicable law to make from any distribution or payment made by it under this Deed</w:t>
      </w:r>
      <w:r>
        <w:rPr>
          <w:rFonts w:ascii="Arial;sans-serif" w:hAnsi="Arial;sans-serif"/>
          <w:b w:val="false"/>
          <w:color w:val="1A1A1A"/>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(b)    to pay all Taxes which may be assessed against it in respect of any of the Security Assets</w:t>
      </w:r>
      <w:r>
        <w:rPr>
          <w:rFonts w:ascii="Arial;sans-serif" w:hAnsi="Arial;sans-serif"/>
          <w:b w:val="false"/>
          <w:color w:val="1A1A1A"/>
          <w:sz w:val="20"/>
        </w:rPr>
        <w:t xml:space="preserve">, </w:t>
      </w:r>
      <w:r>
        <w:rPr>
          <w:rFonts w:ascii="Arial;sans-serif" w:hAnsi="Arial;sans-serif"/>
          <w:b w:val="false"/>
          <w:color w:val="010101"/>
          <w:sz w:val="20"/>
        </w:rPr>
        <w:t>or as a consequence of performing its duties, or by virtue of its capacity as the Administrative Agent under any of the Loan Documents or otherwise.</w:t>
      </w:r>
    </w:p>
    <w:p>
      <w:pPr>
        <w:pStyle w:val="TextBody"/>
        <w:spacing w:lineRule="auto" w:line="288" w:before="0" w:after="180"/>
        <w:ind w:left="0" w:right="0" w:hanging="720"/>
        <w:rPr/>
      </w:pPr>
      <w:r>
        <w:rPr>
          <w:rFonts w:ascii="Arial;sans-serif" w:hAnsi="Arial;sans-serif"/>
          <w:b w:val="false"/>
          <w:color w:val="010101"/>
          <w:sz w:val="20"/>
        </w:rPr>
        <w:t>12.    </w:t>
      </w:r>
      <w:r>
        <w:rPr>
          <w:rFonts w:ascii="Arial;sans-serif" w:hAnsi="Arial;sans-serif"/>
          <w:b/>
          <w:color w:val="010101"/>
          <w:sz w:val="20"/>
        </w:rPr>
        <w:t>Protection of Third Parties</w:t>
      </w:r>
    </w:p>
    <w:p>
      <w:pPr>
        <w:pStyle w:val="TextBody"/>
        <w:spacing w:lineRule="auto" w:line="288" w:before="0" w:after="180"/>
        <w:ind w:left="0" w:right="0" w:hanging="720"/>
        <w:rPr/>
      </w:pPr>
      <w:r>
        <w:rPr>
          <w:rFonts w:ascii="Arial;sans-serif" w:hAnsi="Arial;sans-serif"/>
          <w:b w:val="false"/>
          <w:color w:val="010101"/>
          <w:sz w:val="20"/>
        </w:rPr>
        <w:t>12.1    </w:t>
      </w:r>
      <w:r>
        <w:rPr>
          <w:rFonts w:ascii="Arial;sans-serif" w:hAnsi="Arial;sans-serif"/>
          <w:b/>
          <w:i/>
          <w:color w:val="010101"/>
          <w:sz w:val="20"/>
        </w:rPr>
        <w:t>No Obligation to Enquire</w:t>
      </w:r>
    </w:p>
    <w:p>
      <w:pPr>
        <w:pStyle w:val="TextBody"/>
        <w:spacing w:lineRule="auto" w:line="288" w:before="0" w:after="180"/>
        <w:jc w:val="both"/>
        <w:rPr/>
      </w:pPr>
      <w:r>
        <w:rPr>
          <w:rFonts w:ascii="Arial;sans-serif" w:hAnsi="Arial;sans-serif"/>
          <w:b w:val="false"/>
          <w:color w:val="010101"/>
          <w:sz w:val="20"/>
        </w:rPr>
        <w:t>No purchaser from, or other person dealing with, the Administrative Agent shall be obliged or concerned to enquire whether</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(a)    the right of the Administrative Agent to exercise any of the powers conferred by this Deed has arisen or become exercisable or as to the propriety or validity of the exercise or purported exercise of any such power</w:t>
      </w:r>
      <w:r>
        <w:rPr>
          <w:rFonts w:ascii="Arial;sans-serif" w:hAnsi="Arial;sans-serif"/>
          <w:b w:val="false"/>
          <w:color w:val="1A1A1A"/>
          <w:sz w:val="20"/>
        </w:rPr>
        <w:t xml:space="preserve">; </w:t>
      </w:r>
      <w:r>
        <w:rPr>
          <w:rFonts w:ascii="Arial;sans-serif" w:hAnsi="Arial;sans-serif"/>
          <w:b w:val="false"/>
          <w:color w:val="010101"/>
          <w:sz w:val="20"/>
        </w:rPr>
        <w:t>or</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any of the Secured Liabilities remains outstanding or be concerned with notice to the contrary and the title and position of such a purchaser or other person shall not be impeachable by reference to any of those matters.</w:t>
      </w:r>
    </w:p>
    <w:p>
      <w:pPr>
        <w:pStyle w:val="TextBody"/>
        <w:spacing w:lineRule="auto" w:line="288" w:before="0" w:after="180"/>
        <w:ind w:left="0" w:right="0" w:hanging="720"/>
        <w:rPr/>
      </w:pPr>
      <w:r>
        <w:rPr>
          <w:rFonts w:ascii="Arial;sans-serif" w:hAnsi="Arial;sans-serif"/>
          <w:b w:val="false"/>
          <w:color w:val="010101"/>
          <w:sz w:val="20"/>
        </w:rPr>
        <w:t>12.2    </w:t>
      </w:r>
      <w:r>
        <w:rPr>
          <w:rFonts w:ascii="Arial;sans-serif" w:hAnsi="Arial;sans-serif"/>
          <w:b/>
          <w:i/>
          <w:color w:val="010101"/>
          <w:sz w:val="20"/>
        </w:rPr>
        <w:t>Receipt Conclusive</w:t>
      </w:r>
    </w:p>
    <w:p>
      <w:pPr>
        <w:pStyle w:val="TextBody"/>
        <w:spacing w:lineRule="auto" w:line="288" w:before="0" w:after="180"/>
        <w:jc w:val="both"/>
        <w:rPr/>
      </w:pPr>
      <w:r>
        <w:rPr>
          <w:rFonts w:ascii="Arial;sans-serif" w:hAnsi="Arial;sans-serif"/>
          <w:b w:val="false"/>
          <w:color w:val="010101"/>
          <w:sz w:val="20"/>
        </w:rPr>
        <w:t>The receipt of the Administrative Agent or any Receiver shall be an absolute and a conclusive discharge to a purchaser</w:t>
      </w:r>
      <w:r>
        <w:rPr>
          <w:rFonts w:ascii="Arial;sans-serif" w:hAnsi="Arial;sans-serif"/>
          <w:b w:val="false"/>
          <w:color w:val="1A1A1A"/>
          <w:sz w:val="20"/>
        </w:rPr>
        <w:t xml:space="preserve">, </w:t>
      </w:r>
      <w:r>
        <w:rPr>
          <w:rFonts w:ascii="Arial;sans-serif" w:hAnsi="Arial;sans-serif"/>
          <w:b w:val="false"/>
          <w:color w:val="010101"/>
          <w:sz w:val="20"/>
        </w:rPr>
        <w:t>and shall relieve such purchaser of any obligation to see to the application of any moneys paid to or by the direction of the Administrative Agent or any Receiver.</w:t>
      </w:r>
    </w:p>
    <w:p>
      <w:pPr>
        <w:pStyle w:val="TextBody"/>
        <w:spacing w:lineRule="auto" w:line="288" w:before="0" w:after="180"/>
        <w:ind w:left="0" w:right="0" w:hanging="720"/>
        <w:rPr/>
      </w:pPr>
      <w:r>
        <w:rPr>
          <w:rFonts w:ascii="Arial;sans-serif" w:hAnsi="Arial;sans-serif"/>
          <w:b w:val="false"/>
          <w:color w:val="010101"/>
          <w:sz w:val="20"/>
        </w:rPr>
        <w:t>13.    </w:t>
      </w:r>
      <w:r>
        <w:rPr>
          <w:rFonts w:ascii="Arial;sans-serif" w:hAnsi="Arial;sans-serif"/>
          <w:b/>
          <w:color w:val="010101"/>
          <w:sz w:val="20"/>
        </w:rPr>
        <w:t>Protection of the Administrative Agent</w:t>
      </w:r>
    </w:p>
    <w:p>
      <w:pPr>
        <w:pStyle w:val="TextBody"/>
        <w:spacing w:lineRule="auto" w:line="288" w:before="0" w:after="180"/>
        <w:ind w:left="0" w:right="0" w:hanging="720"/>
        <w:rPr/>
      </w:pPr>
      <w:r>
        <w:rPr>
          <w:rFonts w:ascii="Arial;sans-serif" w:hAnsi="Arial;sans-serif"/>
          <w:b w:val="false"/>
          <w:color w:val="010101"/>
          <w:sz w:val="20"/>
        </w:rPr>
        <w:t>13.1    </w:t>
      </w:r>
      <w:r>
        <w:rPr>
          <w:rFonts w:ascii="Arial;sans-serif" w:hAnsi="Arial;sans-serif"/>
          <w:b/>
          <w:i/>
          <w:color w:val="010101"/>
          <w:sz w:val="20"/>
        </w:rPr>
        <w:t>No Liability</w:t>
      </w:r>
    </w:p>
    <w:p>
      <w:pPr>
        <w:pStyle w:val="TextBody"/>
        <w:spacing w:lineRule="auto" w:line="288" w:before="0" w:after="180"/>
        <w:jc w:val="both"/>
        <w:rPr/>
      </w:pPr>
      <w:r>
        <w:rPr>
          <w:rFonts w:ascii="Arial;sans-serif" w:hAnsi="Arial;sans-serif"/>
          <w:b w:val="false"/>
          <w:color w:val="010101"/>
          <w:sz w:val="20"/>
        </w:rPr>
        <w:t>The Administrative Agent shall not be liable in respect of any of the Security Assets or for any loss or damage which arises out of the exercise or the attempted or purported exercise of</w:t>
      </w:r>
      <w:r>
        <w:rPr>
          <w:rFonts w:ascii="Arial;sans-serif" w:hAnsi="Arial;sans-serif"/>
          <w:b w:val="false"/>
          <w:color w:val="1A1A1A"/>
          <w:sz w:val="20"/>
        </w:rPr>
        <w:t xml:space="preserve">, </w:t>
      </w:r>
      <w:r>
        <w:rPr>
          <w:rFonts w:ascii="Arial;sans-serif" w:hAnsi="Arial;sans-serif"/>
          <w:b w:val="false"/>
          <w:color w:val="010101"/>
          <w:sz w:val="20"/>
        </w:rPr>
        <w:t>or the failure to exercise any of</w:t>
      </w:r>
      <w:r>
        <w:rPr>
          <w:rFonts w:ascii="Arial;sans-serif" w:hAnsi="Arial;sans-serif"/>
          <w:b w:val="false"/>
          <w:color w:val="1A1A1A"/>
          <w:sz w:val="20"/>
        </w:rPr>
        <w:t xml:space="preserve">, </w:t>
      </w:r>
      <w:r>
        <w:rPr>
          <w:rFonts w:ascii="Arial;sans-serif" w:hAnsi="Arial;sans-serif"/>
          <w:b w:val="false"/>
          <w:color w:val="010101"/>
          <w:sz w:val="20"/>
        </w:rPr>
        <w:t>their respective powers unless caused by the Administrative Agent's fraud</w:t>
      </w:r>
      <w:r>
        <w:rPr>
          <w:rFonts w:ascii="Arial;sans-serif" w:hAnsi="Arial;sans-serif"/>
          <w:b w:val="false"/>
          <w:color w:val="1A1A1A"/>
          <w:sz w:val="20"/>
        </w:rPr>
        <w:t xml:space="preserve">, </w:t>
      </w:r>
      <w:r>
        <w:rPr>
          <w:rFonts w:ascii="Arial;sans-serif" w:hAnsi="Arial;sans-serif"/>
          <w:b w:val="false"/>
          <w:color w:val="010101"/>
          <w:sz w:val="20"/>
        </w:rPr>
        <w:t>gross negligence or wilful misconduct.</w:t>
      </w:r>
    </w:p>
    <w:p>
      <w:pPr>
        <w:pStyle w:val="TextBody"/>
        <w:spacing w:lineRule="auto" w:line="288" w:before="0" w:after="180"/>
        <w:ind w:left="0" w:right="0" w:hanging="720"/>
        <w:rPr/>
      </w:pPr>
      <w:r>
        <w:rPr>
          <w:rFonts w:ascii="Arial;sans-serif" w:hAnsi="Arial;sans-serif"/>
          <w:b w:val="false"/>
          <w:color w:val="010101"/>
          <w:sz w:val="20"/>
        </w:rPr>
        <w:t>13.2    </w:t>
      </w:r>
      <w:r>
        <w:rPr>
          <w:rFonts w:ascii="Arial;sans-serif" w:hAnsi="Arial;sans-serif"/>
          <w:b/>
          <w:i/>
          <w:color w:val="010101"/>
          <w:sz w:val="20"/>
        </w:rPr>
        <w:t>Possession of Security Assets</w:t>
      </w:r>
    </w:p>
    <w:p>
      <w:pPr>
        <w:pStyle w:val="TextBody"/>
        <w:spacing w:lineRule="auto" w:line="288" w:before="0" w:after="180"/>
        <w:jc w:val="both"/>
        <w:rPr/>
      </w:pPr>
      <w:r>
        <w:rPr>
          <w:rFonts w:ascii="Arial;sans-serif" w:hAnsi="Arial;sans-serif"/>
          <w:b w:val="false"/>
          <w:color w:val="010101"/>
          <w:sz w:val="20"/>
        </w:rPr>
        <w:t xml:space="preserve">Without prejudice to clause 13.1 </w:t>
      </w:r>
      <w:r>
        <w:rPr>
          <w:rFonts w:ascii="Arial;sans-serif" w:hAnsi="Arial;sans-serif"/>
          <w:b w:val="false"/>
          <w:i/>
          <w:color w:val="010101"/>
          <w:sz w:val="20"/>
        </w:rPr>
        <w:t xml:space="preserve">(No Liability), </w:t>
      </w:r>
      <w:r>
        <w:rPr>
          <w:rFonts w:ascii="Arial;sans-serif" w:hAnsi="Arial;sans-serif"/>
          <w:b w:val="false"/>
          <w:color w:val="010101"/>
          <w:sz w:val="20"/>
        </w:rPr>
        <w:t>if the Administrative Agent enters into possession of the Security Assets</w:t>
      </w:r>
      <w:r>
        <w:rPr>
          <w:rFonts w:ascii="Arial;sans-serif" w:hAnsi="Arial;sans-serif"/>
          <w:b w:val="false"/>
          <w:color w:val="1A1A1A"/>
          <w:sz w:val="20"/>
        </w:rPr>
        <w:t xml:space="preserve">, </w:t>
      </w:r>
      <w:r>
        <w:rPr>
          <w:rFonts w:ascii="Arial;sans-serif" w:hAnsi="Arial;sans-serif"/>
          <w:b w:val="false"/>
          <w:color w:val="010101"/>
          <w:sz w:val="20"/>
        </w:rPr>
        <w:t>it will not be liable to account as mortgagee in possession and may at any time at its discretion go out of such possession.</w:t>
      </w:r>
    </w:p>
    <w:p>
      <w:pPr>
        <w:pStyle w:val="TextBody"/>
        <w:spacing w:lineRule="auto" w:line="288" w:before="0" w:after="180"/>
        <w:ind w:left="0" w:right="0" w:hanging="720"/>
        <w:rPr/>
      </w:pPr>
      <w:r>
        <w:rPr>
          <w:rFonts w:ascii="Arial;sans-serif" w:hAnsi="Arial;sans-serif"/>
          <w:b w:val="false"/>
          <w:color w:val="010101"/>
          <w:sz w:val="20"/>
        </w:rPr>
        <w:t>13.3    </w:t>
      </w:r>
      <w:r>
        <w:rPr>
          <w:rFonts w:ascii="Arial;sans-serif" w:hAnsi="Arial;sans-serif"/>
          <w:b/>
          <w:i/>
          <w:color w:val="010101"/>
          <w:sz w:val="20"/>
        </w:rPr>
        <w:t>No proceedings</w:t>
      </w:r>
    </w:p>
    <w:p>
      <w:pPr>
        <w:pStyle w:val="TextBody"/>
        <w:spacing w:lineRule="auto" w:line="288" w:before="0" w:after="180"/>
        <w:jc w:val="both"/>
        <w:rPr/>
      </w:pPr>
      <w:r>
        <w:rPr>
          <w:rFonts w:ascii="Arial;sans-serif" w:hAnsi="Arial;sans-serif"/>
          <w:b w:val="false"/>
          <w:color w:val="010101"/>
          <w:sz w:val="20"/>
        </w:rPr>
        <w:t>No Party (other than the Administrative Agent</w:t>
      </w:r>
      <w:r>
        <w:rPr>
          <w:rFonts w:ascii="Arial;sans-serif" w:hAnsi="Arial;sans-serif"/>
          <w:b w:val="false"/>
          <w:color w:val="1A1A1A"/>
          <w:sz w:val="20"/>
        </w:rPr>
        <w:t xml:space="preserve">, </w:t>
      </w:r>
      <w:r>
        <w:rPr>
          <w:rFonts w:ascii="Arial;sans-serif" w:hAnsi="Arial;sans-serif"/>
          <w:b w:val="false"/>
          <w:color w:val="010101"/>
          <w:sz w:val="20"/>
        </w:rPr>
        <w:t>a Receiver or a Delegate in respect of its own officers</w:t>
      </w:r>
      <w:r>
        <w:rPr>
          <w:rFonts w:ascii="Arial;sans-serif" w:hAnsi="Arial;sans-serif"/>
          <w:b w:val="false"/>
          <w:color w:val="1A1A1A"/>
          <w:sz w:val="20"/>
        </w:rPr>
        <w:t xml:space="preserve">, </w:t>
      </w:r>
      <w:r>
        <w:rPr>
          <w:rFonts w:ascii="Arial;sans-serif" w:hAnsi="Arial;sans-serif"/>
          <w:b w:val="false"/>
          <w:color w:val="010101"/>
          <w:sz w:val="20"/>
        </w:rPr>
        <w:t>employees or agents) may take any proceedings against any officer</w:t>
      </w:r>
      <w:r>
        <w:rPr>
          <w:rFonts w:ascii="Arial;sans-serif" w:hAnsi="Arial;sans-serif"/>
          <w:b w:val="false"/>
          <w:color w:val="1A1A1A"/>
          <w:sz w:val="20"/>
        </w:rPr>
        <w:t xml:space="preserve">, </w:t>
      </w:r>
      <w:r>
        <w:rPr>
          <w:rFonts w:ascii="Arial;sans-serif" w:hAnsi="Arial;sans-serif"/>
          <w:b w:val="false"/>
          <w:color w:val="010101"/>
          <w:sz w:val="20"/>
        </w:rPr>
        <w:t>employee or agent of the Administrative Agent in respect of any claim it might have against the Administrative Agent or in respect of any act or omission of any kind by that officer</w:t>
      </w:r>
      <w:r>
        <w:rPr>
          <w:rFonts w:ascii="Arial;sans-serif" w:hAnsi="Arial;sans-serif"/>
          <w:b w:val="false"/>
          <w:color w:val="1A1A1A"/>
          <w:sz w:val="20"/>
        </w:rPr>
        <w:t xml:space="preserve">, </w:t>
      </w:r>
      <w:r>
        <w:rPr>
          <w:rFonts w:ascii="Arial;sans-serif" w:hAnsi="Arial;sans-serif"/>
          <w:b w:val="false"/>
          <w:color w:val="010101"/>
          <w:sz w:val="20"/>
        </w:rPr>
        <w:t>employee or agent in relation to any Loan Document or any Security Asset and any officer</w:t>
      </w:r>
      <w:r>
        <w:rPr>
          <w:rFonts w:ascii="Arial;sans-serif" w:hAnsi="Arial;sans-serif"/>
          <w:b w:val="false"/>
          <w:color w:val="1A1A1A"/>
          <w:sz w:val="20"/>
        </w:rPr>
        <w:t xml:space="preserve">, </w:t>
      </w:r>
      <w:r>
        <w:rPr>
          <w:rFonts w:ascii="Arial;sans-serif" w:hAnsi="Arial;sans-serif"/>
          <w:b w:val="false"/>
          <w:color w:val="010101"/>
          <w:sz w:val="20"/>
        </w:rPr>
        <w:t>employee or agent of the Administrative Agent may rely on this clause.</w:t>
      </w:r>
    </w:p>
    <w:p>
      <w:pPr>
        <w:pStyle w:val="TextBody"/>
        <w:spacing w:lineRule="auto" w:line="288" w:before="0" w:after="180"/>
        <w:ind w:left="0" w:right="0" w:hanging="720"/>
        <w:rPr/>
      </w:pPr>
      <w:r>
        <w:rPr>
          <w:rFonts w:ascii="Arial;sans-serif" w:hAnsi="Arial;sans-serif"/>
          <w:b w:val="false"/>
          <w:color w:val="010101"/>
          <w:sz w:val="20"/>
        </w:rPr>
        <w:t>14.    </w:t>
      </w:r>
      <w:r>
        <w:rPr>
          <w:rFonts w:ascii="Arial;sans-serif" w:hAnsi="Arial;sans-serif"/>
          <w:b/>
          <w:color w:val="010101"/>
          <w:sz w:val="20"/>
        </w:rPr>
        <w:t>Cumulative Powers and Avoidance of Payments</w:t>
      </w:r>
    </w:p>
    <w:p>
      <w:pPr>
        <w:pStyle w:val="TextBody"/>
        <w:spacing w:lineRule="auto" w:line="288" w:before="0" w:after="180"/>
        <w:ind w:left="0" w:right="0" w:hanging="720"/>
        <w:rPr/>
      </w:pPr>
      <w:r>
        <w:rPr>
          <w:rFonts w:ascii="Arial;sans-serif" w:hAnsi="Arial;sans-serif"/>
          <w:b w:val="false"/>
          <w:color w:val="010101"/>
          <w:sz w:val="20"/>
        </w:rPr>
        <w:t>14.1    </w:t>
      </w:r>
      <w:r>
        <w:rPr>
          <w:rFonts w:ascii="Arial;sans-serif" w:hAnsi="Arial;sans-serif"/>
          <w:b/>
          <w:i/>
          <w:color w:val="010101"/>
          <w:sz w:val="20"/>
        </w:rPr>
        <w:t>Cumulative Powers</w:t>
      </w:r>
    </w:p>
    <w:p>
      <w:pPr>
        <w:pStyle w:val="TextBody"/>
        <w:spacing w:lineRule="auto" w:line="288" w:before="0" w:after="180"/>
        <w:jc w:val="both"/>
        <w:rPr/>
      </w:pPr>
      <w:r>
        <w:rPr>
          <w:rFonts w:ascii="Arial;sans-serif" w:hAnsi="Arial;sans-serif"/>
          <w:b w:val="false"/>
          <w:color w:val="010101"/>
          <w:sz w:val="20"/>
        </w:rPr>
        <w:t>The powers which this Deed confers on the Administrative Agent and any Receiver appointed under this Deed are cumulative</w:t>
      </w:r>
      <w:r>
        <w:rPr>
          <w:rFonts w:ascii="Arial;sans-serif" w:hAnsi="Arial;sans-serif"/>
          <w:b w:val="false"/>
          <w:color w:val="1A1A1A"/>
          <w:sz w:val="20"/>
        </w:rPr>
        <w:t xml:space="preserve">, </w:t>
      </w:r>
      <w:r>
        <w:rPr>
          <w:rFonts w:ascii="Arial;sans-serif" w:hAnsi="Arial;sans-serif"/>
          <w:b w:val="false"/>
          <w:color w:val="010101"/>
          <w:sz w:val="20"/>
        </w:rPr>
        <w:t xml:space="preserve">without prejudice to their respective powers under the general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050"/>
                <wp:effectExtent l="0" t="0" r="0" b="0"/>
                <wp:wrapNone/>
                <wp:docPr id="495" name="Frame48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19</w:t>
                      </w:r>
                    </w:p>
                  </w:txbxContent>
                </v:textbox>
              </v:rect>
            </w:pict>
          </mc:Fallback>
        </mc:AlternateContent>
      </w:r>
    </w:p>
    <w:p>
      <w:pPr>
        <w:pStyle w:val="TextBody"/>
        <w:spacing w:lineRule="auto" w:line="288" w:before="0" w:after="180"/>
        <w:jc w:val="both"/>
        <w:rPr/>
      </w:pPr>
      <w:r>
        <w:rPr>
          <w:rFonts w:ascii="Arial;sans-serif" w:hAnsi="Arial;sans-serif"/>
          <w:b w:val="false"/>
          <w:color w:val="010101"/>
          <w:sz w:val="20"/>
        </w:rPr>
        <w:t>law</w:t>
      </w:r>
      <w:r>
        <w:rPr>
          <w:rFonts w:ascii="Arial;sans-serif" w:hAnsi="Arial;sans-serif"/>
          <w:b w:val="false"/>
          <w:color w:val="1A1A1A"/>
          <w:sz w:val="20"/>
        </w:rPr>
        <w:t xml:space="preserve">, </w:t>
      </w:r>
      <w:r>
        <w:rPr>
          <w:rFonts w:ascii="Arial;sans-serif" w:hAnsi="Arial;sans-serif"/>
          <w:b w:val="false"/>
          <w:color w:val="010101"/>
          <w:sz w:val="20"/>
        </w:rPr>
        <w:t>and may be exercised as often as the relevant person thinks appropriate</w:t>
      </w:r>
      <w:r>
        <w:rPr>
          <w:rFonts w:ascii="Arial;sans-serif" w:hAnsi="Arial;sans-serif"/>
          <w:b w:val="false"/>
          <w:color w:val="3B3B3B"/>
          <w:sz w:val="20"/>
        </w:rPr>
        <w:t xml:space="preserve">. </w:t>
      </w:r>
      <w:r>
        <w:rPr>
          <w:rFonts w:ascii="Arial;sans-serif" w:hAnsi="Arial;sans-serif"/>
          <w:b w:val="false"/>
          <w:color w:val="010101"/>
          <w:sz w:val="20"/>
        </w:rPr>
        <w:t>The Administrative Agent or the Receiver may</w:t>
      </w:r>
      <w:r>
        <w:rPr>
          <w:rFonts w:ascii="Arial;sans-serif" w:hAnsi="Arial;sans-serif"/>
          <w:b w:val="false"/>
          <w:color w:val="1A1A1A"/>
          <w:sz w:val="20"/>
        </w:rPr>
        <w:t xml:space="preserve">, </w:t>
      </w:r>
      <w:r>
        <w:rPr>
          <w:rFonts w:ascii="Arial;sans-serif" w:hAnsi="Arial;sans-serif"/>
          <w:b w:val="false"/>
          <w:color w:val="010101"/>
          <w:sz w:val="20"/>
        </w:rPr>
        <w:t>in connection with the exercise of their powers, join or concur with any person in any transaction</w:t>
      </w:r>
      <w:r>
        <w:rPr>
          <w:rFonts w:ascii="Arial;sans-serif" w:hAnsi="Arial;sans-serif"/>
          <w:b w:val="false"/>
          <w:color w:val="1A1A1A"/>
          <w:sz w:val="20"/>
        </w:rPr>
        <w:t xml:space="preserve">, </w:t>
      </w:r>
      <w:r>
        <w:rPr>
          <w:rFonts w:ascii="Arial;sans-serif" w:hAnsi="Arial;sans-serif"/>
          <w:b w:val="false"/>
          <w:color w:val="010101"/>
          <w:sz w:val="20"/>
        </w:rPr>
        <w:t>scheme or arrangement whatsoever. The respective powers of the Administrative Agent and the Receiver will in no circumstances be suspended, waived or otherwise prejudiced by anything other than an express consent or amendment.</w:t>
      </w:r>
    </w:p>
    <w:p>
      <w:pPr>
        <w:pStyle w:val="TextBody"/>
        <w:spacing w:lineRule="auto" w:line="288" w:before="0" w:after="180"/>
        <w:ind w:left="0" w:right="0" w:hanging="720"/>
        <w:rPr/>
      </w:pPr>
      <w:r>
        <w:rPr>
          <w:rFonts w:ascii="Arial;sans-serif" w:hAnsi="Arial;sans-serif"/>
          <w:b w:val="false"/>
          <w:color w:val="010101"/>
          <w:sz w:val="20"/>
        </w:rPr>
        <w:t>14.2    </w:t>
      </w:r>
      <w:r>
        <w:rPr>
          <w:rFonts w:ascii="Arial;sans-serif" w:hAnsi="Arial;sans-serif"/>
          <w:b/>
          <w:i/>
          <w:color w:val="010101"/>
          <w:sz w:val="20"/>
        </w:rPr>
        <w:t>Amounts Avoided</w:t>
      </w:r>
    </w:p>
    <w:p>
      <w:pPr>
        <w:pStyle w:val="TextBody"/>
        <w:spacing w:lineRule="auto" w:line="288" w:before="0" w:after="180"/>
        <w:jc w:val="both"/>
        <w:rPr/>
      </w:pPr>
      <w:r>
        <w:rPr>
          <w:rFonts w:ascii="Arial;sans-serif" w:hAnsi="Arial;sans-serif"/>
          <w:b w:val="false"/>
          <w:color w:val="010101"/>
          <w:sz w:val="20"/>
        </w:rPr>
        <w:t>If any amount paid by a Chargor in respect of the Secured Liabilities is capable of being avoided or set aside on the liquidation or administration of a Chargor or otherwise</w:t>
      </w:r>
      <w:r>
        <w:rPr>
          <w:rFonts w:ascii="Arial;sans-serif" w:hAnsi="Arial;sans-serif"/>
          <w:b w:val="false"/>
          <w:color w:val="1A1A1A"/>
          <w:sz w:val="20"/>
        </w:rPr>
        <w:t xml:space="preserve">, </w:t>
      </w:r>
      <w:r>
        <w:rPr>
          <w:rFonts w:ascii="Arial;sans-serif" w:hAnsi="Arial;sans-serif"/>
          <w:b w:val="false"/>
          <w:color w:val="010101"/>
          <w:sz w:val="20"/>
        </w:rPr>
        <w:t>then for the purposes of this Deed that amount shall not be considered to have been paid. No interest shall accrue on any such amount</w:t>
      </w:r>
      <w:r>
        <w:rPr>
          <w:rFonts w:ascii="Arial;sans-serif" w:hAnsi="Arial;sans-serif"/>
          <w:b w:val="false"/>
          <w:color w:val="1A1A1A"/>
          <w:sz w:val="20"/>
        </w:rPr>
        <w:t xml:space="preserve">, </w:t>
      </w:r>
      <w:r>
        <w:rPr>
          <w:rFonts w:ascii="Arial;sans-serif" w:hAnsi="Arial;sans-serif"/>
          <w:b w:val="false"/>
          <w:color w:val="010101"/>
          <w:sz w:val="20"/>
        </w:rPr>
        <w:t>unless and until such amount is so avoided or set aside</w:t>
      </w:r>
      <w:r>
        <w:rPr>
          <w:rFonts w:ascii="Arial;sans-serif" w:hAnsi="Arial;sans-serif"/>
          <w:b w:val="false"/>
          <w:color w:val="3B3B3B"/>
          <w:sz w:val="20"/>
        </w:rPr>
        <w:t>.</w:t>
      </w:r>
    </w:p>
    <w:p>
      <w:pPr>
        <w:pStyle w:val="TextBody"/>
        <w:spacing w:lineRule="auto" w:line="288" w:before="0" w:after="180"/>
        <w:ind w:left="0" w:right="0" w:hanging="720"/>
        <w:rPr/>
      </w:pPr>
      <w:r>
        <w:rPr>
          <w:rFonts w:ascii="Arial;sans-serif" w:hAnsi="Arial;sans-serif"/>
          <w:b w:val="false"/>
          <w:color w:val="010101"/>
          <w:sz w:val="20"/>
        </w:rPr>
        <w:t>14.3    </w:t>
      </w:r>
      <w:r>
        <w:rPr>
          <w:rFonts w:ascii="Arial;sans-serif" w:hAnsi="Arial;sans-serif"/>
          <w:b/>
          <w:i/>
          <w:color w:val="010101"/>
          <w:sz w:val="20"/>
        </w:rPr>
        <w:t>Discharge Conditional</w:t>
      </w:r>
    </w:p>
    <w:p>
      <w:pPr>
        <w:pStyle w:val="TextBody"/>
        <w:spacing w:lineRule="auto" w:line="288" w:before="0" w:after="180"/>
        <w:jc w:val="both"/>
        <w:rPr/>
      </w:pPr>
      <w:r>
        <w:rPr>
          <w:rFonts w:ascii="Arial;sans-serif" w:hAnsi="Arial;sans-serif"/>
          <w:b w:val="false"/>
          <w:color w:val="010101"/>
          <w:sz w:val="20"/>
        </w:rPr>
        <w:t>Any settlement or discharge between a Chargor and the Administrative Agent shall be conditional upon no security or payment to the Administrative Agent by a Chargor or any other person being avoided</w:t>
      </w:r>
      <w:r>
        <w:rPr>
          <w:rFonts w:ascii="Arial;sans-serif" w:hAnsi="Arial;sans-serif"/>
          <w:b w:val="false"/>
          <w:color w:val="1A1A1A"/>
          <w:sz w:val="20"/>
        </w:rPr>
        <w:t xml:space="preserve">, </w:t>
      </w:r>
      <w:r>
        <w:rPr>
          <w:rFonts w:ascii="Arial;sans-serif" w:hAnsi="Arial;sans-serif"/>
          <w:b w:val="false"/>
          <w:color w:val="010101"/>
          <w:sz w:val="20"/>
        </w:rPr>
        <w:t>set aside</w:t>
      </w:r>
      <w:r>
        <w:rPr>
          <w:rFonts w:ascii="Arial;sans-serif" w:hAnsi="Arial;sans-serif"/>
          <w:b w:val="false"/>
          <w:color w:val="1A1A1A"/>
          <w:sz w:val="20"/>
        </w:rPr>
        <w:t xml:space="preserve">, </w:t>
      </w:r>
      <w:r>
        <w:rPr>
          <w:rFonts w:ascii="Arial;sans-serif" w:hAnsi="Arial;sans-serif"/>
          <w:b w:val="false"/>
          <w:color w:val="010101"/>
          <w:sz w:val="20"/>
        </w:rPr>
        <w:t>ordered to be refunded or reduced by virtue of any provision or enactment relating to insolvency and accordingly (but without limiting the other rights of the Administrative Agent under this Deed) the Administrative Agent shall be entitled to recover from each Chargor the value which the Administrative Agent has placed on that security or the amount of any such payment as if that settlement or discharge had not occurred.</w:t>
      </w:r>
    </w:p>
    <w:p>
      <w:pPr>
        <w:pStyle w:val="TextBody"/>
        <w:spacing w:lineRule="auto" w:line="288" w:before="0" w:after="180"/>
        <w:ind w:left="0" w:right="0" w:hanging="720"/>
        <w:rPr/>
      </w:pPr>
      <w:r>
        <w:rPr>
          <w:rFonts w:ascii="Arial;sans-serif" w:hAnsi="Arial;sans-serif"/>
          <w:b w:val="false"/>
          <w:color w:val="010101"/>
          <w:sz w:val="20"/>
        </w:rPr>
        <w:t>15.    </w:t>
      </w:r>
      <w:r>
        <w:rPr>
          <w:rFonts w:ascii="Arial;sans-serif" w:hAnsi="Arial;sans-serif"/>
          <w:b/>
          <w:color w:val="010101"/>
          <w:sz w:val="20"/>
        </w:rPr>
        <w:t>Ruling-off Accounts</w:t>
      </w:r>
    </w:p>
    <w:p>
      <w:pPr>
        <w:pStyle w:val="TextBody"/>
        <w:spacing w:lineRule="auto" w:line="288" w:before="0" w:after="180"/>
        <w:jc w:val="both"/>
        <w:rPr/>
      </w:pPr>
      <w:r>
        <w:rPr>
          <w:rFonts w:ascii="Arial;sans-serif" w:hAnsi="Arial;sans-serif"/>
          <w:b w:val="false"/>
          <w:color w:val="010101"/>
          <w:sz w:val="20"/>
        </w:rPr>
        <w:t>If the Administrative Agent receives notice of any subsequent Security Interest or other interest affecting any of the Security Assets it may open a new account for each relevant Chargor in its books</w:t>
      </w:r>
      <w:r>
        <w:rPr>
          <w:rFonts w:ascii="Arial;sans-serif" w:hAnsi="Arial;sans-serif"/>
          <w:b w:val="false"/>
          <w:color w:val="1A1A1A"/>
          <w:sz w:val="20"/>
        </w:rPr>
        <w:t xml:space="preserve">. </w:t>
      </w:r>
      <w:r>
        <w:rPr>
          <w:rFonts w:ascii="Arial;sans-serif" w:hAnsi="Arial;sans-serif"/>
          <w:b w:val="false"/>
          <w:color w:val="010101"/>
          <w:sz w:val="20"/>
        </w:rPr>
        <w:t>If it does not do so then (unless it gives written notice to the contrary to the Chargors or any of them)</w:t>
      </w:r>
      <w:r>
        <w:rPr>
          <w:rFonts w:ascii="Arial;sans-serif" w:hAnsi="Arial;sans-serif"/>
          <w:b w:val="false"/>
          <w:color w:val="1A1A1A"/>
          <w:sz w:val="20"/>
        </w:rPr>
        <w:t xml:space="preserve">, </w:t>
      </w:r>
      <w:r>
        <w:rPr>
          <w:rFonts w:ascii="Arial;sans-serif" w:hAnsi="Arial;sans-serif"/>
          <w:b w:val="false"/>
          <w:color w:val="010101"/>
          <w:sz w:val="20"/>
        </w:rPr>
        <w:t>as from the time it receives that notice</w:t>
      </w:r>
      <w:r>
        <w:rPr>
          <w:rFonts w:ascii="Arial;sans-serif" w:hAnsi="Arial;sans-serif"/>
          <w:b w:val="false"/>
          <w:color w:val="1A1A1A"/>
          <w:sz w:val="20"/>
        </w:rPr>
        <w:t xml:space="preserve">, </w:t>
      </w:r>
      <w:r>
        <w:rPr>
          <w:rFonts w:ascii="Arial;sans-serif" w:hAnsi="Arial;sans-serif"/>
          <w:b w:val="false"/>
          <w:color w:val="010101"/>
          <w:sz w:val="20"/>
        </w:rPr>
        <w:t>all payments made by the relevant Chargor to it (in the absence of any express appropriation to the contrary) shall be treated as having been credited to a new account of that Chargor and not as having been applied in reduction of the Secured Liabilities</w:t>
      </w:r>
      <w:r>
        <w:rPr>
          <w:rFonts w:ascii="Arial;sans-serif" w:hAnsi="Arial;sans-serif"/>
          <w:b w:val="false"/>
          <w:color w:val="3F3F3F"/>
          <w:sz w:val="20"/>
        </w:rPr>
        <w:t>.</w:t>
      </w:r>
    </w:p>
    <w:p>
      <w:pPr>
        <w:pStyle w:val="TextBody"/>
        <w:spacing w:lineRule="auto" w:line="288" w:before="0" w:after="180"/>
        <w:ind w:left="0" w:right="0" w:hanging="720"/>
        <w:rPr/>
      </w:pPr>
      <w:r>
        <w:rPr>
          <w:rFonts w:ascii="Arial;sans-serif" w:hAnsi="Arial;sans-serif"/>
          <w:b w:val="false"/>
          <w:color w:val="010101"/>
          <w:sz w:val="20"/>
        </w:rPr>
        <w:t>16.    </w:t>
      </w:r>
      <w:r>
        <w:rPr>
          <w:rFonts w:ascii="Arial;sans-serif" w:hAnsi="Arial;sans-serif"/>
          <w:b/>
          <w:color w:val="010101"/>
          <w:sz w:val="20"/>
        </w:rPr>
        <w:t>Power of Attorney</w:t>
      </w:r>
    </w:p>
    <w:p>
      <w:pPr>
        <w:pStyle w:val="TextBody"/>
        <w:spacing w:lineRule="auto" w:line="288" w:before="0" w:after="180"/>
        <w:ind w:left="0" w:right="0" w:hanging="720"/>
        <w:jc w:val="both"/>
        <w:rPr/>
      </w:pPr>
      <w:r>
        <w:rPr>
          <w:rFonts w:ascii="Arial;sans-serif" w:hAnsi="Arial;sans-serif"/>
          <w:b w:val="false"/>
          <w:color w:val="010101"/>
          <w:sz w:val="20"/>
        </w:rPr>
        <w:t>16.1    Each Chargor, by way of security, irrevocably and severally appoints each of the Administrative Agent and any Receiver as its attorney (with full power of substitution and delegation) in its name and on its behalf and as its act and deed to execute, seal and deliver (using the company seal where appropriate) and otherwise perfect and do any deed</w:t>
      </w:r>
      <w:r>
        <w:rPr>
          <w:rFonts w:ascii="Arial;sans-serif" w:hAnsi="Arial;sans-serif"/>
          <w:b w:val="false"/>
          <w:color w:val="1C1C1C"/>
          <w:sz w:val="20"/>
        </w:rPr>
        <w:t xml:space="preserve">, </w:t>
      </w:r>
      <w:r>
        <w:rPr>
          <w:rFonts w:ascii="Arial;sans-serif" w:hAnsi="Arial;sans-serif"/>
          <w:b w:val="false"/>
          <w:color w:val="010101"/>
          <w:sz w:val="20"/>
        </w:rPr>
        <w:t>assurance</w:t>
      </w:r>
      <w:r>
        <w:rPr>
          <w:rFonts w:ascii="Arial;sans-serif" w:hAnsi="Arial;sans-serif"/>
          <w:b w:val="false"/>
          <w:color w:val="1C1C1C"/>
          <w:sz w:val="20"/>
        </w:rPr>
        <w:t xml:space="preserve">, </w:t>
      </w:r>
      <w:r>
        <w:rPr>
          <w:rFonts w:ascii="Arial;sans-serif" w:hAnsi="Arial;sans-serif"/>
          <w:b w:val="false"/>
          <w:color w:val="010101"/>
          <w:sz w:val="20"/>
        </w:rPr>
        <w:t>agreement</w:t>
      </w:r>
      <w:r>
        <w:rPr>
          <w:rFonts w:ascii="Arial;sans-serif" w:hAnsi="Arial;sans-serif"/>
          <w:b w:val="false"/>
          <w:color w:val="1C1C1C"/>
          <w:sz w:val="20"/>
        </w:rPr>
        <w:t xml:space="preserve">, </w:t>
      </w:r>
      <w:r>
        <w:rPr>
          <w:rFonts w:ascii="Arial;sans-serif" w:hAnsi="Arial;sans-serif"/>
          <w:b w:val="false"/>
          <w:color w:val="010101"/>
          <w:sz w:val="20"/>
        </w:rPr>
        <w:t>instrument, act or thing which it ought to execute and do under the terms of this Deed</w:t>
      </w:r>
      <w:r>
        <w:rPr>
          <w:rFonts w:ascii="Arial;sans-serif" w:hAnsi="Arial;sans-serif"/>
          <w:b w:val="false"/>
          <w:color w:val="1C1C1C"/>
          <w:sz w:val="20"/>
        </w:rPr>
        <w:t xml:space="preserve">, </w:t>
      </w:r>
      <w:r>
        <w:rPr>
          <w:rFonts w:ascii="Arial;sans-serif" w:hAnsi="Arial;sans-serif"/>
          <w:b w:val="false"/>
          <w:color w:val="010101"/>
          <w:sz w:val="20"/>
        </w:rPr>
        <w:t>or which may be required or deemed proper in the exercise of any rights or powers conferred on the Administrative Agent or any Receiver under this Deed or otherwise for any of the purposes of this Deed</w:t>
      </w:r>
      <w:r>
        <w:rPr>
          <w:rFonts w:ascii="Arial;sans-serif" w:hAnsi="Arial;sans-serif"/>
          <w:b w:val="false"/>
          <w:color w:val="1C1C1C"/>
          <w:sz w:val="20"/>
        </w:rPr>
        <w:t xml:space="preserve">, </w:t>
      </w:r>
      <w:r>
        <w:rPr>
          <w:rFonts w:ascii="Arial;sans-serif" w:hAnsi="Arial;sans-serif"/>
          <w:b w:val="false"/>
          <w:color w:val="010101"/>
          <w:sz w:val="20"/>
        </w:rPr>
        <w:t>and each Chargor covenants with each of the Administrative Agent and any Receiver to ratify and confirm all such acts or things made</w:t>
      </w:r>
      <w:r>
        <w:rPr>
          <w:rFonts w:ascii="Arial;sans-serif" w:hAnsi="Arial;sans-serif"/>
          <w:b w:val="false"/>
          <w:color w:val="1C1C1C"/>
          <w:sz w:val="20"/>
        </w:rPr>
        <w:t xml:space="preserve">, </w:t>
      </w:r>
      <w:r>
        <w:rPr>
          <w:rFonts w:ascii="Arial;sans-serif" w:hAnsi="Arial;sans-serif"/>
          <w:b w:val="false"/>
          <w:color w:val="010101"/>
          <w:sz w:val="20"/>
        </w:rPr>
        <w:t>done or executed by that attorney</w:t>
      </w:r>
      <w:r>
        <w:rPr>
          <w:rFonts w:ascii="Arial;sans-serif" w:hAnsi="Arial;sans-serif"/>
          <w:b w:val="false"/>
          <w:color w:val="3F3F3F"/>
          <w:sz w:val="20"/>
        </w:rPr>
        <w:t>.</w:t>
      </w:r>
    </w:p>
    <w:p>
      <w:pPr>
        <w:pStyle w:val="TextBody"/>
        <w:spacing w:lineRule="auto" w:line="288" w:before="0" w:after="180"/>
        <w:ind w:left="0" w:right="0" w:hanging="720"/>
        <w:rPr/>
      </w:pPr>
      <w:r>
        <w:rPr>
          <w:rFonts w:ascii="Arial;sans-serif" w:hAnsi="Arial;sans-serif"/>
          <w:b w:val="false"/>
          <w:color w:val="010101"/>
          <w:sz w:val="20"/>
        </w:rPr>
        <w:t>17.    </w:t>
      </w:r>
      <w:r>
        <w:rPr>
          <w:rFonts w:ascii="Arial;sans-serif" w:hAnsi="Arial;sans-serif"/>
          <w:b/>
          <w:color w:val="010101"/>
          <w:sz w:val="20"/>
        </w:rPr>
        <w:t>Delegation</w:t>
      </w:r>
    </w:p>
    <w:p>
      <w:pPr>
        <w:pStyle w:val="TextBody"/>
        <w:spacing w:lineRule="auto" w:line="288" w:before="0" w:after="180"/>
        <w:ind w:left="0" w:right="0" w:hanging="720"/>
        <w:jc w:val="both"/>
        <w:rPr/>
      </w:pPr>
      <w:r>
        <w:rPr>
          <w:rFonts w:ascii="Arial;sans-serif" w:hAnsi="Arial;sans-serif"/>
          <w:b w:val="false"/>
          <w:color w:val="010101"/>
          <w:sz w:val="20"/>
        </w:rPr>
        <w:t>17.1    The Administrative Agent may</w:t>
      </w:r>
      <w:r>
        <w:rPr>
          <w:rFonts w:ascii="Arial;sans-serif" w:hAnsi="Arial;sans-serif"/>
          <w:b w:val="false"/>
          <w:color w:val="1C1C1C"/>
          <w:sz w:val="20"/>
        </w:rPr>
        <w:t xml:space="preserve">, </w:t>
      </w:r>
      <w:r>
        <w:rPr>
          <w:rFonts w:ascii="Arial;sans-serif" w:hAnsi="Arial;sans-serif"/>
          <w:b w:val="false"/>
          <w:color w:val="010101"/>
          <w:sz w:val="20"/>
        </w:rPr>
        <w:t>at any time</w:t>
      </w:r>
      <w:r>
        <w:rPr>
          <w:rFonts w:ascii="Arial;sans-serif" w:hAnsi="Arial;sans-serif"/>
          <w:b w:val="false"/>
          <w:color w:val="1C1C1C"/>
          <w:sz w:val="20"/>
        </w:rPr>
        <w:t xml:space="preserve">, </w:t>
      </w:r>
      <w:r>
        <w:rPr>
          <w:rFonts w:ascii="Arial;sans-serif" w:hAnsi="Arial;sans-serif"/>
          <w:b w:val="false"/>
          <w:color w:val="010101"/>
          <w:sz w:val="20"/>
        </w:rPr>
        <w:t>delegate by power of attorney or otherwise to any person for any period</w:t>
      </w:r>
      <w:r>
        <w:rPr>
          <w:rFonts w:ascii="Arial;sans-serif" w:hAnsi="Arial;sans-serif"/>
          <w:b w:val="false"/>
          <w:color w:val="1C1C1C"/>
          <w:sz w:val="20"/>
        </w:rPr>
        <w:t xml:space="preserve">, </w:t>
      </w:r>
      <w:r>
        <w:rPr>
          <w:rFonts w:ascii="Arial;sans-serif" w:hAnsi="Arial;sans-serif"/>
          <w:b w:val="false"/>
          <w:color w:val="010101"/>
          <w:sz w:val="20"/>
        </w:rPr>
        <w:t>all or any of the rights</w:t>
      </w:r>
      <w:r>
        <w:rPr>
          <w:rFonts w:ascii="Arial;sans-serif" w:hAnsi="Arial;sans-serif"/>
          <w:b w:val="false"/>
          <w:color w:val="1C1C1C"/>
          <w:sz w:val="20"/>
        </w:rPr>
        <w:t xml:space="preserve">, </w:t>
      </w:r>
      <w:r>
        <w:rPr>
          <w:rFonts w:ascii="Arial;sans-serif" w:hAnsi="Arial;sans-serif"/>
          <w:b w:val="false"/>
          <w:color w:val="010101"/>
          <w:sz w:val="20"/>
        </w:rPr>
        <w:t>powers and discretions vested in it by or pursuant to this Deed.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17.2    That delegation may be made upon any terms and conditions (including the power to sub delegate) and subject to any restrictions that the Administrative Agent may, in its discretion, think fit in the interests of the Administrative Agent and it shall not be bound to supervise, or be in any way responsible for any loss incurred by reason of any misconduct or default on the part of any such delegate or sub delegate.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050"/>
                <wp:effectExtent l="0" t="0" r="0" b="0"/>
                <wp:wrapNone/>
                <wp:docPr id="496" name="Frame48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20</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18.    </w:t>
      </w:r>
      <w:r>
        <w:rPr>
          <w:rFonts w:ascii="Arial;sans-serif" w:hAnsi="Arial;sans-serif"/>
          <w:b/>
          <w:color w:val="010101"/>
          <w:sz w:val="20"/>
        </w:rPr>
        <w:t>Redemption of Prior Charges</w:t>
      </w:r>
    </w:p>
    <w:p>
      <w:pPr>
        <w:pStyle w:val="TextBody"/>
        <w:spacing w:lineRule="auto" w:line="288" w:before="0" w:after="180"/>
        <w:jc w:val="both"/>
        <w:rPr/>
      </w:pPr>
      <w:r>
        <w:rPr>
          <w:rFonts w:ascii="Arial;sans-serif" w:hAnsi="Arial;sans-serif"/>
          <w:b w:val="false"/>
          <w:color w:val="010101"/>
          <w:sz w:val="20"/>
        </w:rPr>
        <w:t>The Administrative Agent may</w:t>
      </w:r>
      <w:r>
        <w:rPr>
          <w:rFonts w:ascii="Arial;sans-serif" w:hAnsi="Arial;sans-serif"/>
          <w:b w:val="false"/>
          <w:color w:val="1C1C1C"/>
          <w:sz w:val="20"/>
        </w:rPr>
        <w:t xml:space="preserve">, </w:t>
      </w:r>
      <w:r>
        <w:rPr>
          <w:rFonts w:ascii="Arial;sans-serif" w:hAnsi="Arial;sans-serif"/>
          <w:b w:val="false"/>
          <w:color w:val="010101"/>
          <w:sz w:val="20"/>
        </w:rPr>
        <w:t>redeem any prior Security Interest on or relating to any of the Security Assets or procure the transfer of that Security Interest to itself</w:t>
      </w:r>
      <w:r>
        <w:rPr>
          <w:rFonts w:ascii="Arial;sans-serif" w:hAnsi="Arial;sans-serif"/>
          <w:b w:val="false"/>
          <w:color w:val="1C1C1C"/>
          <w:sz w:val="20"/>
        </w:rPr>
        <w:t xml:space="preserve">, </w:t>
      </w:r>
      <w:r>
        <w:rPr>
          <w:rFonts w:ascii="Arial;sans-serif" w:hAnsi="Arial;sans-serif"/>
          <w:b w:val="false"/>
          <w:color w:val="010101"/>
          <w:sz w:val="20"/>
        </w:rPr>
        <w:t>and may settle and pass the accounts of any person entitled to that prior Security Interest. Any account so settled and passed shall (subject to any manifest error) be conclusive and binding on the Chargors</w:t>
      </w:r>
      <w:r>
        <w:rPr>
          <w:rFonts w:ascii="Arial;sans-serif" w:hAnsi="Arial;sans-serif"/>
          <w:b w:val="false"/>
          <w:color w:val="3F3F3F"/>
          <w:sz w:val="20"/>
        </w:rPr>
        <w:t xml:space="preserve">. </w:t>
      </w:r>
      <w:r>
        <w:rPr>
          <w:rFonts w:ascii="Arial;sans-serif" w:hAnsi="Arial;sans-serif"/>
          <w:b w:val="false"/>
          <w:color w:val="010101"/>
          <w:sz w:val="20"/>
        </w:rPr>
        <w:t>Each Chargor will on demand pay to the Administrative Agent all principal monies and interest and all losses incidental to any such redemption or transfer.</w:t>
      </w:r>
    </w:p>
    <w:p>
      <w:pPr>
        <w:pStyle w:val="TextBody"/>
        <w:spacing w:lineRule="auto" w:line="288" w:before="0" w:after="180"/>
        <w:ind w:left="0" w:right="0" w:hanging="720"/>
        <w:rPr/>
      </w:pPr>
      <w:r>
        <w:rPr>
          <w:rFonts w:ascii="Arial;sans-serif" w:hAnsi="Arial;sans-serif"/>
          <w:b w:val="false"/>
          <w:color w:val="010101"/>
          <w:sz w:val="20"/>
        </w:rPr>
        <w:t>19.    </w:t>
      </w:r>
      <w:r>
        <w:rPr>
          <w:rFonts w:ascii="Arial;sans-serif" w:hAnsi="Arial;sans-serif"/>
          <w:b/>
          <w:color w:val="010101"/>
          <w:sz w:val="20"/>
        </w:rPr>
        <w:t>Miscellaneous</w:t>
      </w:r>
    </w:p>
    <w:p>
      <w:pPr>
        <w:pStyle w:val="TextBody"/>
        <w:spacing w:lineRule="auto" w:line="288" w:before="0" w:after="180"/>
        <w:ind w:left="0" w:right="0" w:hanging="720"/>
        <w:rPr/>
      </w:pPr>
      <w:r>
        <w:rPr>
          <w:rFonts w:ascii="Arial;sans-serif" w:hAnsi="Arial;sans-serif"/>
          <w:b w:val="false"/>
          <w:color w:val="010101"/>
          <w:sz w:val="20"/>
        </w:rPr>
        <w:t>19.1    </w:t>
      </w:r>
      <w:r>
        <w:rPr>
          <w:rFonts w:ascii="Arial;sans-serif" w:hAnsi="Arial;sans-serif"/>
          <w:b/>
          <w:i/>
          <w:color w:val="010101"/>
          <w:sz w:val="20"/>
        </w:rPr>
        <w:t>Assignment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No Chargor may assign any of its rights or transfer any of its rights or obligations under this Deed. The Administrative Agent may assign and transfer all or any part of its rights and obligations under this Deed.</w:t>
      </w:r>
    </w:p>
    <w:p>
      <w:pPr>
        <w:pStyle w:val="TextBody"/>
        <w:spacing w:lineRule="auto" w:line="288" w:before="0" w:after="180"/>
        <w:ind w:left="0" w:right="0" w:hanging="720"/>
        <w:rPr/>
      </w:pPr>
      <w:r>
        <w:rPr>
          <w:rFonts w:ascii="Arial;sans-serif" w:hAnsi="Arial;sans-serif"/>
          <w:b w:val="false"/>
          <w:color w:val="010101"/>
          <w:sz w:val="20"/>
        </w:rPr>
        <w:t>19.2    </w:t>
      </w:r>
      <w:r>
        <w:rPr>
          <w:rFonts w:ascii="Arial;sans-serif" w:hAnsi="Arial;sans-serif"/>
          <w:b/>
          <w:i/>
          <w:color w:val="010101"/>
          <w:sz w:val="20"/>
        </w:rPr>
        <w:t>Counterparts</w:t>
      </w:r>
    </w:p>
    <w:p>
      <w:pPr>
        <w:pStyle w:val="TextBody"/>
        <w:spacing w:lineRule="auto" w:line="288" w:before="0" w:after="180"/>
        <w:ind w:left="0" w:right="0" w:hanging="720"/>
        <w:jc w:val="both"/>
        <w:rPr/>
      </w:pPr>
      <w:r>
        <w:rPr>
          <w:rFonts w:ascii="Arial;sans-serif" w:hAnsi="Arial;sans-serif"/>
          <w:b w:val="false"/>
          <w:color w:val="010101"/>
          <w:sz w:val="20"/>
        </w:rPr>
        <w:t xml:space="preserve">(a)    This Deed may be executed in any number of counterparts, and this has the same effect as if the signatures on the counterparts were on a single copy of this Deed. Any signature (including, without limitation, (x) any electronic symbol or process attached to, or associated with, a contract or other record and adopted by a person with the intent to sign, authenticate or accept such contract or record and (y) any facsimile, E-pencil or </w:t>
      </w:r>
      <w:r>
        <w:rPr>
          <w:rFonts w:ascii="Arial;sans-serif" w:hAnsi="Arial;sans-serif"/>
          <w:b w:val="false"/>
          <w:color w:val="3F3F3F"/>
          <w:sz w:val="20"/>
        </w:rPr>
        <w:t>.</w:t>
      </w:r>
      <w:r>
        <w:rPr>
          <w:rFonts w:ascii="Arial;sans-serif" w:hAnsi="Arial;sans-serif"/>
          <w:b w:val="false"/>
          <w:color w:val="010101"/>
          <w:sz w:val="20"/>
        </w:rPr>
        <w:t>pdf signature) hereto through electronic means, shall have the same legal validity and enforceability as a manually executed signature or use of a paper-based record-keeping system to the fullest extent permitted by applicable law.</w:t>
      </w:r>
    </w:p>
    <w:p>
      <w:pPr>
        <w:pStyle w:val="TextBody"/>
        <w:spacing w:lineRule="auto" w:line="288" w:before="0" w:after="180"/>
        <w:ind w:left="0" w:right="0" w:hanging="720"/>
        <w:jc w:val="both"/>
        <w:rPr/>
      </w:pPr>
      <w:r>
        <w:rPr>
          <w:rFonts w:ascii="Arial;sans-serif" w:hAnsi="Arial;sans-serif"/>
          <w:b w:val="false"/>
          <w:color w:val="010101"/>
          <w:sz w:val="20"/>
        </w:rPr>
        <w:t xml:space="preserve">(b)    Failure by one or more Parties </w:t>
      </w:r>
      <w:r>
        <w:rPr>
          <w:rFonts w:ascii="Arial;sans-serif" w:hAnsi="Arial;sans-serif"/>
          <w:b/>
          <w:color w:val="010101"/>
          <w:sz w:val="20"/>
        </w:rPr>
        <w:t xml:space="preserve">("Non-Signatories") </w:t>
      </w:r>
      <w:r>
        <w:rPr>
          <w:rFonts w:ascii="Arial;sans-serif" w:hAnsi="Arial;sans-serif"/>
          <w:b w:val="false"/>
          <w:color w:val="010101"/>
          <w:sz w:val="20"/>
        </w:rPr>
        <w:t>to execute this Deed on the date of this Deed will not invalidate the provisions of this Deed as between the other Parties who do execute this Deed. Any Non-Signatories may execute this Deed (or a counterpart of this Deed) on a subsequent date and will thereupon become bound by its provisions</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(c)    If any one or more of the Chargors is not bound by any or all of the provisions of this Deed (whether by reason of lack of capacity</w:t>
      </w:r>
      <w:r>
        <w:rPr>
          <w:rFonts w:ascii="Arial;sans-serif" w:hAnsi="Arial;sans-serif"/>
          <w:b w:val="false"/>
          <w:color w:val="1A1A1A"/>
          <w:sz w:val="20"/>
        </w:rPr>
        <w:t xml:space="preserve">, </w:t>
      </w:r>
      <w:r>
        <w:rPr>
          <w:rFonts w:ascii="Arial;sans-serif" w:hAnsi="Arial;sans-serif"/>
          <w:b w:val="false"/>
          <w:color w:val="010101"/>
          <w:sz w:val="20"/>
        </w:rPr>
        <w:t>improper execution</w:t>
      </w:r>
      <w:r>
        <w:rPr>
          <w:rFonts w:ascii="Arial;sans-serif" w:hAnsi="Arial;sans-serif"/>
          <w:b w:val="false"/>
          <w:color w:val="1A1A1A"/>
          <w:sz w:val="20"/>
        </w:rPr>
        <w:t xml:space="preserve">, </w:t>
      </w:r>
      <w:r>
        <w:rPr>
          <w:rFonts w:ascii="Arial;sans-serif" w:hAnsi="Arial;sans-serif"/>
          <w:b w:val="false"/>
          <w:color w:val="010101"/>
          <w:sz w:val="20"/>
        </w:rPr>
        <w:t>failure to execute or for any other reason whatsoever) the remaining Chargors shall nonetheless continue to be bound as if such Chargor had never been a party.</w:t>
      </w:r>
    </w:p>
    <w:p>
      <w:pPr>
        <w:pStyle w:val="TextBody"/>
        <w:spacing w:lineRule="auto" w:line="288" w:before="0" w:after="180"/>
        <w:ind w:left="0" w:right="0" w:hanging="720"/>
        <w:rPr/>
      </w:pPr>
      <w:r>
        <w:rPr>
          <w:rFonts w:ascii="Arial;sans-serif" w:hAnsi="Arial;sans-serif"/>
          <w:b w:val="false"/>
          <w:color w:val="010101"/>
          <w:sz w:val="20"/>
        </w:rPr>
        <w:t>19.3    </w:t>
      </w:r>
      <w:r>
        <w:rPr>
          <w:rFonts w:ascii="Arial;sans-serif" w:hAnsi="Arial;sans-serif"/>
          <w:b/>
          <w:i/>
          <w:color w:val="010101"/>
          <w:sz w:val="20"/>
        </w:rPr>
        <w:t>Covenant to Release</w:t>
      </w:r>
    </w:p>
    <w:p>
      <w:pPr>
        <w:pStyle w:val="TextBody"/>
        <w:spacing w:lineRule="auto" w:line="288" w:before="0" w:after="180"/>
        <w:jc w:val="both"/>
        <w:rPr/>
      </w:pPr>
      <w:r>
        <w:rPr>
          <w:rFonts w:ascii="Arial;sans-serif" w:hAnsi="Arial;sans-serif"/>
          <w:b w:val="false"/>
          <w:color w:val="010101"/>
          <w:sz w:val="20"/>
        </w:rPr>
        <w:t>At the end of the Security Period</w:t>
      </w:r>
      <w:r>
        <w:rPr>
          <w:rFonts w:ascii="Arial;sans-serif" w:hAnsi="Arial;sans-serif"/>
          <w:b w:val="false"/>
          <w:color w:val="1A1A1A"/>
          <w:sz w:val="20"/>
        </w:rPr>
        <w:t xml:space="preserve">, </w:t>
      </w:r>
      <w:r>
        <w:rPr>
          <w:rFonts w:ascii="Arial;sans-serif" w:hAnsi="Arial;sans-serif"/>
          <w:b w:val="false"/>
          <w:color w:val="010101"/>
          <w:sz w:val="20"/>
        </w:rPr>
        <w:t>the Administrative Agent shall, at the request and cost of the Chargors</w:t>
      </w:r>
      <w:r>
        <w:rPr>
          <w:rFonts w:ascii="Arial;sans-serif" w:hAnsi="Arial;sans-serif"/>
          <w:b w:val="false"/>
          <w:color w:val="1A1A1A"/>
          <w:sz w:val="20"/>
        </w:rPr>
        <w:t xml:space="preserve">, </w:t>
      </w:r>
      <w:r>
        <w:rPr>
          <w:rFonts w:ascii="Arial;sans-serif" w:hAnsi="Arial;sans-serif"/>
          <w:b w:val="false"/>
          <w:color w:val="010101"/>
          <w:sz w:val="20"/>
        </w:rPr>
        <w:t>release the Security Assets from the security constituted by this Deed (including any assignment by way of security) by executing any documents or taking any other action which may be necessary to release the Security Assets from the Security constituted by this Deed</w:t>
      </w:r>
      <w:r>
        <w:rPr>
          <w:rFonts w:ascii="Arial;sans-serif" w:hAnsi="Arial;sans-serif"/>
          <w:b w:val="false"/>
          <w:color w:val="3D3D3D"/>
          <w:sz w:val="20"/>
        </w:rPr>
        <w:t>.</w:t>
      </w:r>
    </w:p>
    <w:p>
      <w:pPr>
        <w:pStyle w:val="TextBody"/>
        <w:spacing w:lineRule="auto" w:line="288" w:before="0" w:after="180"/>
        <w:ind w:left="0" w:right="0" w:hanging="720"/>
        <w:rPr/>
      </w:pPr>
      <w:r>
        <w:rPr>
          <w:rFonts w:ascii="Arial;sans-serif" w:hAnsi="Arial;sans-serif"/>
          <w:b w:val="false"/>
          <w:color w:val="010101"/>
          <w:sz w:val="20"/>
        </w:rPr>
        <w:t>19.4    </w:t>
      </w:r>
      <w:r>
        <w:rPr>
          <w:rFonts w:ascii="Arial;sans-serif" w:hAnsi="Arial;sans-serif"/>
          <w:b/>
          <w:i/>
          <w:color w:val="010101"/>
          <w:sz w:val="20"/>
        </w:rPr>
        <w:t>Notices</w:t>
      </w:r>
    </w:p>
    <w:p>
      <w:pPr>
        <w:pStyle w:val="TextBody"/>
        <w:spacing w:lineRule="auto" w:line="288" w:before="0" w:after="180"/>
        <w:jc w:val="both"/>
        <w:rPr/>
      </w:pPr>
      <w:r>
        <w:rPr>
          <w:rFonts w:ascii="Arial;sans-serif" w:hAnsi="Arial;sans-serif"/>
          <w:b w:val="false"/>
          <w:color w:val="010101"/>
          <w:sz w:val="20"/>
        </w:rPr>
        <w:t xml:space="preserve">All notices or demands under this Deed shall be served in accordance with Section 10.2 </w:t>
      </w:r>
      <w:r>
        <w:rPr>
          <w:rFonts w:ascii="Arial;sans-serif" w:hAnsi="Arial;sans-serif"/>
          <w:b w:val="false"/>
          <w:i/>
          <w:color w:val="010101"/>
          <w:sz w:val="20"/>
        </w:rPr>
        <w:t xml:space="preserve">(Notices) </w:t>
      </w:r>
      <w:r>
        <w:rPr>
          <w:rFonts w:ascii="Arial;sans-serif" w:hAnsi="Arial;sans-serif"/>
          <w:b w:val="false"/>
          <w:color w:val="010101"/>
          <w:sz w:val="20"/>
        </w:rPr>
        <w:t xml:space="preserve">of the Credit Agreement </w:t>
      </w:r>
      <w:r>
        <w:rPr>
          <w:rFonts w:ascii="Arial;sans-serif" w:hAnsi="Arial;sans-serif"/>
          <w:b/>
          <w:color w:val="010101"/>
          <w:sz w:val="20"/>
        </w:rPr>
        <w:t xml:space="preserve">provided that </w:t>
      </w:r>
      <w:r>
        <w:rPr>
          <w:rFonts w:ascii="Arial;sans-serif" w:hAnsi="Arial;sans-serif"/>
          <w:b w:val="false"/>
          <w:color w:val="010101"/>
          <w:sz w:val="20"/>
        </w:rPr>
        <w:t>any such notice</w:t>
      </w:r>
      <w:r>
        <w:rPr>
          <w:rFonts w:ascii="Arial;sans-serif" w:hAnsi="Arial;sans-serif"/>
          <w:b w:val="false"/>
          <w:color w:val="1A1A1A"/>
          <w:sz w:val="20"/>
        </w:rPr>
        <w:t xml:space="preserve">, </w:t>
      </w:r>
      <w:r>
        <w:rPr>
          <w:rFonts w:ascii="Arial;sans-serif" w:hAnsi="Arial;sans-serif"/>
          <w:b w:val="false"/>
          <w:color w:val="010101"/>
          <w:sz w:val="20"/>
        </w:rPr>
        <w:t>request or demand to or upon any Chargor shall be addressed to such Chargor at its notice address set forth on the signature of this Deed or any Accession Deed.</w:t>
      </w:r>
    </w:p>
    <w:p>
      <w:pPr>
        <w:pStyle w:val="TextBody"/>
        <w:spacing w:lineRule="auto" w:line="288" w:before="0" w:after="180"/>
        <w:ind w:left="0" w:right="0" w:hanging="720"/>
        <w:rPr/>
      </w:pPr>
      <w:r>
        <w:rPr>
          <w:rFonts w:ascii="Arial;sans-serif" w:hAnsi="Arial;sans-serif"/>
          <w:b w:val="false"/>
          <w:color w:val="010101"/>
          <w:sz w:val="20"/>
        </w:rPr>
        <w:t>20.    </w:t>
      </w:r>
      <w:r>
        <w:rPr>
          <w:rFonts w:ascii="Arial;sans-serif" w:hAnsi="Arial;sans-serif"/>
          <w:b/>
          <w:color w:val="010101"/>
          <w:sz w:val="20"/>
        </w:rPr>
        <w:t>Governing Law</w:t>
      </w:r>
    </w:p>
    <w:p>
      <w:pPr>
        <w:pStyle w:val="TextBody"/>
        <w:spacing w:lineRule="auto" w:line="288" w:before="0" w:after="180"/>
        <w:jc w:val="both"/>
        <w:rPr/>
      </w:pPr>
      <w:r>
        <w:rPr>
          <w:rFonts w:ascii="Arial;sans-serif" w:hAnsi="Arial;sans-serif"/>
          <w:b w:val="false"/>
          <w:color w:val="010101"/>
          <w:sz w:val="20"/>
        </w:rPr>
        <w:t>This Deed and any non-contractual obligations arising out of or in connection with it are governed by English law</w:t>
      </w:r>
      <w:r>
        <w:rPr>
          <w:rFonts w:ascii="Arial;sans-serif" w:hAnsi="Arial;sans-serif"/>
          <w:b w:val="false"/>
          <w:color w:val="3D3D3D"/>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46050"/>
                <wp:effectExtent l="0" t="0" r="0" b="0"/>
                <wp:wrapNone/>
                <wp:docPr id="497" name="Frame49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21</w:t>
                      </w:r>
                    </w:p>
                  </w:txbxContent>
                </v:textbox>
              </v:rect>
            </w:pict>
          </mc:Fallback>
        </mc:AlternateContent>
      </w:r>
    </w:p>
    <w:p>
      <w:pPr>
        <w:pStyle w:val="TextBody"/>
        <w:spacing w:lineRule="auto" w:line="288" w:before="0" w:after="180"/>
        <w:ind w:left="0" w:right="0" w:hanging="720"/>
        <w:rPr/>
      </w:pPr>
      <w:r>
        <w:rPr>
          <w:rFonts w:ascii="Arial;sans-serif" w:hAnsi="Arial;sans-serif"/>
          <w:b w:val="false"/>
          <w:color w:val="010101"/>
          <w:sz w:val="20"/>
        </w:rPr>
        <w:t>21.    </w:t>
      </w:r>
      <w:r>
        <w:rPr>
          <w:rFonts w:ascii="Arial;sans-serif" w:hAnsi="Arial;sans-serif"/>
          <w:b/>
          <w:color w:val="010101"/>
          <w:sz w:val="20"/>
        </w:rPr>
        <w:t>Jurisdiction</w:t>
      </w:r>
    </w:p>
    <w:p>
      <w:pPr>
        <w:pStyle w:val="TextBody"/>
        <w:spacing w:lineRule="auto" w:line="288" w:before="0" w:after="180"/>
        <w:ind w:left="0" w:right="0" w:hanging="720"/>
        <w:jc w:val="both"/>
        <w:rPr/>
      </w:pPr>
      <w:r>
        <w:rPr>
          <w:rFonts w:ascii="Arial;sans-serif" w:hAnsi="Arial;sans-serif"/>
          <w:b w:val="false"/>
          <w:color w:val="010101"/>
          <w:sz w:val="20"/>
        </w:rPr>
        <w:t>21.1    The courts of England have exclusive jurisdiction to settle any dispute arising out of or in connection with this Deed (including a dispute relating to the existence</w:t>
      </w:r>
      <w:r>
        <w:rPr>
          <w:rFonts w:ascii="Arial;sans-serif" w:hAnsi="Arial;sans-serif"/>
          <w:b w:val="false"/>
          <w:color w:val="1A1A1A"/>
          <w:sz w:val="20"/>
        </w:rPr>
        <w:t xml:space="preserve">, </w:t>
      </w:r>
      <w:r>
        <w:rPr>
          <w:rFonts w:ascii="Arial;sans-serif" w:hAnsi="Arial;sans-serif"/>
          <w:b w:val="false"/>
          <w:color w:val="010101"/>
          <w:sz w:val="20"/>
        </w:rPr>
        <w:t xml:space="preserve">validity or termination of this Deed or any non-contractual obligation arising out of or in connection with this Deed) (a </w:t>
      </w:r>
      <w:r>
        <w:rPr>
          <w:rFonts w:ascii="Arial;sans-serif" w:hAnsi="Arial;sans-serif"/>
          <w:b/>
          <w:color w:val="010101"/>
          <w:sz w:val="20"/>
        </w:rPr>
        <w:t>"Dispute").</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21.2    The Parties agree that the courts of England are the most appropriate and convenient courts to settle Disputes and accordingly no Party will argue to the contrary.</w:t>
      </w:r>
    </w:p>
    <w:p>
      <w:pPr>
        <w:pStyle w:val="TextBody"/>
        <w:spacing w:lineRule="auto" w:line="288" w:before="0" w:after="180"/>
        <w:ind w:left="0" w:right="0" w:hanging="720"/>
        <w:jc w:val="both"/>
        <w:rPr/>
      </w:pPr>
      <w:r>
        <w:rPr>
          <w:rFonts w:ascii="Arial;sans-serif" w:hAnsi="Arial;sans-serif"/>
          <w:b w:val="false"/>
          <w:color w:val="010101"/>
          <w:sz w:val="20"/>
        </w:rPr>
        <w:t>21.3    This clause 21 is for the benefit of the Administrative Agent only. As a result</w:t>
      </w:r>
      <w:r>
        <w:rPr>
          <w:rFonts w:ascii="Arial;sans-serif" w:hAnsi="Arial;sans-serif"/>
          <w:b w:val="false"/>
          <w:color w:val="1A1A1A"/>
          <w:sz w:val="20"/>
        </w:rPr>
        <w:t xml:space="preserve">, </w:t>
      </w:r>
      <w:r>
        <w:rPr>
          <w:rFonts w:ascii="Arial;sans-serif" w:hAnsi="Arial;sans-serif"/>
          <w:b w:val="false"/>
          <w:color w:val="010101"/>
          <w:sz w:val="20"/>
        </w:rPr>
        <w:t>the Administrative Agent shall not be prevented from taking proceedings relating to a Dispute in any other courts with jurisdiction</w:t>
      </w:r>
      <w:r>
        <w:rPr>
          <w:rFonts w:ascii="Arial;sans-serif" w:hAnsi="Arial;sans-serif"/>
          <w:b w:val="false"/>
          <w:color w:val="3D3D3D"/>
          <w:sz w:val="20"/>
        </w:rPr>
        <w:t xml:space="preserve">. </w:t>
      </w:r>
      <w:r>
        <w:rPr>
          <w:rFonts w:ascii="Arial;sans-serif" w:hAnsi="Arial;sans-serif"/>
          <w:b w:val="false"/>
          <w:color w:val="010101"/>
          <w:sz w:val="20"/>
        </w:rPr>
        <w:t>To the extent allowed by law</w:t>
      </w:r>
      <w:r>
        <w:rPr>
          <w:rFonts w:ascii="Arial;sans-serif" w:hAnsi="Arial;sans-serif"/>
          <w:b w:val="false"/>
          <w:color w:val="1A1A1A"/>
          <w:sz w:val="20"/>
        </w:rPr>
        <w:t xml:space="preserve">, </w:t>
      </w:r>
      <w:r>
        <w:rPr>
          <w:rFonts w:ascii="Arial;sans-serif" w:hAnsi="Arial;sans-serif"/>
          <w:b w:val="false"/>
          <w:color w:val="010101"/>
          <w:sz w:val="20"/>
        </w:rPr>
        <w:t>the Administrative Agent may take concurrent proceedings in any number of jurisdictions.</w:t>
      </w:r>
    </w:p>
    <w:p>
      <w:pPr>
        <w:pStyle w:val="TextBody"/>
        <w:spacing w:lineRule="auto" w:line="288" w:before="0" w:after="180"/>
        <w:ind w:left="0" w:right="0" w:hanging="720"/>
        <w:jc w:val="both"/>
        <w:rPr/>
      </w:pPr>
      <w:r>
        <w:rPr>
          <w:rFonts w:ascii="Arial;sans-serif" w:hAnsi="Arial;sans-serif"/>
          <w:b w:val="false"/>
          <w:color w:val="010101"/>
          <w:sz w:val="20"/>
        </w:rPr>
        <w:t>22.    </w:t>
      </w:r>
      <w:r>
        <w:rPr>
          <w:rFonts w:ascii="Arial;sans-serif" w:hAnsi="Arial;sans-serif"/>
          <w:b/>
          <w:color w:val="010101"/>
          <w:sz w:val="20"/>
        </w:rPr>
        <w:t>Service of Process</w:t>
      </w:r>
    </w:p>
    <w:p>
      <w:pPr>
        <w:pStyle w:val="TextBody"/>
        <w:spacing w:lineRule="auto" w:line="288" w:before="0" w:after="180"/>
        <w:ind w:left="0" w:right="0" w:hanging="720"/>
        <w:jc w:val="both"/>
        <w:rPr/>
      </w:pPr>
      <w:r>
        <w:rPr>
          <w:rFonts w:ascii="Arial;sans-serif" w:hAnsi="Arial;sans-serif"/>
          <w:b w:val="false"/>
          <w:color w:val="010101"/>
          <w:sz w:val="20"/>
        </w:rPr>
        <w:t>(a)    Without prejudice to any other mode of service allowed under any relevant law</w:t>
      </w:r>
      <w:r>
        <w:rPr>
          <w:rFonts w:ascii="Arial;sans-serif" w:hAnsi="Arial;sans-serif"/>
          <w:b w:val="false"/>
          <w:color w:val="1A1A1A"/>
          <w:sz w:val="20"/>
        </w:rPr>
        <w:t xml:space="preserve">, </w:t>
      </w:r>
      <w:r>
        <w:rPr>
          <w:rFonts w:ascii="Arial;sans-serif" w:hAnsi="Arial;sans-serif"/>
          <w:b w:val="false"/>
          <w:color w:val="010101"/>
          <w:sz w:val="20"/>
        </w:rPr>
        <w:t>the US Chargor</w:t>
      </w:r>
      <w:r>
        <w:rPr>
          <w:rFonts w:ascii="Arial;sans-serif" w:hAnsi="Arial;sans-serif"/>
          <w:b w:val="false"/>
          <w:color w:val="1A1A1A"/>
          <w:sz w:val="20"/>
        </w:rPr>
        <w:t>:</w:t>
      </w:r>
    </w:p>
    <w:p>
      <w:pPr>
        <w:pStyle w:val="TextBody"/>
        <w:spacing w:lineRule="auto" w:line="288" w:before="0" w:after="180"/>
        <w:ind w:left="0" w:right="0" w:hanging="720"/>
        <w:jc w:val="both"/>
        <w:rPr/>
      </w:pPr>
      <w:r>
        <w:rPr>
          <w:rFonts w:ascii="Arial;sans-serif" w:hAnsi="Arial;sans-serif"/>
          <w:b w:val="false"/>
          <w:color w:val="010101"/>
          <w:sz w:val="20"/>
        </w:rPr>
        <w:t>(i)    irrevocably appoints Kaltura Europe Limited as its agent for service of process in relation to any proceedings before the English courts in connection with this Deed</w:t>
      </w:r>
      <w:r>
        <w:rPr>
          <w:rFonts w:ascii="Arial;sans-serif" w:hAnsi="Arial;sans-serif"/>
          <w:b w:val="false"/>
          <w:color w:val="1A1A1A"/>
          <w:sz w:val="20"/>
        </w:rPr>
        <w:t>;</w:t>
      </w:r>
      <w:r>
        <w:rPr>
          <w:rFonts w:ascii="Arial;sans-serif" w:hAnsi="Arial;sans-serif"/>
          <w:b w:val="false"/>
          <w:color w:val="010101"/>
          <w:sz w:val="20"/>
        </w:rPr>
        <w:t>and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(ii)    agrees that failure by a process agent to notify the US Chargor of the process will not invalidate the proceedings concerned.</w:t>
      </w:r>
    </w:p>
    <w:p>
      <w:pPr>
        <w:pStyle w:val="TextBody"/>
        <w:spacing w:lineRule="auto" w:line="288" w:before="0" w:after="180"/>
        <w:ind w:left="0" w:right="0" w:hanging="720"/>
        <w:jc w:val="both"/>
        <w:rPr/>
      </w:pPr>
      <w:r>
        <w:rPr>
          <w:rFonts w:ascii="Arial;sans-serif" w:hAnsi="Arial;sans-serif"/>
          <w:b w:val="false"/>
          <w:color w:val="010101"/>
          <w:sz w:val="20"/>
        </w:rPr>
        <w:t>(b)    If any person appointed as an agent for service of process is unable for any reason to act as agent for service of process</w:t>
      </w:r>
      <w:r>
        <w:rPr>
          <w:rFonts w:ascii="Arial;sans-serif" w:hAnsi="Arial;sans-serif"/>
          <w:b w:val="false"/>
          <w:color w:val="1A1A1A"/>
          <w:sz w:val="20"/>
        </w:rPr>
        <w:t xml:space="preserve">, </w:t>
      </w:r>
      <w:r>
        <w:rPr>
          <w:rFonts w:ascii="Arial;sans-serif" w:hAnsi="Arial;sans-serif"/>
          <w:b w:val="false"/>
          <w:color w:val="010101"/>
          <w:sz w:val="20"/>
        </w:rPr>
        <w:t>the US Chargor must immediately (and in any event within 10 Business Days of such event taking place) appoint another agent on terms acceptable to the Administrative Agent (acting reasonably)</w:t>
      </w:r>
      <w:r>
        <w:rPr>
          <w:rFonts w:ascii="Arial;sans-serif" w:hAnsi="Arial;sans-serif"/>
          <w:b w:val="false"/>
          <w:color w:val="3D3D3D"/>
          <w:sz w:val="20"/>
        </w:rPr>
        <w:t xml:space="preserve">. </w:t>
      </w:r>
      <w:r>
        <w:rPr>
          <w:rFonts w:ascii="Arial;sans-serif" w:hAnsi="Arial;sans-serif"/>
          <w:b w:val="false"/>
          <w:color w:val="010101"/>
          <w:sz w:val="20"/>
        </w:rPr>
        <w:t>Failing this, the Administrative Agent may appoint another agent for this purpose</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 xml:space="preserve">(c)    Kaltura Europe Limited expressly agrees and consents to the provisions of this clause </w:t>
      </w:r>
      <w:r>
        <w:rPr>
          <w:rFonts w:ascii="Arial;sans-serif" w:hAnsi="Arial;sans-serif"/>
          <w:b/>
          <w:color w:val="010101"/>
          <w:sz w:val="20"/>
        </w:rPr>
        <w:t>22.</w:t>
      </w:r>
    </w:p>
    <w:p>
      <w:pPr>
        <w:pStyle w:val="TextBody"/>
        <w:spacing w:lineRule="auto" w:line="288" w:before="0" w:after="180"/>
        <w:jc w:val="both"/>
        <w:rPr/>
      </w:pPr>
      <w:r>
        <w:rPr>
          <w:rFonts w:ascii="Arial;sans-serif" w:hAnsi="Arial;sans-serif"/>
          <w:b/>
          <w:color w:val="010101"/>
          <w:sz w:val="20"/>
        </w:rPr>
        <w:t xml:space="preserve">In witness </w:t>
      </w:r>
      <w:r>
        <w:rPr>
          <w:rFonts w:ascii="Arial;sans-serif" w:hAnsi="Arial;sans-serif"/>
          <w:b w:val="false"/>
          <w:color w:val="010101"/>
          <w:sz w:val="20"/>
        </w:rPr>
        <w:t>whereof this Deed has been duly executed and delivered on the above date first above written</w:t>
      </w:r>
      <w:r>
        <w:rPr>
          <w:rFonts w:ascii="Arial;sans-serif" w:hAnsi="Arial;sans-serif"/>
          <w:b w:val="false"/>
          <w:color w:val="212121"/>
          <w:sz w:val="20"/>
        </w:rPr>
        <w:t>.</w:t>
      </w:r>
    </w:p>
    <w:p>
      <w:pPr>
        <w:pStyle w:val="TextBody"/>
        <w:spacing w:before="0" w:after="18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46050"/>
                <wp:effectExtent l="0" t="0" r="0" b="0"/>
                <wp:wrapNone/>
                <wp:docPr id="498" name="Frame49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22</w:t>
                      </w:r>
                    </w:p>
                  </w:txbxContent>
                </v:textbox>
              </v:rect>
            </w:pict>
          </mc:Fallback>
        </mc:AlternateConten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Schedule 3</w: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Form of Notices</w: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Part 1</w:t>
      </w:r>
    </w:p>
    <w:p>
      <w:pPr>
        <w:pStyle w:val="TextBody"/>
        <w:spacing w:lineRule="auto" w:line="288" w:before="0" w:after="180"/>
        <w:jc w:val="center"/>
        <w:rPr>
          <w:rFonts w:ascii="Arial;sans-serif" w:hAnsi="Arial;sans-serif"/>
          <w:b/>
          <w:i/>
          <w:color w:val="010101"/>
          <w:sz w:val="20"/>
        </w:rPr>
      </w:pPr>
      <w:r>
        <w:rPr>
          <w:rFonts w:ascii="Arial;sans-serif" w:hAnsi="Arial;sans-serif"/>
          <w:b/>
          <w:i/>
          <w:color w:val="010101"/>
          <w:sz w:val="20"/>
        </w:rPr>
        <w:t>(Form of notice in relation to a Third Party Account)</w:t>
      </w:r>
    </w:p>
    <w:p>
      <w:pPr>
        <w:pStyle w:val="TextBody"/>
        <w:spacing w:lineRule="auto" w:line="288" w:before="0" w:after="180"/>
        <w:rPr/>
      </w:pPr>
      <w:r>
        <w:rPr>
          <w:rFonts w:ascii="Arial;sans-serif" w:hAnsi="Arial;sans-serif"/>
          <w:b w:val="false"/>
          <w:color w:val="010101"/>
          <w:sz w:val="20"/>
        </w:rPr>
        <w:t>To</w:t>
      </w:r>
      <w:r>
        <w:rPr>
          <w:rFonts w:ascii="Arial;sans-serif" w:hAnsi="Arial;sans-serif"/>
          <w:b w:val="false"/>
          <w:color w:val="1C1C1C"/>
          <w:sz w:val="20"/>
        </w:rPr>
        <w:t>:    </w:t>
      </w:r>
      <w:r>
        <w:rPr>
          <w:rFonts w:ascii="Arial;sans-serif" w:hAnsi="Arial;sans-serif"/>
          <w:b w:val="false"/>
          <w:i/>
          <w:color w:val="010101"/>
          <w:sz w:val="20"/>
        </w:rPr>
        <w:t>[Administrative Agent]</w:t>
      </w:r>
    </w:p>
    <w:p>
      <w:pPr>
        <w:pStyle w:val="TextBody"/>
        <w:spacing w:lineRule="auto" w:line="288" w:before="0" w:after="180"/>
        <w:rPr>
          <w:rFonts w:ascii="Arial;sans-serif" w:hAnsi="Arial;sans-serif"/>
          <w:b w:val="false"/>
          <w:color w:val="000000"/>
          <w:sz w:val="20"/>
        </w:rPr>
      </w:pPr>
      <w:r>
        <w:rPr>
          <w:rFonts w:ascii="Arial;sans-serif" w:hAnsi="Arial;sans-serif"/>
          <w:b w:val="false"/>
          <w:color w:val="000000"/>
          <w:sz w:val="20"/>
        </w:rPr>
        <w:t xml:space="preserve">[Address] </w:t>
      </w:r>
    </w:p>
    <w:p>
      <w:pPr>
        <w:pStyle w:val="TextBody"/>
        <w:spacing w:lineRule="auto" w:line="288" w:before="0" w:after="180"/>
        <w:rPr/>
      </w:pPr>
      <w:r>
        <w:rPr>
          <w:rFonts w:ascii="Arial;sans-serif" w:hAnsi="Arial;sans-serif"/>
          <w:b w:val="false"/>
          <w:color w:val="000000"/>
          <w:sz w:val="20"/>
        </w:rPr>
        <w:t xml:space="preserve">(the </w:t>
      </w:r>
      <w:r>
        <w:rPr>
          <w:rFonts w:ascii="Arial;sans-serif" w:hAnsi="Arial;sans-serif"/>
          <w:b/>
          <w:color w:val="000000"/>
          <w:sz w:val="20"/>
        </w:rPr>
        <w:t>"Account Bank"</w:t>
      </w:r>
      <w:r>
        <w:rPr>
          <w:rFonts w:ascii="Arial;sans-serif" w:hAnsi="Arial;sans-serif"/>
          <w:b w:val="false"/>
          <w:color w:val="000000"/>
          <w:sz w:val="20"/>
        </w:rPr>
        <w:t>)</w:t>
      </w:r>
    </w:p>
    <w:p>
      <w:pPr>
        <w:pStyle w:val="TextBody"/>
        <w:spacing w:lineRule="auto" w:line="288" w:before="0" w:after="180"/>
        <w:rPr>
          <w:rFonts w:ascii="Arial;sans-serif" w:hAnsi="Arial;sans-serif"/>
          <w:b w:val="false"/>
          <w:color w:val="000000"/>
          <w:sz w:val="20"/>
        </w:rPr>
      </w:pPr>
      <w:r>
        <w:rPr>
          <w:rFonts w:ascii="Arial;sans-serif" w:hAnsi="Arial;sans-serif"/>
          <w:b w:val="false"/>
          <w:color w:val="000000"/>
          <w:sz w:val="20"/>
        </w:rPr>
        <w:t xml:space="preserve">Dated: [●] 202[●] </w:t>
      </w:r>
    </w:p>
    <w:p>
      <w:pPr>
        <w:pStyle w:val="TextBody"/>
        <w:spacing w:lineRule="auto" w:line="288" w:before="0" w:after="180"/>
        <w:rPr>
          <w:rFonts w:ascii="Arial;sans-serif" w:hAnsi="Arial;sans-serif"/>
          <w:b w:val="false"/>
          <w:color w:val="000000"/>
          <w:sz w:val="20"/>
        </w:rPr>
      </w:pPr>
      <w:r>
        <w:rPr>
          <w:rFonts w:ascii="Arial;sans-serif" w:hAnsi="Arial;sans-serif"/>
          <w:b w:val="false"/>
          <w:color w:val="000000"/>
          <w:sz w:val="20"/>
        </w:rPr>
        <w:t xml:space="preserve">Dear Sirs </w:t>
      </w:r>
    </w:p>
    <w:p>
      <w:pPr>
        <w:pStyle w:val="TextBody"/>
        <w:spacing w:lineRule="auto" w:line="288" w:before="0" w:after="180"/>
        <w:rPr/>
      </w:pPr>
      <w:r>
        <w:rPr>
          <w:rFonts w:ascii="Arial;sans-serif" w:hAnsi="Arial;sans-serif"/>
          <w:b w:val="false"/>
          <w:color w:val="000000"/>
          <w:sz w:val="20"/>
        </w:rPr>
        <w:t xml:space="preserve">We refer to the following accounts of [           ] Limited of [          ] (the </w:t>
      </w:r>
      <w:r>
        <w:rPr>
          <w:rFonts w:ascii="Arial;sans-serif" w:hAnsi="Arial;sans-serif"/>
          <w:b/>
          <w:color w:val="000000"/>
          <w:sz w:val="20"/>
        </w:rPr>
        <w:t>"Chargor"</w:t>
      </w:r>
      <w:r>
        <w:rPr>
          <w:color w:val="000000"/>
        </w:rPr>
        <w:t xml:space="preserve"> </w:t>
      </w:r>
      <w:r>
        <w:rPr>
          <w:rFonts w:ascii="Arial;sans-serif" w:hAnsi="Arial;sans-serif"/>
          <w:b w:val="false"/>
          <w:color w:val="000000"/>
          <w:sz w:val="20"/>
        </w:rPr>
        <w:t>with you:</w:t>
      </w:r>
    </w:p>
    <w:tbl>
      <w:tblPr>
        <w:tblW w:w="4214" w:type="dxa"/>
        <w:jc w:val="left"/>
        <w:tblInd w:w="0" w:type="dxa"/>
        <w:tblCellMar>
          <w:top w:w="28" w:type="dxa"/>
          <w:left w:w="28" w:type="dxa"/>
          <w:bottom w:w="28" w:type="dxa"/>
          <w:right w:w="28" w:type="dxa"/>
        </w:tblCellMar>
      </w:tblPr>
      <w:tblGrid>
        <w:gridCol w:w="609"/>
        <w:gridCol w:w="535"/>
        <w:gridCol w:w="536"/>
        <w:gridCol w:w="344"/>
        <w:gridCol w:w="344"/>
        <w:gridCol w:w="346"/>
        <w:gridCol w:w="439"/>
        <w:gridCol w:w="439"/>
        <w:gridCol w:w="622"/>
      </w:tblGrid>
      <w:tr>
        <w:trPr/>
        <w:tc>
          <w:tcPr>
            <w:tcW w:w="6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88" w:before="4" w:after="283"/>
              <w:jc w:val="left"/>
              <w:rPr>
                <w:rFonts w:ascii="Arial;sans-serif" w:hAnsi="Arial;sans-serif"/>
                <w:b/>
                <w:color w:val="010101"/>
                <w:sz w:val="20"/>
                <w:highlight w:val="lightGray"/>
              </w:rPr>
            </w:pPr>
            <w:r>
              <w:rPr>
                <w:rFonts w:ascii="Arial;sans-serif" w:hAnsi="Arial;sans-serif"/>
                <w:b/>
                <w:color w:val="010101"/>
                <w:sz w:val="20"/>
                <w:highlight w:val="lightGray"/>
              </w:rPr>
              <w:t>Account Number</w:t>
            </w:r>
          </w:p>
        </w:tc>
        <w:tc>
          <w:tcPr>
            <w:tcW w:w="1034"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88" w:before="4" w:after="283"/>
              <w:jc w:val="left"/>
              <w:rPr>
                <w:rFonts w:ascii="Arial;sans-serif" w:hAnsi="Arial;sans-serif"/>
                <w:b/>
                <w:color w:val="010101"/>
                <w:sz w:val="20"/>
                <w:highlight w:val="lightGray"/>
              </w:rPr>
            </w:pPr>
            <w:r>
              <w:rPr>
                <w:rFonts w:ascii="Arial;sans-serif" w:hAnsi="Arial;sans-serif"/>
                <w:b/>
                <w:color w:val="010101"/>
                <w:sz w:val="20"/>
                <w:highlight w:val="lightGray"/>
              </w:rPr>
              <w:t>Sort Code</w:t>
            </w:r>
          </w:p>
        </w:tc>
        <w:tc>
          <w:tcPr>
            <w:tcW w:w="1500"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spacing w:lineRule="auto" w:line="288" w:before="4" w:after="283"/>
              <w:jc w:val="left"/>
              <w:rPr>
                <w:rFonts w:ascii="Arial;sans-serif" w:hAnsi="Arial;sans-serif"/>
                <w:b/>
                <w:color w:val="010101"/>
                <w:sz w:val="20"/>
                <w:highlight w:val="lightGray"/>
              </w:rPr>
            </w:pPr>
            <w:r>
              <w:rPr>
                <w:rFonts w:ascii="Arial;sans-serif" w:hAnsi="Arial;sans-serif"/>
                <w:b/>
                <w:color w:val="010101"/>
                <w:sz w:val="20"/>
                <w:highlight w:val="lightGray"/>
              </w:rPr>
              <w:t>Account Name</w:t>
            </w:r>
          </w:p>
        </w:tc>
      </w:tr>
      <w:tr>
        <w:trPr/>
        <w:tc>
          <w:tcPr>
            <w:tcW w:w="16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68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Arial;sans-serif" w:hAnsi="Arial;sans-serif"/>
          <w:b w:val="false"/>
          <w:color w:val="010101"/>
          <w:sz w:val="20"/>
        </w:rPr>
        <w:t>We give you notice that</w:t>
      </w:r>
      <w:r>
        <w:rPr>
          <w:rFonts w:ascii="Arial;sans-serif" w:hAnsi="Arial;sans-serif"/>
          <w:b w:val="false"/>
          <w:color w:val="1C1C1C"/>
          <w:sz w:val="20"/>
        </w:rPr>
        <w:t xml:space="preserve">, </w:t>
      </w:r>
      <w:r>
        <w:rPr>
          <w:rFonts w:ascii="Arial;sans-serif" w:hAnsi="Arial;sans-serif"/>
          <w:b w:val="false"/>
          <w:color w:val="010101"/>
          <w:sz w:val="20"/>
        </w:rPr>
        <w:t>by a debenture dated [</w:t>
      </w:r>
      <w:r>
        <w:rPr>
          <w:color w:val="000000"/>
        </w:rPr>
        <w:t>●</w:t>
      </w:r>
      <w:r>
        <w:rPr>
          <w:rFonts w:ascii="Arial;sans-serif" w:hAnsi="Arial;sans-serif"/>
          <w:b w:val="false"/>
          <w:color w:val="010101"/>
          <w:sz w:val="20"/>
        </w:rPr>
        <w:t>] 202[</w:t>
      </w:r>
      <w:r>
        <w:rPr>
          <w:color w:val="000000"/>
        </w:rPr>
        <w:t>●</w:t>
      </w:r>
      <w:r>
        <w:rPr>
          <w:rFonts w:ascii="Arial;sans-serif" w:hAnsi="Arial;sans-serif"/>
          <w:b w:val="false"/>
          <w:color w:val="010101"/>
          <w:sz w:val="20"/>
        </w:rPr>
        <w:t xml:space="preserve">] the Chargor has charged to Silicon Valley Bank (the </w:t>
      </w:r>
      <w:r>
        <w:rPr>
          <w:rFonts w:ascii="Arial;sans-serif" w:hAnsi="Arial;sans-serif"/>
          <w:b/>
          <w:color w:val="010101"/>
          <w:sz w:val="20"/>
        </w:rPr>
        <w:t xml:space="preserve">"Administrative Agent") </w:t>
      </w:r>
      <w:r>
        <w:rPr>
          <w:rFonts w:ascii="Arial;sans-serif" w:hAnsi="Arial;sans-serif"/>
          <w:b w:val="false"/>
          <w:color w:val="010101"/>
          <w:sz w:val="20"/>
        </w:rPr>
        <w:t xml:space="preserve">by way of fixed charge its interest in and to the money from time to time standing to the credit of the accounts referred to above (the </w:t>
      </w:r>
      <w:r>
        <w:rPr>
          <w:rFonts w:ascii="Arial;sans-serif" w:hAnsi="Arial;sans-serif"/>
          <w:b/>
          <w:color w:val="010101"/>
          <w:sz w:val="20"/>
        </w:rPr>
        <w:t xml:space="preserve">"Charged Accounts") </w:t>
      </w:r>
      <w:r>
        <w:rPr>
          <w:rFonts w:ascii="Arial;sans-serif" w:hAnsi="Arial;sans-serif"/>
          <w:b w:val="false"/>
          <w:color w:val="010101"/>
          <w:sz w:val="20"/>
        </w:rPr>
        <w:t>and to all interest (if any) accruing on the Charged Accounts</w:t>
      </w:r>
      <w:r>
        <w:rPr>
          <w:rFonts w:ascii="Arial;sans-serif" w:hAnsi="Arial;sans-serif"/>
          <w:b w:val="false"/>
          <w:color w:val="3F3F3F"/>
          <w:sz w:val="20"/>
        </w:rPr>
        <w: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The Chargor irrevocably authorises and instructs you to disclose to the Administrative Agent any information relating to the Charged Accounts which the Administrative Agent may from time to time request you to provide.</w:t>
      </w:r>
    </w:p>
    <w:p>
      <w:pPr>
        <w:pStyle w:val="TextBody"/>
        <w:spacing w:lineRule="auto" w:line="288" w:before="0" w:after="180"/>
        <w:jc w:val="both"/>
        <w:rPr/>
      </w:pPr>
      <w:r>
        <w:rPr>
          <w:rFonts w:ascii="Arial;sans-serif" w:hAnsi="Arial;sans-serif"/>
          <w:b w:val="false"/>
          <w:color w:val="010101"/>
          <w:sz w:val="20"/>
        </w:rPr>
        <w:t>The Administrative Agent confirms that</w:t>
      </w:r>
      <w:r>
        <w:rPr>
          <w:rFonts w:ascii="Arial;sans-serif" w:hAnsi="Arial;sans-serif"/>
          <w:b w:val="false"/>
          <w:color w:val="1C1C1C"/>
          <w:sz w:val="20"/>
        </w:rPr>
        <w:t xml:space="preserve">, </w:t>
      </w:r>
      <w:r>
        <w:rPr>
          <w:rFonts w:ascii="Arial;sans-serif" w:hAnsi="Arial;sans-serif"/>
          <w:b w:val="false"/>
          <w:color w:val="010101"/>
          <w:sz w:val="20"/>
        </w:rPr>
        <w:t>until you receive written notice from the Administrative Agent to the contrary, you are authorised to permit the Chargor to receive, withdraw or otherwise transfer any credit balance from time to time on the Charged Accounts without first obtaining the consent in writing of the Administrative Agent.</w:t>
      </w:r>
    </w:p>
    <w:p>
      <w:pPr>
        <w:pStyle w:val="TextBody"/>
        <w:spacing w:lineRule="auto" w:line="288" w:before="0" w:after="180"/>
        <w:jc w:val="both"/>
        <w:rPr/>
      </w:pPr>
      <w:r>
        <w:rPr>
          <w:rFonts w:ascii="Arial;sans-serif" w:hAnsi="Arial;sans-serif"/>
          <w:b w:val="false"/>
          <w:color w:val="010101"/>
          <w:sz w:val="20"/>
        </w:rPr>
        <w:t>This notice and any non-contractual obligations arising out of or in connection with this notice are governed by the law of England</w:t>
      </w:r>
      <w:r>
        <w:rPr>
          <w:rFonts w:ascii="Arial;sans-serif" w:hAnsi="Arial;sans-serif"/>
          <w:b w:val="false"/>
          <w:color w:val="3F3F3F"/>
          <w:sz w:val="20"/>
        </w:rPr>
        <w:t>.</w:t>
      </w:r>
    </w:p>
    <w:p>
      <w:pPr>
        <w:pStyle w:val="TextBody"/>
        <w:spacing w:lineRule="auto" w:line="288" w:before="0" w:after="180"/>
        <w:jc w:val="both"/>
        <w:rPr/>
      </w:pPr>
      <w:r>
        <w:rPr>
          <w:rFonts w:ascii="Arial;sans-serif" w:hAnsi="Arial;sans-serif"/>
          <w:b w:val="false"/>
          <w:color w:val="010101"/>
          <w:sz w:val="20"/>
        </w:rPr>
        <w:t>Would you please acknowledge receipt of this letter and your acceptance of the above by signing the attached form of acknowledgement and returning it to the Administrative Agent at the following address</w:t>
      </w:r>
      <w:r>
        <w:rPr>
          <w:rFonts w:ascii="Arial;sans-serif" w:hAnsi="Arial;sans-serif"/>
          <w:b w:val="false"/>
          <w:color w:val="1C1C1C"/>
          <w:sz w:val="20"/>
        </w:rPr>
        <w:t>:</w:t>
      </w:r>
    </w:p>
    <w:p>
      <w:pPr>
        <w:pStyle w:val="TextBody"/>
        <w:spacing w:lineRule="auto" w:line="288" w:before="0" w:after="0"/>
        <w:jc w:val="both"/>
        <w:rPr>
          <w:rFonts w:ascii="Arial;sans-serif" w:hAnsi="Arial;sans-serif"/>
          <w:b w:val="false"/>
          <w:color w:val="010101"/>
          <w:sz w:val="20"/>
        </w:rPr>
      </w:pPr>
      <w:r>
        <w:rPr>
          <w:rFonts w:ascii="Arial;sans-serif" w:hAnsi="Arial;sans-serif"/>
          <w:b w:val="false"/>
          <w:color w:val="010101"/>
          <w:sz w:val="20"/>
        </w:rPr>
        <w:t>Silicon Valley Bank</w:t>
      </w:r>
    </w:p>
    <w:p>
      <w:pPr>
        <w:pStyle w:val="TextBody"/>
        <w:spacing w:lineRule="auto" w:line="288" w:before="0" w:after="0"/>
        <w:jc w:val="both"/>
        <w:rPr/>
      </w:pPr>
      <w:r>
        <w:rPr>
          <w:rFonts w:ascii="Arial;sans-serif" w:hAnsi="Arial;sans-serif"/>
          <w:b w:val="false"/>
          <w:color w:val="010101"/>
          <w:sz w:val="20"/>
        </w:rPr>
        <w:t>275 Grove Street</w:t>
      </w:r>
      <w:r>
        <w:rPr>
          <w:rFonts w:ascii="Arial;sans-serif" w:hAnsi="Arial;sans-serif"/>
          <w:b w:val="false"/>
          <w:color w:val="1C1C1C"/>
          <w:sz w:val="20"/>
        </w:rPr>
        <w:t xml:space="preserve">, </w:t>
      </w:r>
      <w:r>
        <w:rPr>
          <w:rFonts w:ascii="Arial;sans-serif" w:hAnsi="Arial;sans-serif"/>
          <w:b w:val="false"/>
          <w:color w:val="010101"/>
          <w:sz w:val="20"/>
        </w:rPr>
        <w:t>Suite 2-200</w:t>
      </w:r>
    </w:p>
    <w:p>
      <w:pPr>
        <w:pStyle w:val="TextBody"/>
        <w:spacing w:lineRule="auto" w:line="288" w:before="0" w:after="0"/>
        <w:jc w:val="both"/>
        <w:rPr>
          <w:rFonts w:ascii="Arial;sans-serif" w:hAnsi="Arial;sans-serif"/>
          <w:b w:val="false"/>
          <w:color w:val="010101"/>
          <w:sz w:val="20"/>
        </w:rPr>
      </w:pPr>
      <w:r>
        <w:rPr>
          <w:rFonts w:ascii="Arial;sans-serif" w:hAnsi="Arial;sans-serif"/>
          <w:b w:val="false"/>
          <w:color w:val="010101"/>
          <w:sz w:val="20"/>
        </w:rPr>
        <w:t>Newton</w:t>
      </w:r>
    </w:p>
    <w:p>
      <w:pPr>
        <w:pStyle w:val="TextBody"/>
        <w:spacing w:lineRule="auto" w:line="288" w:before="0" w:after="0"/>
        <w:jc w:val="both"/>
        <w:rPr/>
      </w:pPr>
      <w:r>
        <w:rPr>
          <w:rFonts w:ascii="Arial;sans-serif" w:hAnsi="Arial;sans-serif"/>
          <w:b w:val="false"/>
          <w:color w:val="010101"/>
          <w:sz w:val="20"/>
        </w:rPr>
        <w:t>Massachusetts 02466</w:t>
      </w:r>
      <w:r>
        <w:rPr>
          <w:rFonts w:ascii="Arial;sans-serif" w:hAnsi="Arial;sans-serif"/>
          <w:b w:val="false"/>
          <w:color w:val="1C1C1C"/>
          <w:sz w:val="20"/>
        </w:rPr>
        <w:t xml:space="preserve">, </w:t>
      </w:r>
      <w:r>
        <w:rPr>
          <w:rFonts w:ascii="Arial;sans-serif" w:hAnsi="Arial;sans-serif"/>
          <w:b w:val="false"/>
          <w:color w:val="010101"/>
          <w:sz w:val="20"/>
        </w:rPr>
        <w:t>USA</w:t>
      </w:r>
    </w:p>
    <w:p>
      <w:pPr>
        <w:pStyle w:val="TextBody"/>
        <w:spacing w:lineRule="auto" w:line="288" w:before="0" w:after="180"/>
        <w:jc w:val="both"/>
        <w:rPr/>
      </w:pPr>
      <w:r>
        <w:rPr>
          <w:rFonts w:ascii="Arial;sans-serif" w:hAnsi="Arial;sans-serif"/>
          <w:b w:val="false"/>
          <w:color w:val="010101"/>
          <w:sz w:val="20"/>
        </w:rPr>
        <w:t>For the attention of</w:t>
      </w:r>
      <w:r>
        <w:rPr>
          <w:rFonts w:ascii="Arial;sans-serif" w:hAnsi="Arial;sans-serif"/>
          <w:b w:val="false"/>
          <w:color w:val="1C1C1C"/>
          <w:sz w:val="20"/>
        </w:rPr>
        <w:t xml:space="preserve">: </w:t>
      </w:r>
      <w:r>
        <w:rPr>
          <w:rFonts w:ascii="Arial;sans-serif" w:hAnsi="Arial;sans-serif"/>
          <w:b w:val="false"/>
          <w:color w:val="010101"/>
          <w:sz w:val="20"/>
        </w:rPr>
        <w:t>Ryan Abderdale</w:t>
      </w:r>
    </w:p>
    <w:p>
      <w:pPr>
        <w:pStyle w:val="TextBody"/>
        <w:spacing w:lineRule="auto" w:line="288" w:before="0" w:after="540"/>
        <w:jc w:val="both"/>
        <w:rPr>
          <w:rFonts w:ascii="Arial;sans-serif" w:hAnsi="Arial;sans-serif"/>
          <w:b w:val="false"/>
          <w:color w:val="010101"/>
          <w:sz w:val="20"/>
        </w:rPr>
      </w:pPr>
      <w:r>
        <w:rPr>
          <w:rFonts w:ascii="Arial;sans-serif" w:hAnsi="Arial;sans-serif"/>
          <w:b w:val="false"/>
          <w:color w:val="010101"/>
          <w:sz w:val="20"/>
        </w:rPr>
        <w:t>Yours faithfully</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 Limited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46050"/>
                <wp:effectExtent l="0" t="0" r="0" b="0"/>
                <wp:wrapNone/>
                <wp:docPr id="499" name="Frame49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23</w:t>
                      </w:r>
                    </w:p>
                  </w:txbxContent>
                </v:textbox>
              </v:rect>
            </w:pict>
          </mc:Fallback>
        </mc:AlternateContent>
      </w:r>
    </w:p>
    <w:p>
      <w:pPr>
        <w:pStyle w:val="TextBody"/>
        <w:spacing w:lineRule="auto" w:line="288" w:before="0" w:after="180"/>
        <w:jc w:val="center"/>
        <w:rPr>
          <w:rFonts w:ascii="Arial;sans-serif" w:hAnsi="Arial;sans-serif"/>
          <w:b/>
          <w:i/>
          <w:color w:val="010101"/>
          <w:sz w:val="20"/>
        </w:rPr>
      </w:pPr>
      <w:r>
        <w:rPr>
          <w:rFonts w:ascii="Arial;sans-serif" w:hAnsi="Arial;sans-serif"/>
          <w:b/>
          <w:i/>
          <w:color w:val="010101"/>
          <w:sz w:val="20"/>
        </w:rPr>
        <w:t>(Acknowledgement from Third Party Bank)</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To:</w:t>
      </w:r>
    </w:p>
    <w:p>
      <w:pPr>
        <w:pStyle w:val="TextBody"/>
        <w:spacing w:lineRule="auto" w:line="288" w:before="0" w:after="0"/>
        <w:jc w:val="both"/>
        <w:rPr>
          <w:rFonts w:ascii="Arial;sans-serif" w:hAnsi="Arial;sans-serif"/>
          <w:b w:val="false"/>
          <w:color w:val="010101"/>
          <w:sz w:val="20"/>
        </w:rPr>
      </w:pPr>
      <w:r>
        <w:rPr>
          <w:rFonts w:ascii="Arial;sans-serif" w:hAnsi="Arial;sans-serif"/>
          <w:b w:val="false"/>
          <w:color w:val="010101"/>
          <w:sz w:val="20"/>
        </w:rPr>
        <w:t>Silicon Valley Bank</w:t>
      </w:r>
    </w:p>
    <w:p>
      <w:pPr>
        <w:pStyle w:val="TextBody"/>
        <w:spacing w:lineRule="auto" w:line="288" w:before="0" w:after="0"/>
        <w:jc w:val="both"/>
        <w:rPr/>
      </w:pPr>
      <w:r>
        <w:rPr>
          <w:rFonts w:ascii="Arial;sans-serif" w:hAnsi="Arial;sans-serif"/>
          <w:b w:val="false"/>
          <w:color w:val="010101"/>
          <w:sz w:val="20"/>
        </w:rPr>
        <w:t>275 Grove Street</w:t>
      </w:r>
      <w:r>
        <w:rPr>
          <w:rFonts w:ascii="Arial;sans-serif" w:hAnsi="Arial;sans-serif"/>
          <w:b w:val="false"/>
          <w:color w:val="1C1C1C"/>
          <w:sz w:val="20"/>
        </w:rPr>
        <w:t xml:space="preserve">, </w:t>
      </w:r>
      <w:r>
        <w:rPr>
          <w:rFonts w:ascii="Arial;sans-serif" w:hAnsi="Arial;sans-serif"/>
          <w:b w:val="false"/>
          <w:color w:val="010101"/>
          <w:sz w:val="20"/>
        </w:rPr>
        <w:t>Suite 2-200</w:t>
      </w:r>
    </w:p>
    <w:p>
      <w:pPr>
        <w:pStyle w:val="TextBody"/>
        <w:spacing w:lineRule="auto" w:line="288" w:before="0" w:after="0"/>
        <w:jc w:val="both"/>
        <w:rPr>
          <w:rFonts w:ascii="Arial;sans-serif" w:hAnsi="Arial;sans-serif"/>
          <w:b w:val="false"/>
          <w:color w:val="010101"/>
          <w:sz w:val="20"/>
        </w:rPr>
      </w:pPr>
      <w:r>
        <w:rPr>
          <w:rFonts w:ascii="Arial;sans-serif" w:hAnsi="Arial;sans-serif"/>
          <w:b w:val="false"/>
          <w:color w:val="010101"/>
          <w:sz w:val="20"/>
        </w:rPr>
        <w:t>Newton</w:t>
      </w:r>
    </w:p>
    <w:p>
      <w:pPr>
        <w:pStyle w:val="TextBody"/>
        <w:spacing w:lineRule="auto" w:line="288" w:before="0" w:after="180"/>
        <w:jc w:val="both"/>
        <w:rPr/>
      </w:pPr>
      <w:r>
        <w:rPr>
          <w:rFonts w:ascii="Arial;sans-serif" w:hAnsi="Arial;sans-serif"/>
          <w:b w:val="false"/>
          <w:color w:val="010101"/>
          <w:sz w:val="20"/>
        </w:rPr>
        <w:t>Massachusetts 02466</w:t>
      </w:r>
      <w:r>
        <w:rPr>
          <w:rFonts w:ascii="Arial;sans-serif" w:hAnsi="Arial;sans-serif"/>
          <w:b w:val="false"/>
          <w:color w:val="1C1C1C"/>
          <w:sz w:val="20"/>
        </w:rPr>
        <w:t xml:space="preserve">, </w:t>
      </w:r>
      <w:r>
        <w:rPr>
          <w:rFonts w:ascii="Arial;sans-serif" w:hAnsi="Arial;sans-serif"/>
          <w:b w:val="false"/>
          <w:color w:val="010101"/>
          <w:sz w:val="20"/>
        </w:rPr>
        <w:t>USA</w:t>
      </w:r>
    </w:p>
    <w:p>
      <w:pPr>
        <w:pStyle w:val="TextBody"/>
        <w:spacing w:lineRule="auto" w:line="288" w:before="0" w:after="180"/>
        <w:jc w:val="both"/>
        <w:rPr/>
      </w:pPr>
      <w:r>
        <w:rPr>
          <w:rFonts w:ascii="Arial;sans-serif" w:hAnsi="Arial;sans-serif"/>
          <w:b w:val="false"/>
          <w:color w:val="010101"/>
          <w:sz w:val="20"/>
        </w:rPr>
        <w:t>For the attention of</w:t>
      </w:r>
      <w:r>
        <w:rPr>
          <w:rFonts w:ascii="Arial;sans-serif" w:hAnsi="Arial;sans-serif"/>
          <w:b w:val="false"/>
          <w:color w:val="1C1C1C"/>
          <w:sz w:val="20"/>
        </w:rPr>
        <w:t xml:space="preserve">: </w:t>
      </w:r>
      <w:r>
        <w:rPr>
          <w:rFonts w:ascii="Arial;sans-serif" w:hAnsi="Arial;sans-serif"/>
          <w:b w:val="false"/>
          <w:color w:val="010101"/>
          <w:sz w:val="20"/>
        </w:rPr>
        <w:t>Ryan Abderdale</w:t>
      </w:r>
    </w:p>
    <w:p>
      <w:pPr>
        <w:pStyle w:val="TextBody"/>
        <w:spacing w:lineRule="auto" w:line="288" w:before="0" w:after="180"/>
        <w:rPr/>
      </w:pPr>
      <w:r>
        <w:rPr>
          <w:rFonts w:ascii="Arial;sans-serif" w:hAnsi="Arial;sans-serif"/>
          <w:b w:val="false"/>
          <w:color w:val="010101"/>
          <w:sz w:val="20"/>
        </w:rPr>
        <w:t>[</w:t>
      </w:r>
      <w:r>
        <w:rPr>
          <w:color w:val="000000"/>
        </w:rPr>
        <w:t>●</w:t>
      </w:r>
      <w:r>
        <w:rPr>
          <w:rFonts w:ascii="Arial;sans-serif" w:hAnsi="Arial;sans-serif"/>
          <w:b w:val="false"/>
          <w:color w:val="010101"/>
          <w:sz w:val="20"/>
        </w:rPr>
        <w:t>] 202[</w:t>
      </w:r>
      <w:r>
        <w:rPr>
          <w:color w:val="000000"/>
        </w:rPr>
        <w:t>●</w:t>
      </w:r>
      <w:r>
        <w:rPr>
          <w:rFonts w:ascii="Arial;sans-serif" w:hAnsi="Arial;sans-serif"/>
          <w:b w:val="false"/>
          <w:color w:val="010101"/>
          <w:sz w:val="20"/>
        </w:rPr>
        <w:t xml:space="preserve">] </w:t>
      </w:r>
    </w:p>
    <w:p>
      <w:pPr>
        <w:pStyle w:val="TextBody"/>
        <w:spacing w:lineRule="auto" w:line="288" w:before="0" w:after="180"/>
        <w:rPr>
          <w:rFonts w:ascii="Arial;sans-serif" w:hAnsi="Arial;sans-serif"/>
          <w:b w:val="false"/>
          <w:color w:val="010101"/>
          <w:sz w:val="20"/>
        </w:rPr>
      </w:pPr>
      <w:r>
        <w:rPr>
          <w:rFonts w:ascii="Arial;sans-serif" w:hAnsi="Arial;sans-serif"/>
          <w:b w:val="false"/>
          <w:color w:val="010101"/>
          <w:sz w:val="20"/>
        </w:rPr>
        <w:t>Dear Sirs</w:t>
      </w:r>
    </w:p>
    <w:p>
      <w:pPr>
        <w:pStyle w:val="TextBody"/>
        <w:spacing w:lineRule="auto" w:line="288" w:before="0" w:after="180"/>
        <w:jc w:val="both"/>
        <w:rPr/>
      </w:pPr>
      <w:r>
        <w:rPr>
          <w:rFonts w:ascii="Arial;sans-serif" w:hAnsi="Arial;sans-serif"/>
          <w:b w:val="false"/>
          <w:color w:val="010101"/>
          <w:sz w:val="20"/>
        </w:rPr>
        <w:t>We acknowledge receipt of a notice (a copy of which is attached) dated [</w:t>
      </w:r>
      <w:r>
        <w:rPr>
          <w:color w:val="000000"/>
        </w:rPr>
        <w:t>●</w:t>
      </w:r>
      <w:r>
        <w:rPr>
          <w:rFonts w:ascii="Arial;sans-serif" w:hAnsi="Arial;sans-serif"/>
          <w:b w:val="false"/>
          <w:color w:val="010101"/>
          <w:sz w:val="20"/>
        </w:rPr>
        <w:t>] 202[</w:t>
      </w:r>
      <w:r>
        <w:rPr>
          <w:color w:val="000000"/>
        </w:rPr>
        <w:t>●</w:t>
      </w:r>
      <w:r>
        <w:rPr>
          <w:rFonts w:ascii="Arial;sans-serif" w:hAnsi="Arial;sans-serif"/>
          <w:b w:val="false"/>
          <w:color w:val="010101"/>
          <w:sz w:val="20"/>
        </w:rPr>
        <w:t xml:space="preserve">] and addressed to us by [·] Limited (the </w:t>
      </w:r>
      <w:r>
        <w:rPr>
          <w:rFonts w:ascii="Arial;sans-serif" w:hAnsi="Arial;sans-serif"/>
          <w:b/>
          <w:color w:val="010101"/>
          <w:sz w:val="20"/>
        </w:rPr>
        <w:t xml:space="preserve">"Chargor"). </w:t>
      </w:r>
      <w:r>
        <w:rPr>
          <w:rFonts w:ascii="Arial;sans-serif" w:hAnsi="Arial;sans-serif"/>
          <w:b w:val="false"/>
          <w:color w:val="010101"/>
          <w:sz w:val="20"/>
        </w:rPr>
        <w:t>Expressions defined in such notice have the same meanings in this acknowledgement.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We acknowledge and confirm that:</w:t>
      </w:r>
    </w:p>
    <w:p>
      <w:pPr>
        <w:pStyle w:val="TextBody"/>
        <w:spacing w:lineRule="auto" w:line="288" w:before="0" w:after="180"/>
        <w:ind w:left="0" w:right="0" w:hanging="720"/>
        <w:jc w:val="both"/>
        <w:rPr/>
      </w:pPr>
      <w:r>
        <w:rPr>
          <w:rFonts w:ascii="Arial;sans-serif" w:hAnsi="Arial;sans-serif"/>
          <w:b w:val="false"/>
          <w:color w:val="010101"/>
          <w:sz w:val="20"/>
        </w:rPr>
        <w:t>1.    we accept the instructions in the notice and will act in accordance with the provisions of such notice until the Administrative Agent notifies us in writing that the notice is revoked</w:t>
      </w:r>
      <w:r>
        <w:rPr>
          <w:rFonts w:ascii="Arial;sans-serif" w:hAnsi="Arial;sans-serif"/>
          <w:b w:val="false"/>
          <w:color w:val="1C1C1C"/>
          <w:sz w:val="20"/>
        </w:rPr>
        <w:t>;</w:t>
      </w:r>
    </w:p>
    <w:p>
      <w:pPr>
        <w:pStyle w:val="TextBody"/>
        <w:spacing w:lineRule="auto" w:line="288" w:before="0" w:after="180"/>
        <w:jc w:val="both"/>
        <w:rPr/>
      </w:pPr>
      <w:r>
        <w:rPr>
          <w:rFonts w:ascii="Arial;sans-serif" w:hAnsi="Arial;sans-serif"/>
          <w:b w:val="false"/>
          <w:color w:val="010101"/>
          <w:sz w:val="20"/>
        </w:rPr>
        <w:t>2    we have not received notice that any third party has any interest in the Charged Accounts</w:t>
      </w:r>
      <w:r>
        <w:rPr>
          <w:rFonts w:ascii="Arial;sans-serif" w:hAnsi="Arial;sans-serif"/>
          <w:b w:val="false"/>
          <w:color w:val="343434"/>
          <w:sz w:val="20"/>
        </w:rPr>
        <w: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This acknowledgement and any non-contractual obligations arising out of or in connection with this acknowledgement are governed by the law of England and in connection with any proceedings with respect to this acknowledgment and any such non-contractual obligations we submit to the jurisdiction of the Courts of England for your exclusive benefit.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Yours faithfully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46050"/>
                <wp:effectExtent l="0" t="0" r="0" b="0"/>
                <wp:wrapNone/>
                <wp:docPr id="500" name="Frame49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24</w:t>
                      </w:r>
                    </w:p>
                  </w:txbxContent>
                </v:textbox>
              </v:rect>
            </w:pict>
          </mc:Fallback>
        </mc:AlternateConten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Part 2</w: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(Form of notice to counterparties)</w:t>
      </w:r>
    </w:p>
    <w:p>
      <w:pPr>
        <w:pStyle w:val="TextBody"/>
        <w:spacing w:lineRule="auto" w:line="288" w:before="0" w:after="180"/>
        <w:jc w:val="both"/>
        <w:rPr/>
      </w:pPr>
      <w:r>
        <w:rPr>
          <w:rFonts w:ascii="Arial;sans-serif" w:hAnsi="Arial;sans-serif"/>
          <w:b w:val="false"/>
          <w:color w:val="010101"/>
          <w:sz w:val="20"/>
        </w:rPr>
        <w:t>To:    </w:t>
      </w:r>
      <w:r>
        <w:rPr>
          <w:rFonts w:ascii="Arial;sans-serif" w:hAnsi="Arial;sans-serif"/>
          <w:b w:val="false"/>
          <w:i/>
          <w:color w:val="010101"/>
          <w:sz w:val="20"/>
        </w:rPr>
        <w:t>[insert name and address of counterparty]</w:t>
      </w:r>
    </w:p>
    <w:p>
      <w:pPr>
        <w:pStyle w:val="TextBody"/>
        <w:spacing w:lineRule="auto" w:line="288" w:before="0" w:after="180"/>
        <w:rPr/>
      </w:pPr>
      <w:r>
        <w:rPr>
          <w:rFonts w:ascii="Arial;sans-serif" w:hAnsi="Arial;sans-serif"/>
          <w:b w:val="false"/>
          <w:color w:val="010101"/>
          <w:sz w:val="20"/>
        </w:rPr>
        <w:t>Dated: 202[</w:t>
      </w:r>
      <w:r>
        <w:rPr>
          <w:rFonts w:ascii="Wingdings;sans-serif" w:hAnsi="Wingdings;sans-serif"/>
          <w:b w:val="false"/>
          <w:color w:val="010101"/>
          <w:sz w:val="20"/>
        </w:rPr>
        <w:t>l</w:t>
      </w:r>
      <w:r>
        <w:rPr>
          <w:rFonts w:ascii="Arial;sans-serif" w:hAnsi="Arial;sans-serif"/>
          <w:b w:val="false"/>
          <w:color w:val="010101"/>
          <w:sz w:val="20"/>
        </w:rPr>
        <w:t>]</w:t>
      </w:r>
    </w:p>
    <w:p>
      <w:pPr>
        <w:pStyle w:val="TextBody"/>
        <w:spacing w:lineRule="auto" w:line="288" w:before="0" w:after="180"/>
        <w:rPr>
          <w:rFonts w:ascii="Arial;sans-serif" w:hAnsi="Arial;sans-serif"/>
          <w:b w:val="false"/>
          <w:color w:val="010101"/>
          <w:sz w:val="20"/>
        </w:rPr>
      </w:pPr>
      <w:r>
        <w:rPr>
          <w:rFonts w:ascii="Arial;sans-serif" w:hAnsi="Arial;sans-serif"/>
          <w:b w:val="false"/>
          <w:color w:val="010101"/>
          <w:sz w:val="20"/>
        </w:rPr>
        <w:t>Dear Sirs</w:t>
      </w:r>
    </w:p>
    <w:p>
      <w:pPr>
        <w:pStyle w:val="TextBody"/>
        <w:spacing w:lineRule="auto" w:line="288" w:before="0" w:after="180"/>
        <w:jc w:val="both"/>
        <w:rPr/>
      </w:pPr>
      <w:r>
        <w:rPr>
          <w:rFonts w:ascii="Arial;sans-serif" w:hAnsi="Arial;sans-serif"/>
          <w:b/>
          <w:color w:val="010101"/>
          <w:sz w:val="20"/>
        </w:rPr>
        <w:t xml:space="preserve">Re: </w:t>
      </w:r>
      <w:r>
        <w:rPr>
          <w:rFonts w:ascii="Arial;sans-serif" w:hAnsi="Arial;sans-serif"/>
          <w:b w:val="false"/>
          <w:color w:val="010101"/>
          <w:sz w:val="20"/>
        </w:rPr>
        <w:t>[</w:t>
      </w:r>
      <w:r>
        <w:rPr>
          <w:rFonts w:ascii="Arial;sans-serif" w:hAnsi="Arial;sans-serif"/>
          <w:b w:val="false"/>
          <w:i/>
          <w:color w:val="010101"/>
          <w:sz w:val="20"/>
        </w:rPr>
        <w:t>identify the relevant agreement</w:t>
      </w:r>
      <w:r>
        <w:rPr>
          <w:rFonts w:ascii="Arial;sans-serif" w:hAnsi="Arial;sans-serif"/>
          <w:b w:val="false"/>
          <w:color w:val="010101"/>
          <w:sz w:val="20"/>
        </w:rPr>
        <w:t>]</w:t>
      </w:r>
      <w:r>
        <w:rPr>
          <w:color w:val="010101"/>
        </w:rPr>
        <w:t xml:space="preserve"> </w:t>
      </w:r>
      <w:r>
        <w:rPr>
          <w:rFonts w:ascii="Arial;sans-serif" w:hAnsi="Arial;sans-serif"/>
          <w:b/>
          <w:color w:val="010101"/>
          <w:sz w:val="20"/>
        </w:rPr>
        <w:t>(the "Agreement")</w:t>
      </w:r>
    </w:p>
    <w:p>
      <w:pPr>
        <w:pStyle w:val="TextBody"/>
        <w:spacing w:lineRule="auto" w:line="288" w:before="0" w:after="180"/>
        <w:jc w:val="both"/>
        <w:rPr/>
      </w:pPr>
      <w:r>
        <w:rPr>
          <w:rFonts w:ascii="Arial;sans-serif" w:hAnsi="Arial;sans-serif"/>
          <w:b w:val="false"/>
          <w:color w:val="010101"/>
          <w:sz w:val="20"/>
        </w:rPr>
        <w:t xml:space="preserve">We notify you that we have [assigned, by way of security,/charged] to Silicon Valley Bank (the </w:t>
      </w:r>
      <w:r>
        <w:rPr>
          <w:rFonts w:ascii="Arial;sans-serif" w:hAnsi="Arial;sans-serif"/>
          <w:b/>
          <w:color w:val="010101"/>
          <w:sz w:val="20"/>
        </w:rPr>
        <w:t xml:space="preserve">"Administrative Agent") </w:t>
      </w:r>
      <w:r>
        <w:rPr>
          <w:rFonts w:ascii="Arial;sans-serif" w:hAnsi="Arial;sans-serif"/>
          <w:b w:val="false"/>
          <w:color w:val="010101"/>
          <w:sz w:val="20"/>
        </w:rPr>
        <w:t>all our right, title and interest in the Agreement as security for certain obligations owed by us to the Administrative Agent.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We further notify you that:</w:t>
      </w:r>
    </w:p>
    <w:p>
      <w:pPr>
        <w:pStyle w:val="TextBody"/>
        <w:spacing w:lineRule="auto" w:line="288" w:before="0" w:after="180"/>
        <w:ind w:left="0" w:right="0" w:hanging="720"/>
        <w:jc w:val="both"/>
        <w:rPr/>
      </w:pPr>
      <w:r>
        <w:rPr>
          <w:rFonts w:ascii="Arial;sans-serif" w:hAnsi="Arial;sans-serif"/>
          <w:b w:val="false"/>
          <w:color w:val="010101"/>
          <w:sz w:val="20"/>
        </w:rPr>
        <w:t>1.    you may continue to deal with us in relation to the Agreement until you receive written notice to the contrary from the Administrative Agent. Thereafter</w:t>
      </w:r>
      <w:r>
        <w:rPr>
          <w:rFonts w:ascii="Arial;sans-serif" w:hAnsi="Arial;sans-serif"/>
          <w:b w:val="false"/>
          <w:color w:val="1D1D1D"/>
          <w:sz w:val="20"/>
        </w:rPr>
        <w:t xml:space="preserve">, </w:t>
      </w:r>
      <w:r>
        <w:rPr>
          <w:rFonts w:ascii="Arial;sans-serif" w:hAnsi="Arial;sans-serif"/>
          <w:b w:val="false"/>
          <w:color w:val="010101"/>
          <w:sz w:val="20"/>
        </w:rPr>
        <w:t>we will cease to have any right to deal with you in relation to the Agreement and therefore, from that time, you should deal only with the Administrative Agent</w:t>
      </w:r>
      <w:r>
        <w:rPr>
          <w:rFonts w:ascii="Arial;sans-serif" w:hAnsi="Arial;sans-serif"/>
          <w:b w:val="false"/>
          <w:color w:val="1D1D1D"/>
          <w:sz w:val="20"/>
        </w:rPr>
        <w:t>;</w:t>
      </w:r>
    </w:p>
    <w:p>
      <w:pPr>
        <w:pStyle w:val="TextBody"/>
        <w:spacing w:lineRule="auto" w:line="288" w:before="0" w:after="180"/>
        <w:ind w:left="0" w:right="0" w:hanging="720"/>
        <w:jc w:val="both"/>
        <w:rPr/>
      </w:pPr>
      <w:r>
        <w:rPr>
          <w:rFonts w:ascii="Arial;sans-serif" w:hAnsi="Arial;sans-serif"/>
          <w:b w:val="false"/>
          <w:color w:val="010101"/>
          <w:sz w:val="20"/>
        </w:rPr>
        <w:t>2.    you are authorised to disclose information in relation to the Agreement to the Administrative Agent on request</w:t>
      </w:r>
      <w:r>
        <w:rPr>
          <w:rFonts w:ascii="Arial;sans-serif" w:hAnsi="Arial;sans-serif"/>
          <w:b w:val="false"/>
          <w:color w:val="1D1D1D"/>
          <w:sz w:val="20"/>
        </w:rPr>
        <w:t>;</w:t>
      </w:r>
    </w:p>
    <w:p>
      <w:pPr>
        <w:pStyle w:val="TextBody"/>
        <w:spacing w:lineRule="auto" w:line="288" w:before="0" w:after="180"/>
        <w:ind w:left="0" w:right="0" w:hanging="720"/>
        <w:jc w:val="both"/>
        <w:rPr/>
      </w:pPr>
      <w:r>
        <w:rPr>
          <w:rFonts w:ascii="Arial;sans-serif" w:hAnsi="Arial;sans-serif"/>
          <w:b w:val="false"/>
          <w:color w:val="010101"/>
          <w:sz w:val="20"/>
        </w:rPr>
        <w:t>3.    after receipt of written notice in accordance with paragraph 1 above</w:t>
      </w:r>
      <w:r>
        <w:rPr>
          <w:rFonts w:ascii="Arial;sans-serif" w:hAnsi="Arial;sans-serif"/>
          <w:b w:val="false"/>
          <w:color w:val="1D1D1D"/>
          <w:sz w:val="20"/>
        </w:rPr>
        <w:t xml:space="preserve">, </w:t>
      </w:r>
      <w:r>
        <w:rPr>
          <w:rFonts w:ascii="Arial;sans-serif" w:hAnsi="Arial;sans-serif"/>
          <w:b w:val="false"/>
          <w:color w:val="010101"/>
          <w:sz w:val="20"/>
        </w:rPr>
        <w:t>you must pay all monies to which we are entitled under the Agreement direct to the Administrative Agent (and not to us) unless the Administrative Agent otherwise agrees in writing</w:t>
      </w:r>
      <w:r>
        <w:rPr>
          <w:rFonts w:ascii="Arial;sans-serif" w:hAnsi="Arial;sans-serif"/>
          <w:b w:val="false"/>
          <w:color w:val="1D1D1D"/>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4.    the provisions of this notice may only be revoked or amended with the prior written consent of the Administrative Agent.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Please sign and return the enclosed copy of this notice to the Administrative Agent (with a copy to us)by way of confirmation that:</w:t>
      </w:r>
    </w:p>
    <w:p>
      <w:pPr>
        <w:pStyle w:val="TextBody"/>
        <w:spacing w:lineRule="auto" w:line="288" w:before="0" w:after="180"/>
        <w:ind w:left="0" w:right="0" w:hanging="720"/>
        <w:jc w:val="both"/>
        <w:rPr/>
      </w:pPr>
      <w:r>
        <w:rPr>
          <w:rFonts w:ascii="Arial;sans-serif" w:hAnsi="Arial;sans-serif"/>
          <w:b w:val="false"/>
          <w:color w:val="010101"/>
          <w:sz w:val="20"/>
        </w:rPr>
        <w:t>(a)    you agree to the terms set out in this notice and to act in accordance with its provisions</w:t>
      </w:r>
      <w:r>
        <w:rPr>
          <w:rFonts w:ascii="Arial;sans-serif" w:hAnsi="Arial;sans-serif"/>
          <w:b w:val="false"/>
          <w:color w:val="1D1D1D"/>
          <w:sz w:val="20"/>
        </w:rPr>
        <w:t xml:space="preserve">; </w:t>
      </w:r>
    </w:p>
    <w:p>
      <w:pPr>
        <w:pStyle w:val="TextBody"/>
        <w:spacing w:lineRule="auto" w:line="288" w:before="0" w:after="180"/>
        <w:ind w:left="0" w:right="0" w:hanging="720"/>
        <w:jc w:val="both"/>
        <w:rPr/>
      </w:pPr>
      <w:r>
        <w:rPr>
          <w:rFonts w:ascii="Arial;sans-serif" w:hAnsi="Arial;sans-serif"/>
          <w:b w:val="false"/>
          <w:color w:val="010101"/>
          <w:sz w:val="20"/>
        </w:rPr>
        <w:t>(b)    you have not received notice that we have assigned or charged our rights under the Agreement to a third party or created any other interest in the Agreement in favour of a third party</w:t>
      </w:r>
      <w:r>
        <w:rPr>
          <w:rFonts w:ascii="Arial;sans-serif" w:hAnsi="Arial;sans-serif"/>
          <w:b w:val="false"/>
          <w:color w:val="1D1D1D"/>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(c)    you have not claimed or exercised</w:t>
      </w:r>
      <w:r>
        <w:rPr>
          <w:rFonts w:ascii="Arial;sans-serif" w:hAnsi="Arial;sans-serif"/>
          <w:b w:val="false"/>
          <w:color w:val="1D1D1D"/>
          <w:sz w:val="20"/>
        </w:rPr>
        <w:t xml:space="preserve">, </w:t>
      </w:r>
      <w:r>
        <w:rPr>
          <w:rFonts w:ascii="Arial;sans-serif" w:hAnsi="Arial;sans-serif"/>
          <w:b w:val="false"/>
          <w:color w:val="010101"/>
          <w:sz w:val="20"/>
        </w:rPr>
        <w:t>nor do you have any outstanding right to claim or exercise against us any right of set-off</w:t>
      </w:r>
      <w:r>
        <w:rPr>
          <w:rFonts w:ascii="Arial;sans-serif" w:hAnsi="Arial;sans-serif"/>
          <w:b w:val="false"/>
          <w:color w:val="1D1D1D"/>
          <w:sz w:val="20"/>
        </w:rPr>
        <w:t xml:space="preserve">, </w:t>
      </w:r>
      <w:r>
        <w:rPr>
          <w:rFonts w:ascii="Arial;sans-serif" w:hAnsi="Arial;sans-serif"/>
          <w:b w:val="false"/>
          <w:color w:val="010101"/>
          <w:sz w:val="20"/>
        </w:rPr>
        <w:t>counter-claim or other right relating to the Agreement.</w:t>
      </w:r>
    </w:p>
    <w:p>
      <w:pPr>
        <w:pStyle w:val="TextBody"/>
        <w:spacing w:lineRule="auto" w:line="288" w:before="0" w:after="180"/>
        <w:jc w:val="both"/>
        <w:rPr/>
      </w:pPr>
      <w:r>
        <w:rPr>
          <w:rFonts w:ascii="Arial;sans-serif" w:hAnsi="Arial;sans-serif"/>
          <w:b w:val="false"/>
          <w:color w:val="010101"/>
          <w:sz w:val="20"/>
        </w:rPr>
        <w:t>This notice and any non-contractual obligations arising out of or in connection with it are governed by English law</w:t>
      </w:r>
      <w:r>
        <w:rPr>
          <w:rFonts w:ascii="Arial;sans-serif" w:hAnsi="Arial;sans-serif"/>
          <w:b w:val="false"/>
          <w:color w:val="3F3F3F"/>
          <w:sz w:val="20"/>
        </w:rPr>
        <w:t>.</w:t>
      </w:r>
    </w:p>
    <w:p>
      <w:pPr>
        <w:pStyle w:val="TextBody"/>
        <w:spacing w:lineRule="auto" w:line="288" w:before="0" w:after="360"/>
        <w:jc w:val="both"/>
        <w:rPr>
          <w:rFonts w:ascii="Arial;sans-serif" w:hAnsi="Arial;sans-serif"/>
          <w:b w:val="false"/>
          <w:color w:val="010101"/>
          <w:sz w:val="20"/>
        </w:rPr>
      </w:pPr>
      <w:r>
        <w:rPr>
          <w:rFonts w:ascii="Arial;sans-serif" w:hAnsi="Arial;sans-serif"/>
          <w:b w:val="false"/>
          <w:color w:val="010101"/>
          <w:sz w:val="20"/>
        </w:rPr>
        <w:t>Yours faithfully</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t>
      </w:r>
    </w:p>
    <w:p>
      <w:pPr>
        <w:pStyle w:val="TextBody"/>
        <w:spacing w:lineRule="auto" w:line="288" w:before="0" w:after="0"/>
        <w:jc w:val="both"/>
        <w:rPr>
          <w:rFonts w:ascii="Arial;sans-serif" w:hAnsi="Arial;sans-serif"/>
          <w:b w:val="false"/>
          <w:color w:val="010101"/>
          <w:sz w:val="20"/>
        </w:rPr>
      </w:pPr>
      <w:r>
        <w:rPr>
          <w:rFonts w:ascii="Arial;sans-serif" w:hAnsi="Arial;sans-serif"/>
          <w:b w:val="false"/>
          <w:color w:val="010101"/>
          <w:sz w:val="20"/>
        </w:rPr>
        <w:t>for and on behalf of</w:t>
      </w:r>
    </w:p>
    <w:p>
      <w:pPr>
        <w:pStyle w:val="TextBody"/>
        <w:spacing w:lineRule="auto" w:line="288" w:before="0" w:after="180"/>
        <w:jc w:val="both"/>
        <w:rPr/>
      </w:pPr>
      <w:r>
        <w:rPr>
          <w:rFonts w:ascii="Arial;sans-serif" w:hAnsi="Arial;sans-serif"/>
          <w:b w:val="false"/>
          <w:color w:val="010101"/>
          <w:sz w:val="20"/>
        </w:rPr>
        <w:t>[</w:t>
      </w:r>
      <w:r>
        <w:rPr>
          <w:rFonts w:ascii="Wingdings;sans-serif" w:hAnsi="Wingdings;sans-serif"/>
          <w:b w:val="false"/>
          <w:color w:val="010101"/>
          <w:sz w:val="20"/>
        </w:rPr>
        <w:t>l</w:t>
      </w:r>
      <w:r>
        <w:rPr>
          <w:rFonts w:ascii="Arial;sans-serif" w:hAnsi="Arial;sans-serif"/>
          <w:b w:val="false"/>
          <w:color w:val="010101"/>
          <w:sz w:val="20"/>
        </w:rPr>
        <w:t>][</w:t>
      </w:r>
      <w:r>
        <w:rPr>
          <w:rFonts w:ascii="Arial;sans-serif" w:hAnsi="Arial;sans-serif"/>
          <w:b w:val="false"/>
          <w:i/>
          <w:color w:val="010101"/>
          <w:sz w:val="20"/>
        </w:rPr>
        <w:t>insert the name of the relevant Chargor</w:t>
      </w:r>
      <w:r>
        <w:rPr>
          <w:rFonts w:ascii="Arial;sans-serif" w:hAnsi="Arial;sans-serif"/>
          <w:b w:val="false"/>
          <w:color w:val="010101"/>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46050"/>
                <wp:effectExtent l="0" t="0" r="0" b="0"/>
                <wp:wrapNone/>
                <wp:docPr id="501" name="Frame49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25</w:t>
                      </w:r>
                    </w:p>
                  </w:txbxContent>
                </v:textbox>
              </v:rect>
            </w:pict>
          </mc:Fallback>
        </mc:AlternateContent>
      </w:r>
    </w:p>
    <w:p>
      <w:pPr>
        <w:pStyle w:val="TextBody"/>
        <w:spacing w:lineRule="auto" w:line="288" w:before="0" w:after="180"/>
        <w:rPr>
          <w:rFonts w:ascii="Arial;sans-serif" w:hAnsi="Arial;sans-serif"/>
          <w:b/>
          <w:i/>
          <w:color w:val="020202"/>
          <w:sz w:val="20"/>
        </w:rPr>
      </w:pPr>
      <w:r>
        <w:rPr>
          <w:rFonts w:ascii="Arial;sans-serif" w:hAnsi="Arial;sans-serif"/>
          <w:b/>
          <w:i/>
          <w:color w:val="020202"/>
          <w:sz w:val="20"/>
        </w:rPr>
        <w:t>[On acknowledgement copy]</w:t>
      </w:r>
    </w:p>
    <w:p>
      <w:pPr>
        <w:pStyle w:val="TextBody"/>
        <w:spacing w:lineRule="auto" w:line="288" w:before="0" w:after="180"/>
        <w:rPr>
          <w:rFonts w:ascii="Arial;sans-serif" w:hAnsi="Arial;sans-serif"/>
          <w:b w:val="false"/>
          <w:color w:val="020202"/>
          <w:sz w:val="20"/>
        </w:rPr>
      </w:pPr>
      <w:r>
        <w:rPr>
          <w:rFonts w:ascii="Arial;sans-serif" w:hAnsi="Arial;sans-serif"/>
          <w:b w:val="false"/>
          <w:color w:val="020202"/>
          <w:sz w:val="20"/>
        </w:rPr>
        <w:t>To:    Silicon Valley Bank</w:t>
      </w:r>
    </w:p>
    <w:p>
      <w:pPr>
        <w:pStyle w:val="TextBody"/>
        <w:spacing w:lineRule="auto" w:line="288" w:before="0" w:after="180"/>
        <w:rPr/>
      </w:pPr>
      <w:r>
        <w:rPr>
          <w:rFonts w:ascii="Arial;sans-serif" w:hAnsi="Arial;sans-serif"/>
          <w:b w:val="false"/>
          <w:color w:val="020202"/>
          <w:sz w:val="20"/>
        </w:rPr>
        <w:t>Copy to</w:t>
      </w:r>
      <w:r>
        <w:rPr>
          <w:rFonts w:ascii="Arial;sans-serif" w:hAnsi="Arial;sans-serif"/>
          <w:b w:val="false"/>
          <w:color w:val="1C1C1C"/>
          <w:sz w:val="20"/>
        </w:rPr>
        <w:t>:    </w:t>
      </w:r>
      <w:r>
        <w:rPr>
          <w:rFonts w:ascii="Arial;sans-serif" w:hAnsi="Arial;sans-serif"/>
          <w:b w:val="false"/>
          <w:color w:val="020202"/>
          <w:sz w:val="20"/>
        </w:rPr>
        <w:t>[</w:t>
      </w:r>
      <w:r>
        <w:rPr>
          <w:rFonts w:ascii="Wingdings;sans-serif" w:hAnsi="Wingdings;sans-serif"/>
          <w:b w:val="false"/>
          <w:color w:val="010101"/>
          <w:sz w:val="20"/>
        </w:rPr>
        <w:t>l</w:t>
      </w:r>
      <w:r>
        <w:rPr>
          <w:rFonts w:ascii="Arial;sans-serif" w:hAnsi="Arial;sans-serif"/>
          <w:b w:val="false"/>
          <w:color w:val="020202"/>
          <w:sz w:val="20"/>
        </w:rPr>
        <w:t>][</w:t>
      </w:r>
      <w:r>
        <w:rPr>
          <w:rFonts w:ascii="Arial;sans-serif" w:hAnsi="Arial;sans-serif"/>
          <w:b w:val="false"/>
          <w:i/>
          <w:color w:val="020202"/>
          <w:sz w:val="20"/>
        </w:rPr>
        <w:t>insert the name of the relevant Chargor</w:t>
      </w:r>
      <w:r>
        <w:rPr>
          <w:rFonts w:ascii="Arial;sans-serif" w:hAnsi="Arial;sans-serif"/>
          <w:b w:val="false"/>
          <w:color w:val="020202"/>
          <w:sz w:val="20"/>
        </w:rPr>
        <w:t>]</w:t>
      </w:r>
    </w:p>
    <w:p>
      <w:pPr>
        <w:pStyle w:val="TextBody"/>
        <w:spacing w:lineRule="auto" w:line="288" w:before="0" w:after="540"/>
        <w:jc w:val="both"/>
        <w:rPr>
          <w:rFonts w:ascii="Arial;sans-serif" w:hAnsi="Arial;sans-serif"/>
          <w:b w:val="false"/>
          <w:color w:val="020202"/>
          <w:sz w:val="20"/>
        </w:rPr>
      </w:pPr>
      <w:r>
        <w:rPr>
          <w:rFonts w:ascii="Arial;sans-serif" w:hAnsi="Arial;sans-serif"/>
          <w:b w:val="false"/>
          <w:color w:val="020202"/>
          <w:sz w:val="20"/>
        </w:rPr>
        <w:t>We acknowledge receipt of the above notice and the notifications therein, agree to abide by its terms and confirm the matters set out in paragraphs (a) to (c) (inclusive) above.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t>
      </w:r>
    </w:p>
    <w:p>
      <w:pPr>
        <w:pStyle w:val="TextBody"/>
        <w:spacing w:lineRule="auto" w:line="288" w:before="0" w:after="0"/>
        <w:rPr>
          <w:rFonts w:ascii="Arial;sans-serif" w:hAnsi="Arial;sans-serif"/>
          <w:b w:val="false"/>
          <w:color w:val="020202"/>
          <w:sz w:val="20"/>
        </w:rPr>
      </w:pPr>
      <w:r>
        <w:rPr>
          <w:rFonts w:ascii="Arial;sans-serif" w:hAnsi="Arial;sans-serif"/>
          <w:b w:val="false"/>
          <w:color w:val="020202"/>
          <w:sz w:val="20"/>
        </w:rPr>
        <w:t>for and on behalf of</w:t>
      </w:r>
    </w:p>
    <w:p>
      <w:pPr>
        <w:pStyle w:val="TextBody"/>
        <w:spacing w:lineRule="auto" w:line="288" w:before="0" w:after="180"/>
        <w:rPr>
          <w:rFonts w:ascii="Arial;sans-serif" w:hAnsi="Arial;sans-serif"/>
          <w:b w:val="false"/>
          <w:i/>
          <w:color w:val="020202"/>
          <w:sz w:val="20"/>
        </w:rPr>
      </w:pPr>
      <w:r>
        <w:rPr>
          <w:rFonts w:ascii="Arial;sans-serif" w:hAnsi="Arial;sans-serif"/>
          <w:b w:val="false"/>
          <w:i/>
          <w:color w:val="020202"/>
          <w:sz w:val="20"/>
        </w:rPr>
        <w:t>[insert name of counterparty]</w:t>
      </w:r>
    </w:p>
    <w:p>
      <w:pPr>
        <w:pStyle w:val="TextBody"/>
        <w:spacing w:lineRule="auto" w:line="288" w:before="0" w:after="180"/>
        <w:rPr/>
      </w:pPr>
      <w:r>
        <w:rPr>
          <w:rFonts w:ascii="Arial;sans-serif" w:hAnsi="Arial;sans-serif"/>
          <w:b w:val="false"/>
          <w:color w:val="020202"/>
          <w:sz w:val="20"/>
        </w:rPr>
        <w:t>Dated</w:t>
      </w:r>
      <w:r>
        <w:rPr>
          <w:rFonts w:ascii="Arial;sans-serif" w:hAnsi="Arial;sans-serif"/>
          <w:b w:val="false"/>
          <w:color w:val="1C1C1C"/>
          <w:sz w:val="20"/>
        </w:rPr>
        <w:t>:    </w:t>
      </w:r>
      <w:r>
        <w:rPr>
          <w:rFonts w:ascii="Times New Roman;sans-serif" w:hAnsi="Times New Roman;sans-serif"/>
          <w:b w:val="false"/>
          <w:color w:val="020202"/>
          <w:sz w:val="20"/>
        </w:rPr>
        <w:t>[</w:t>
      </w:r>
      <w:r>
        <w:rPr>
          <w:rFonts w:ascii="Wingdings;sans-serif" w:hAnsi="Wingdings;sans-serif"/>
          <w:b w:val="false"/>
          <w:color w:val="010101"/>
          <w:sz w:val="20"/>
        </w:rPr>
        <w:t>l</w:t>
      </w:r>
      <w:r>
        <w:rPr>
          <w:rFonts w:ascii="Times New Roman;sans-serif" w:hAnsi="Times New Roman;sans-serif"/>
          <w:b w:val="false"/>
          <w:color w:val="020202"/>
          <w:sz w:val="20"/>
        </w:rPr>
        <w:t>]</w:t>
      </w:r>
      <w:r>
        <w:rPr>
          <w:color w:val="020202"/>
        </w:rPr>
        <w:t xml:space="preserve"> </w:t>
      </w:r>
      <w:r>
        <w:rPr>
          <w:rFonts w:ascii="Arial;sans-serif" w:hAnsi="Arial;sans-serif"/>
          <w:b w:val="false"/>
          <w:color w:val="020202"/>
          <w:sz w:val="20"/>
        </w:rPr>
        <w:t>202</w:t>
      </w:r>
      <w:r>
        <w:rPr>
          <w:rFonts w:ascii="Times New Roman;sans-serif" w:hAnsi="Times New Roman;sans-serif"/>
          <w:b w:val="false"/>
          <w:color w:val="020202"/>
          <w:sz w:val="20"/>
        </w:rPr>
        <w:t>[</w:t>
      </w:r>
      <w:r>
        <w:rPr>
          <w:rFonts w:ascii="Wingdings;sans-serif" w:hAnsi="Wingdings;sans-serif"/>
          <w:b w:val="false"/>
          <w:color w:val="010101"/>
          <w:sz w:val="20"/>
        </w:rPr>
        <w:t>l</w:t>
      </w:r>
      <w:r>
        <w:rPr>
          <w:rFonts w:ascii="Times New Roman;sans-serif" w:hAnsi="Times New Roman;sans-serif"/>
          <w:b w:val="false"/>
          <w:color w:val="020202"/>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46050"/>
                <wp:effectExtent l="0" t="0" r="0" b="0"/>
                <wp:wrapNone/>
                <wp:docPr id="502" name="Frame49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26</w:t>
                      </w:r>
                    </w:p>
                  </w:txbxContent>
                </v:textbox>
              </v:rect>
            </w:pict>
          </mc:Fallback>
        </mc:AlternateConten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Schedule 4</w: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Form of Accession Deed</w:t>
      </w:r>
    </w:p>
    <w:p>
      <w:pPr>
        <w:pStyle w:val="TextBody"/>
        <w:spacing w:lineRule="auto" w:line="288" w:before="0" w:after="180"/>
        <w:rPr/>
      </w:pPr>
      <w:r>
        <w:rPr>
          <w:rFonts w:ascii="Arial;sans-serif" w:hAnsi="Arial;sans-serif"/>
          <w:b/>
          <w:color w:val="000000"/>
          <w:sz w:val="20"/>
        </w:rPr>
        <w:t xml:space="preserve">This Accession Deed </w:t>
      </w:r>
      <w:r>
        <w:rPr>
          <w:rFonts w:ascii="Arial;sans-serif" w:hAnsi="Arial;sans-serif"/>
          <w:b w:val="false"/>
          <w:color w:val="000000"/>
          <w:sz w:val="20"/>
        </w:rPr>
        <w:t>is made on    202[</w:t>
      </w:r>
      <w:r>
        <w:rPr>
          <w:rFonts w:ascii="Wingdings;sans-serif" w:hAnsi="Wingdings;sans-serif"/>
          <w:b w:val="false"/>
          <w:color w:val="010101"/>
          <w:sz w:val="20"/>
        </w:rPr>
        <w:t>l</w:t>
      </w:r>
      <w:r>
        <w:rPr>
          <w:rFonts w:ascii="Arial;sans-serif" w:hAnsi="Arial;sans-serif"/>
          <w:b w:val="false"/>
          <w:color w:val="000000"/>
          <w:sz w:val="20"/>
        </w:rPr>
        <w:t>]</w:t>
      </w:r>
    </w:p>
    <w:p>
      <w:pPr>
        <w:pStyle w:val="TextBody"/>
        <w:spacing w:lineRule="auto" w:line="288" w:before="0" w:after="180"/>
        <w:rPr>
          <w:rFonts w:ascii="Arial;sans-serif" w:hAnsi="Arial;sans-serif"/>
          <w:b/>
          <w:color w:val="010101"/>
          <w:sz w:val="20"/>
        </w:rPr>
      </w:pPr>
      <w:r>
        <w:rPr>
          <w:rFonts w:ascii="Arial;sans-serif" w:hAnsi="Arial;sans-serif"/>
          <w:b/>
          <w:color w:val="010101"/>
          <w:sz w:val="20"/>
        </w:rPr>
        <w:t>Between:</w:t>
      </w:r>
    </w:p>
    <w:p>
      <w:pPr>
        <w:pStyle w:val="TextBody"/>
        <w:spacing w:lineRule="auto" w:line="288" w:before="0" w:after="180"/>
        <w:ind w:left="0" w:right="0" w:hanging="720"/>
        <w:jc w:val="both"/>
        <w:rPr/>
      </w:pPr>
      <w:r>
        <w:rPr>
          <w:rFonts w:ascii="Arial;sans-serif" w:hAnsi="Arial;sans-serif"/>
          <w:b w:val="false"/>
          <w:color w:val="010101"/>
          <w:sz w:val="20"/>
        </w:rPr>
        <w:t>(1)    [</w:t>
      </w:r>
      <w:r>
        <w:rPr>
          <w:rFonts w:ascii="Wingdings;sans-serif" w:hAnsi="Wingdings;sans-serif"/>
          <w:b w:val="false"/>
          <w:color w:val="010101"/>
          <w:sz w:val="20"/>
        </w:rPr>
        <w:t>l</w:t>
      </w:r>
      <w:r>
        <w:rPr>
          <w:rFonts w:ascii="Arial;sans-serif" w:hAnsi="Arial;sans-serif"/>
          <w:b w:val="false"/>
          <w:color w:val="010101"/>
          <w:sz w:val="20"/>
        </w:rPr>
        <w:t>] a company registered in England and Wales with registration number [</w:t>
      </w:r>
      <w:r>
        <w:rPr>
          <w:rFonts w:ascii="Wingdings;sans-serif" w:hAnsi="Wingdings;sans-serif"/>
          <w:b w:val="false"/>
          <w:color w:val="010101"/>
          <w:sz w:val="20"/>
        </w:rPr>
        <w:t>l</w:t>
      </w:r>
      <w:r>
        <w:rPr>
          <w:rFonts w:ascii="Arial;sans-serif" w:hAnsi="Arial;sans-serif"/>
          <w:b w:val="false"/>
          <w:color w:val="010101"/>
          <w:sz w:val="20"/>
        </w:rPr>
        <w:t>] whose registered office is at [</w:t>
      </w:r>
      <w:r>
        <w:rPr>
          <w:rFonts w:ascii="Wingdings;sans-serif" w:hAnsi="Wingdings;sans-serif"/>
          <w:b w:val="false"/>
          <w:color w:val="010101"/>
          <w:sz w:val="20"/>
        </w:rPr>
        <w:t>l</w:t>
      </w:r>
      <w:r>
        <w:rPr>
          <w:rFonts w:ascii="Arial;sans-serif" w:hAnsi="Arial;sans-serif"/>
          <w:b w:val="false"/>
          <w:color w:val="010101"/>
          <w:sz w:val="20"/>
        </w:rPr>
        <w:t xml:space="preserve">] (the </w:t>
      </w:r>
      <w:r>
        <w:rPr>
          <w:rFonts w:ascii="Arial;sans-serif" w:hAnsi="Arial;sans-serif"/>
          <w:b/>
          <w:color w:val="010101"/>
          <w:sz w:val="20"/>
        </w:rPr>
        <w:t>"New Chargor")</w:t>
      </w:r>
      <w:r>
        <w:rPr>
          <w:rFonts w:ascii="Arial;sans-serif" w:hAnsi="Arial;sans-serif"/>
          <w:b/>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(2)    Silicon Valley Bank a California corporation with its principal place of business at 3003 Tasman Drive</w:t>
      </w:r>
      <w:r>
        <w:rPr>
          <w:rFonts w:ascii="Arial;sans-serif" w:hAnsi="Arial;sans-serif"/>
          <w:b w:val="false"/>
          <w:color w:val="1C1C1C"/>
          <w:sz w:val="20"/>
        </w:rPr>
        <w:t xml:space="preserve">, </w:t>
      </w:r>
      <w:r>
        <w:rPr>
          <w:rFonts w:ascii="Arial;sans-serif" w:hAnsi="Arial;sans-serif"/>
          <w:b w:val="false"/>
          <w:color w:val="010101"/>
          <w:sz w:val="20"/>
        </w:rPr>
        <w:t>Santa Clara</w:t>
      </w:r>
      <w:r>
        <w:rPr>
          <w:rFonts w:ascii="Arial;sans-serif" w:hAnsi="Arial;sans-serif"/>
          <w:b w:val="false"/>
          <w:color w:val="1C1C1C"/>
          <w:sz w:val="20"/>
        </w:rPr>
        <w:t xml:space="preserve">, </w:t>
      </w:r>
      <w:r>
        <w:rPr>
          <w:rFonts w:ascii="Arial;sans-serif" w:hAnsi="Arial;sans-serif"/>
          <w:b w:val="false"/>
          <w:color w:val="010101"/>
          <w:sz w:val="20"/>
        </w:rPr>
        <w:t xml:space="preserve">California 95054 US (the </w:t>
      </w:r>
      <w:r>
        <w:rPr>
          <w:rFonts w:ascii="Arial;sans-serif" w:hAnsi="Arial;sans-serif"/>
          <w:b/>
          <w:color w:val="010101"/>
          <w:sz w:val="20"/>
        </w:rPr>
        <w:t>"Administrative Agent"),</w:t>
      </w:r>
    </w:p>
    <w:p>
      <w:pPr>
        <w:pStyle w:val="TextBody"/>
        <w:spacing w:lineRule="auto" w:line="288" w:before="0" w:after="180"/>
        <w:jc w:val="both"/>
        <w:rPr/>
      </w:pPr>
      <w:r>
        <w:rPr>
          <w:rFonts w:ascii="Arial;sans-serif" w:hAnsi="Arial;sans-serif"/>
          <w:b w:val="false"/>
          <w:color w:val="010101"/>
          <w:sz w:val="20"/>
        </w:rPr>
        <w:t>and is supplemental to a Debenture granted by [the Chargors] and others in favour of the Administrative Agent on [</w:t>
      </w:r>
      <w:r>
        <w:rPr>
          <w:rFonts w:ascii="Wingdings;sans-serif" w:hAnsi="Wingdings;sans-serif"/>
          <w:b w:val="false"/>
          <w:color w:val="010101"/>
          <w:sz w:val="20"/>
        </w:rPr>
        <w:t>l</w:t>
      </w:r>
      <w:r>
        <w:rPr>
          <w:rFonts w:ascii="Arial;sans-serif" w:hAnsi="Arial;sans-serif"/>
          <w:b w:val="false"/>
          <w:color w:val="010101"/>
          <w:sz w:val="20"/>
        </w:rPr>
        <w:t xml:space="preserve">] 202[·] (the </w:t>
      </w:r>
      <w:r>
        <w:rPr>
          <w:rFonts w:ascii="Arial;sans-serif" w:hAnsi="Arial;sans-serif"/>
          <w:b/>
          <w:color w:val="010101"/>
          <w:sz w:val="20"/>
        </w:rPr>
        <w:t>"Debenture")</w:t>
      </w:r>
      <w:r>
        <w:rPr>
          <w:rFonts w:ascii="Arial;sans-serif" w:hAnsi="Arial;sans-serif"/>
          <w:b/>
          <w:color w:val="3D3D3D"/>
          <w:sz w:val="20"/>
        </w:rPr>
        <w:t>.</w:t>
      </w:r>
    </w:p>
    <w:p>
      <w:pPr>
        <w:pStyle w:val="TextBody"/>
        <w:spacing w:lineRule="auto" w:line="288" w:before="0" w:after="180"/>
        <w:rPr/>
      </w:pPr>
      <w:r>
        <w:rPr>
          <w:rFonts w:ascii="Arial;sans-serif" w:hAnsi="Arial;sans-serif"/>
          <w:b/>
          <w:color w:val="010101"/>
          <w:sz w:val="20"/>
        </w:rPr>
        <w:t xml:space="preserve">Now this Accession Deed witnesses </w:t>
      </w:r>
      <w:r>
        <w:rPr>
          <w:rFonts w:ascii="Arial;sans-serif" w:hAnsi="Arial;sans-serif"/>
          <w:b w:val="false"/>
          <w:color w:val="010101"/>
          <w:sz w:val="20"/>
        </w:rPr>
        <w:t>as follows</w:t>
      </w:r>
      <w:r>
        <w:rPr>
          <w:rFonts w:ascii="Arial;sans-serif" w:hAnsi="Arial;sans-serif"/>
          <w:b w:val="false"/>
          <w:color w:val="1C1C1C"/>
          <w:sz w:val="20"/>
        </w:rPr>
        <w:t>:</w:t>
      </w:r>
    </w:p>
    <w:p>
      <w:pPr>
        <w:pStyle w:val="TextBody"/>
        <w:spacing w:lineRule="auto" w:line="288" w:before="0" w:after="180"/>
        <w:rPr/>
      </w:pPr>
      <w:r>
        <w:rPr>
          <w:rFonts w:ascii="Arial;sans-serif" w:hAnsi="Arial;sans-serif"/>
          <w:b w:val="false"/>
          <w:color w:val="010101"/>
          <w:sz w:val="20"/>
        </w:rPr>
        <w:t>1.    </w:t>
      </w:r>
      <w:r>
        <w:rPr>
          <w:rFonts w:ascii="Arial;sans-serif" w:hAnsi="Arial;sans-serif"/>
          <w:b/>
          <w:color w:val="010101"/>
          <w:sz w:val="20"/>
        </w:rPr>
        <w:t>Definitions and Interpretation</w:t>
      </w:r>
    </w:p>
    <w:p>
      <w:pPr>
        <w:pStyle w:val="TextBody"/>
        <w:spacing w:lineRule="auto" w:line="288" w:before="0" w:after="180"/>
        <w:jc w:val="both"/>
        <w:rPr/>
      </w:pPr>
      <w:r>
        <w:rPr>
          <w:rFonts w:ascii="Arial;sans-serif" w:hAnsi="Arial;sans-serif"/>
          <w:b w:val="false"/>
          <w:color w:val="010101"/>
          <w:sz w:val="20"/>
        </w:rPr>
        <w:t>Unless a contrary intention appears, words and expressions defined in the Debenture shall have the same meaning in this Accession Deed and clause 1</w:t>
      </w:r>
      <w:r>
        <w:rPr>
          <w:rFonts w:ascii="Arial;sans-serif" w:hAnsi="Arial;sans-serif"/>
          <w:b w:val="false"/>
          <w:color w:val="3D3D3D"/>
          <w:sz w:val="20"/>
        </w:rPr>
        <w:t>.</w:t>
      </w:r>
      <w:r>
        <w:rPr>
          <w:rFonts w:ascii="Arial;sans-serif" w:hAnsi="Arial;sans-serif"/>
          <w:b w:val="false"/>
          <w:color w:val="010101"/>
          <w:sz w:val="20"/>
        </w:rPr>
        <w:t xml:space="preserve">2 </w:t>
      </w:r>
      <w:r>
        <w:rPr>
          <w:rFonts w:ascii="Arial;sans-serif" w:hAnsi="Arial;sans-serif"/>
          <w:b w:val="false"/>
          <w:i/>
          <w:color w:val="010101"/>
          <w:sz w:val="20"/>
        </w:rPr>
        <w:t xml:space="preserve">(Construction) </w:t>
      </w:r>
      <w:r>
        <w:rPr>
          <w:rFonts w:ascii="Arial;sans-serif" w:hAnsi="Arial;sans-serif"/>
          <w:b w:val="false"/>
          <w:color w:val="010101"/>
          <w:sz w:val="20"/>
        </w:rPr>
        <w:t>of the Debenture shall apply to this Accession Deed</w:t>
      </w:r>
      <w:r>
        <w:rPr>
          <w:rFonts w:ascii="Arial;sans-serif" w:hAnsi="Arial;sans-serif"/>
          <w:b w:val="false"/>
          <w:color w:val="3D3D3D"/>
          <w:sz w:val="20"/>
        </w:rPr>
        <w:t>.</w:t>
      </w:r>
    </w:p>
    <w:p>
      <w:pPr>
        <w:pStyle w:val="TextBody"/>
        <w:spacing w:lineRule="auto" w:line="288" w:before="0" w:after="180"/>
        <w:jc w:val="both"/>
        <w:rPr/>
      </w:pPr>
      <w:r>
        <w:rPr>
          <w:rFonts w:ascii="Arial;sans-serif" w:hAnsi="Arial;sans-serif"/>
          <w:b w:val="false"/>
          <w:color w:val="010101"/>
          <w:sz w:val="20"/>
        </w:rPr>
        <w:t>2.    </w:t>
      </w:r>
      <w:r>
        <w:rPr>
          <w:rFonts w:ascii="Arial;sans-serif" w:hAnsi="Arial;sans-serif"/>
          <w:b/>
          <w:color w:val="010101"/>
          <w:sz w:val="20"/>
        </w:rPr>
        <w:t>Confirmation</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The New Chargor confirms it has read and understood the content of the Debenture.</w:t>
      </w:r>
    </w:p>
    <w:p>
      <w:pPr>
        <w:pStyle w:val="TextBody"/>
        <w:spacing w:lineRule="auto" w:line="288" w:before="0" w:after="180"/>
        <w:jc w:val="both"/>
        <w:rPr/>
      </w:pPr>
      <w:r>
        <w:rPr>
          <w:rFonts w:ascii="Arial;sans-serif" w:hAnsi="Arial;sans-serif"/>
          <w:b w:val="false"/>
          <w:color w:val="010101"/>
          <w:sz w:val="20"/>
        </w:rPr>
        <w:t>3.    </w:t>
      </w:r>
      <w:r>
        <w:rPr>
          <w:rFonts w:ascii="Arial;sans-serif" w:hAnsi="Arial;sans-serif"/>
          <w:b/>
          <w:color w:val="010101"/>
          <w:sz w:val="20"/>
        </w:rPr>
        <w:t>Accession</w:t>
      </w:r>
    </w:p>
    <w:p>
      <w:pPr>
        <w:pStyle w:val="TextBody"/>
        <w:spacing w:lineRule="auto" w:line="288" w:before="0" w:after="180"/>
        <w:jc w:val="both"/>
        <w:rPr/>
      </w:pPr>
      <w:r>
        <w:rPr>
          <w:rFonts w:ascii="Arial;sans-serif" w:hAnsi="Arial;sans-serif"/>
          <w:b w:val="false"/>
          <w:color w:val="010101"/>
          <w:sz w:val="20"/>
        </w:rPr>
        <w:t>With effect from the date of this Accession Deed</w:t>
      </w:r>
      <w:r>
        <w:rPr>
          <w:rFonts w:ascii="Arial;sans-serif" w:hAnsi="Arial;sans-serif"/>
          <w:b w:val="false"/>
          <w:color w:val="1C1C1C"/>
          <w:sz w:val="20"/>
        </w:rPr>
        <w:t xml:space="preserve">, </w:t>
      </w:r>
      <w:r>
        <w:rPr>
          <w:rFonts w:ascii="Arial;sans-serif" w:hAnsi="Arial;sans-serif"/>
          <w:b w:val="false"/>
          <w:color w:val="010101"/>
          <w:sz w:val="20"/>
        </w:rPr>
        <w:t>the New Chargor becomes a party to, and will be bound by the terms of, and assume the obligations and duties of a Chargor under, the Debenture as if it had been [an Original Chargor] from [</w:t>
      </w:r>
      <w:r>
        <w:rPr>
          <w:rFonts w:ascii="Wingdings;sans-serif" w:hAnsi="Wingdings;sans-serif"/>
          <w:b w:val="false"/>
          <w:color w:val="010101"/>
          <w:sz w:val="20"/>
        </w:rPr>
        <w:t>l</w:t>
      </w:r>
      <w:r>
        <w:rPr>
          <w:rFonts w:ascii="Arial;sans-serif" w:hAnsi="Arial;sans-serif"/>
          <w:b w:val="false"/>
          <w:color w:val="010101"/>
          <w:sz w:val="20"/>
        </w:rPr>
        <w:t>] 202[</w:t>
      </w:r>
      <w:r>
        <w:rPr>
          <w:rFonts w:ascii="Wingdings;sans-serif" w:hAnsi="Wingdings;sans-serif"/>
          <w:b w:val="false"/>
          <w:color w:val="010101"/>
          <w:sz w:val="20"/>
        </w:rPr>
        <w:t>l</w:t>
      </w:r>
      <w:r>
        <w:rPr>
          <w:rFonts w:ascii="Arial;sans-serif" w:hAnsi="Arial;sans-serif"/>
          <w:b w:val="false"/>
          <w:color w:val="010101"/>
          <w:sz w:val="20"/>
        </w:rPr>
        <w:t>·].</w:t>
      </w:r>
    </w:p>
    <w:p>
      <w:pPr>
        <w:pStyle w:val="TextBody"/>
        <w:spacing w:lineRule="auto" w:line="288" w:before="0" w:after="180"/>
        <w:rPr/>
      </w:pPr>
      <w:r>
        <w:rPr>
          <w:rFonts w:ascii="Arial;sans-serif" w:hAnsi="Arial;sans-serif"/>
          <w:b w:val="false"/>
          <w:color w:val="010101"/>
          <w:sz w:val="20"/>
        </w:rPr>
        <w:t>4.    </w:t>
      </w:r>
      <w:r>
        <w:rPr>
          <w:rFonts w:ascii="Arial;sans-serif" w:hAnsi="Arial;sans-serif"/>
          <w:b/>
          <w:color w:val="010101"/>
          <w:sz w:val="20"/>
        </w:rPr>
        <w:t>Security</w:t>
      </w:r>
    </w:p>
    <w:p>
      <w:pPr>
        <w:pStyle w:val="TextBody"/>
        <w:spacing w:lineRule="auto" w:line="288" w:before="0" w:after="180"/>
        <w:ind w:left="0" w:right="0" w:hanging="720"/>
        <w:jc w:val="both"/>
        <w:rPr/>
      </w:pPr>
      <w:r>
        <w:rPr>
          <w:rFonts w:ascii="Arial;sans-serif" w:hAnsi="Arial;sans-serif"/>
          <w:b w:val="false"/>
          <w:color w:val="010101"/>
          <w:sz w:val="20"/>
        </w:rPr>
        <w:t xml:space="preserve">4.1    Without prejudice to the generality of clause 3 </w:t>
      </w:r>
      <w:r>
        <w:rPr>
          <w:rFonts w:ascii="Arial;sans-serif" w:hAnsi="Arial;sans-serif"/>
          <w:b w:val="false"/>
          <w:i/>
          <w:color w:val="010101"/>
          <w:sz w:val="20"/>
        </w:rPr>
        <w:t xml:space="preserve">(Accession) </w:t>
      </w:r>
      <w:r>
        <w:rPr>
          <w:rFonts w:ascii="Arial;sans-serif" w:hAnsi="Arial;sans-serif"/>
          <w:b w:val="false"/>
          <w:color w:val="010101"/>
          <w:sz w:val="20"/>
        </w:rPr>
        <w:t>of this Accession Deed and subject to Clause 3</w:t>
      </w:r>
      <w:r>
        <w:rPr>
          <w:rFonts w:ascii="Arial;sans-serif" w:hAnsi="Arial;sans-serif"/>
          <w:b w:val="false"/>
          <w:color w:val="3D3D3D"/>
          <w:sz w:val="20"/>
        </w:rPr>
        <w:t>.</w:t>
      </w:r>
      <w:r>
        <w:rPr>
          <w:rFonts w:ascii="Arial;sans-serif" w:hAnsi="Arial;sans-serif"/>
          <w:b w:val="false"/>
          <w:color w:val="010101"/>
          <w:sz w:val="20"/>
        </w:rPr>
        <w:t xml:space="preserve">7 </w:t>
      </w:r>
      <w:r>
        <w:rPr>
          <w:rFonts w:ascii="Arial;sans-serif" w:hAnsi="Arial;sans-serif"/>
          <w:b w:val="false"/>
          <w:i/>
          <w:color w:val="010101"/>
          <w:sz w:val="20"/>
        </w:rPr>
        <w:t xml:space="preserve">(Property Restricting Charging) </w:t>
      </w:r>
      <w:r>
        <w:rPr>
          <w:rFonts w:ascii="Arial;sans-serif" w:hAnsi="Arial;sans-serif"/>
          <w:b w:val="false"/>
          <w:color w:val="010101"/>
          <w:sz w:val="20"/>
        </w:rPr>
        <w:t>of the Debenture</w:t>
      </w:r>
      <w:r>
        <w:rPr>
          <w:rFonts w:ascii="Arial;sans-serif" w:hAnsi="Arial;sans-serif"/>
          <w:b w:val="false"/>
          <w:color w:val="1C1C1C"/>
          <w:sz w:val="20"/>
        </w:rPr>
        <w:t xml:space="preserve">, </w:t>
      </w:r>
      <w:r>
        <w:rPr>
          <w:rFonts w:ascii="Arial;sans-serif" w:hAnsi="Arial;sans-serif"/>
          <w:b w:val="false"/>
          <w:color w:val="010101"/>
          <w:sz w:val="20"/>
        </w:rPr>
        <w:t>the New Chargor with full title guarantee in favour of the Administrative Agent:</w:t>
      </w:r>
    </w:p>
    <w:p>
      <w:pPr>
        <w:pStyle w:val="TextBody"/>
        <w:spacing w:lineRule="auto" w:line="288" w:before="0" w:after="180"/>
        <w:ind w:left="0" w:right="0" w:hanging="720"/>
        <w:jc w:val="both"/>
        <w:rPr/>
      </w:pPr>
      <w:r>
        <w:rPr>
          <w:rFonts w:ascii="Arial;sans-serif" w:hAnsi="Arial;sans-serif"/>
          <w:b w:val="false"/>
          <w:color w:val="010101"/>
          <w:sz w:val="20"/>
        </w:rPr>
        <w:t>(a)    charges by way of legal mortgage</w:t>
      </w:r>
      <w:r>
        <w:rPr>
          <w:rFonts w:ascii="Arial;sans-serif" w:hAnsi="Arial;sans-serif"/>
          <w:b w:val="false"/>
          <w:color w:val="1C1C1C"/>
          <w:sz w:val="20"/>
        </w:rPr>
        <w:t xml:space="preserve">, </w:t>
      </w:r>
      <w:r>
        <w:rPr>
          <w:rFonts w:ascii="Arial;sans-serif" w:hAnsi="Arial;sans-serif"/>
          <w:b w:val="false"/>
          <w:color w:val="010101"/>
          <w:sz w:val="20"/>
        </w:rPr>
        <w:t>all of its Property vested in it at the date of this Deed</w:t>
      </w:r>
      <w:r>
        <w:rPr>
          <w:rFonts w:ascii="Arial;sans-serif" w:hAnsi="Arial;sans-serif"/>
          <w:b w:val="false"/>
          <w:color w:val="1C1C1C"/>
          <w:sz w:val="20"/>
        </w:rPr>
        <w:t xml:space="preserve">; </w:t>
      </w:r>
    </w:p>
    <w:p>
      <w:pPr>
        <w:pStyle w:val="TextBody"/>
        <w:spacing w:lineRule="auto" w:line="288" w:before="0" w:after="180"/>
        <w:ind w:left="0" w:right="0" w:hanging="720"/>
        <w:jc w:val="both"/>
        <w:rPr/>
      </w:pPr>
      <w:r>
        <w:rPr>
          <w:rFonts w:ascii="Arial;sans-serif" w:hAnsi="Arial;sans-serif"/>
          <w:b w:val="false"/>
          <w:color w:val="010101"/>
          <w:sz w:val="20"/>
        </w:rPr>
        <w:t>(b)    charges by way of first fixed charge</w:t>
      </w:r>
      <w:r>
        <w:rPr>
          <w:rFonts w:ascii="Arial;sans-serif" w:hAnsi="Arial;sans-serif"/>
          <w:b w:val="false"/>
          <w:color w:val="3D3D3D"/>
          <w:sz w:val="20"/>
        </w:rPr>
        <w:t>:</w:t>
      </w:r>
    </w:p>
    <w:p>
      <w:pPr>
        <w:pStyle w:val="TextBody"/>
        <w:spacing w:lineRule="auto" w:line="288" w:before="0" w:after="180"/>
        <w:ind w:left="0" w:right="0" w:hanging="720"/>
        <w:jc w:val="both"/>
        <w:rPr/>
      </w:pPr>
      <w:r>
        <w:rPr>
          <w:rFonts w:ascii="Arial;sans-serif" w:hAnsi="Arial;sans-serif"/>
          <w:b w:val="false"/>
          <w:color w:val="010101"/>
          <w:sz w:val="20"/>
        </w:rPr>
        <w:t>(i)    all Property not effectively mortgaged by paragraph (a) above</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(ii)    all Plant and Machinery</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(iii)    all Shares</w:t>
      </w:r>
      <w:r>
        <w:rPr>
          <w:rFonts w:ascii="Arial;sans-serif" w:hAnsi="Arial;sans-serif"/>
          <w:b w:val="false"/>
          <w:color w:val="1C1C1C"/>
          <w:sz w:val="20"/>
        </w:rPr>
        <w:t xml:space="preserve">; </w:t>
      </w:r>
      <w:r>
        <w:rPr>
          <w:rFonts w:ascii="Arial;sans-serif" w:hAnsi="Arial;sans-serif"/>
          <w:b w:val="false"/>
          <w:color w:val="010101"/>
          <w:sz w:val="20"/>
        </w:rPr>
        <w:t>described in Part 3 of the Schedule to this Accession Deed;</w:t>
      </w:r>
    </w:p>
    <w:p>
      <w:pPr>
        <w:pStyle w:val="TextBody"/>
        <w:spacing w:lineRule="auto" w:line="288" w:before="0" w:after="180"/>
        <w:ind w:left="0" w:right="0" w:hanging="720"/>
        <w:jc w:val="both"/>
        <w:rPr/>
      </w:pPr>
      <w:r>
        <w:rPr>
          <w:rFonts w:ascii="Arial;sans-serif" w:hAnsi="Arial;sans-serif"/>
          <w:b w:val="false"/>
          <w:color w:val="010101"/>
          <w:sz w:val="20"/>
        </w:rPr>
        <w:t>(iv)    all Investments other than the Shares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(v)    all monies from time to time standing to the credit of the SVB Operating Accounts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(vi)    all monies from time to time standing to the credit of the Third Party Accounts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(vii)    all Receivables not effectively assigned pursuant to Clause 4</w:t>
      </w:r>
      <w:r>
        <w:rPr>
          <w:rFonts w:ascii="Arial;sans-serif" w:hAnsi="Arial;sans-serif"/>
          <w:b w:val="false"/>
          <w:color w:val="3B3B3B"/>
          <w:sz w:val="20"/>
        </w:rPr>
        <w:t>.</w:t>
      </w:r>
      <w:r>
        <w:rPr>
          <w:rFonts w:ascii="Arial;sans-serif" w:hAnsi="Arial;sans-serif"/>
          <w:b w:val="false"/>
          <w:color w:val="010101"/>
          <w:sz w:val="20"/>
        </w:rPr>
        <w:t>1 (c) below)</w:t>
      </w:r>
      <w:r>
        <w:rPr>
          <w:rFonts w:ascii="Arial;sans-serif" w:hAnsi="Arial;sans-serif"/>
          <w:b w:val="false"/>
          <w:color w:val="1C1C1C"/>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46050"/>
                <wp:effectExtent l="0" t="0" r="0" b="0"/>
                <wp:wrapNone/>
                <wp:docPr id="503" name="Frame49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27</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10101"/>
          <w:sz w:val="20"/>
        </w:rPr>
        <w:t>(viii)    all Intellectual Property described in Part 2 of the Schedule to this Accession Deed</w:t>
      </w:r>
      <w:r>
        <w:rPr>
          <w:rFonts w:ascii="Arial;sans-serif" w:hAnsi="Arial;sans-serif"/>
          <w:b w:val="false"/>
          <w:color w:val="1C1C1C"/>
          <w:sz w:val="20"/>
        </w:rPr>
        <w:t>;</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(ix)    all other Intellectual Property</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(x)    its goodwill and uncalled capital</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(c)    by way of assignment by way of security:</w:t>
      </w:r>
    </w:p>
    <w:p>
      <w:pPr>
        <w:pStyle w:val="TextBody"/>
        <w:spacing w:lineRule="auto" w:line="288" w:before="0" w:after="180"/>
        <w:ind w:left="0" w:right="0" w:hanging="720"/>
        <w:jc w:val="both"/>
        <w:rPr/>
      </w:pPr>
      <w:r>
        <w:rPr>
          <w:rFonts w:ascii="Arial;sans-serif" w:hAnsi="Arial;sans-serif"/>
          <w:b w:val="false"/>
          <w:color w:val="010101"/>
          <w:sz w:val="20"/>
        </w:rPr>
        <w:t>(i)    all Insurances and Insurance Proceeds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(ii)    any Assigned Contract</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(iii)    all Receivables</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(d)    by way of first floating charge</w:t>
      </w:r>
      <w:r>
        <w:rPr>
          <w:rFonts w:ascii="Arial;sans-serif" w:hAnsi="Arial;sans-serif"/>
          <w:b w:val="false"/>
          <w:color w:val="1C1C1C"/>
          <w:sz w:val="20"/>
        </w:rPr>
        <w:t xml:space="preserve">, </w:t>
      </w:r>
      <w:r>
        <w:rPr>
          <w:rFonts w:ascii="Arial;sans-serif" w:hAnsi="Arial;sans-serif"/>
          <w:b w:val="false"/>
          <w:color w:val="010101"/>
          <w:sz w:val="20"/>
        </w:rPr>
        <w:t>all its undertaking and all its present and future assets other than those assets which are effectively charged by way of first fixed charge or legal mortgage under paragraphs (a) or (b) above or which are effectively assigned by way of security under paragraph (c) above.</w:t>
      </w:r>
    </w:p>
    <w:p>
      <w:pPr>
        <w:pStyle w:val="TextBody"/>
        <w:spacing w:lineRule="auto" w:line="288" w:before="0" w:after="180"/>
        <w:ind w:left="0" w:right="0" w:hanging="720"/>
        <w:jc w:val="both"/>
        <w:rPr/>
      </w:pPr>
      <w:r>
        <w:rPr>
          <w:rFonts w:ascii="Arial;sans-serif" w:hAnsi="Arial;sans-serif"/>
          <w:b w:val="false"/>
          <w:color w:val="010101"/>
          <w:sz w:val="20"/>
        </w:rPr>
        <w:t>4.2    The floating charge created by clause 4.1 (d) (</w:t>
      </w:r>
      <w:r>
        <w:rPr>
          <w:rFonts w:ascii="Arial;sans-serif" w:hAnsi="Arial;sans-serif"/>
          <w:b w:val="false"/>
          <w:i/>
          <w:color w:val="010101"/>
          <w:sz w:val="20"/>
        </w:rPr>
        <w:t>Security</w:t>
      </w:r>
      <w:r>
        <w:rPr>
          <w:rFonts w:ascii="Arial;sans-serif" w:hAnsi="Arial;sans-serif"/>
          <w:b w:val="false"/>
          <w:color w:val="010101"/>
          <w:sz w:val="20"/>
        </w:rPr>
        <w:t>)</w:t>
      </w:r>
      <w:r>
        <w:rPr>
          <w:color w:val="010101"/>
        </w:rPr>
        <w:t xml:space="preserve"> </w:t>
      </w:r>
      <w:r>
        <w:rPr>
          <w:rFonts w:ascii="Arial;sans-serif" w:hAnsi="Arial;sans-serif"/>
          <w:b w:val="false"/>
          <w:color w:val="010101"/>
          <w:sz w:val="20"/>
        </w:rPr>
        <w:t>of this Accession Deed is a qualifying floating charge for the purpose of paragraph 14 of Schedule B1 to the Insolvency Act.</w:t>
      </w:r>
    </w:p>
    <w:p>
      <w:pPr>
        <w:pStyle w:val="TextBody"/>
        <w:spacing w:lineRule="auto" w:line="288" w:before="0" w:after="180"/>
        <w:jc w:val="both"/>
        <w:rPr/>
      </w:pPr>
      <w:r>
        <w:rPr>
          <w:rFonts w:ascii="Arial;sans-serif" w:hAnsi="Arial;sans-serif"/>
          <w:b w:val="false"/>
          <w:color w:val="010101"/>
          <w:sz w:val="20"/>
        </w:rPr>
        <w:t>5.    </w:t>
      </w:r>
      <w:r>
        <w:rPr>
          <w:rFonts w:ascii="Arial;sans-serif" w:hAnsi="Arial;sans-serif"/>
          <w:b/>
          <w:color w:val="010101"/>
          <w:sz w:val="20"/>
        </w:rPr>
        <w:t>Negative Pledge and Disposal Restrictions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Clause 7.2(a) of the Debenture shall apply to this Deed(mutatis mutandis).</w:t>
      </w:r>
    </w:p>
    <w:p>
      <w:pPr>
        <w:pStyle w:val="TextBody"/>
        <w:spacing w:lineRule="auto" w:line="288" w:before="0" w:after="180"/>
        <w:jc w:val="both"/>
        <w:rPr/>
      </w:pPr>
      <w:r>
        <w:rPr>
          <w:rFonts w:ascii="Arial;sans-serif" w:hAnsi="Arial;sans-serif"/>
          <w:b w:val="false"/>
          <w:color w:val="010101"/>
          <w:sz w:val="20"/>
        </w:rPr>
        <w:t>6.    </w:t>
      </w:r>
      <w:r>
        <w:rPr>
          <w:rFonts w:ascii="Arial;sans-serif" w:hAnsi="Arial;sans-serif"/>
          <w:b/>
          <w:color w:val="010101"/>
          <w:sz w:val="20"/>
        </w:rPr>
        <w:t>Construction</w:t>
      </w:r>
    </w:p>
    <w:p>
      <w:pPr>
        <w:pStyle w:val="TextBody"/>
        <w:spacing w:lineRule="auto" w:line="288" w:before="0" w:after="180"/>
        <w:jc w:val="both"/>
        <w:rPr/>
      </w:pPr>
      <w:r>
        <w:rPr>
          <w:rFonts w:ascii="Arial;sans-serif" w:hAnsi="Arial;sans-serif"/>
          <w:b w:val="false"/>
          <w:color w:val="010101"/>
          <w:sz w:val="20"/>
        </w:rPr>
        <w:t>Save as specifically varied in respect of the New Chargor only, the Debenture shall continue and remain in full force and effect and this Accession Deed shall be read and construed as one with the Debenture so that all references to "this Deed" in the Debenture shall include reference to this Accession Deed</w:t>
      </w:r>
      <w:r>
        <w:rPr>
          <w:rFonts w:ascii="Arial;sans-serif" w:hAnsi="Arial;sans-serif"/>
          <w:b w:val="false"/>
          <w:color w:val="3B3B3B"/>
          <w:sz w:val="20"/>
        </w:rPr>
        <w:t>.</w:t>
      </w:r>
    </w:p>
    <w:p>
      <w:pPr>
        <w:pStyle w:val="TextBody"/>
        <w:spacing w:lineRule="auto" w:line="288" w:before="0" w:after="180"/>
        <w:jc w:val="both"/>
        <w:rPr/>
      </w:pPr>
      <w:r>
        <w:rPr>
          <w:rFonts w:ascii="Arial;sans-serif" w:hAnsi="Arial;sans-serif"/>
          <w:b w:val="false"/>
          <w:color w:val="010101"/>
          <w:sz w:val="20"/>
        </w:rPr>
        <w:t>7.    </w:t>
      </w:r>
      <w:r>
        <w:rPr>
          <w:rFonts w:ascii="Arial;sans-serif" w:hAnsi="Arial;sans-serif"/>
          <w:b/>
          <w:color w:val="010101"/>
          <w:sz w:val="20"/>
        </w:rPr>
        <w:t>Governing Law</w:t>
      </w:r>
    </w:p>
    <w:p>
      <w:pPr>
        <w:pStyle w:val="TextBody"/>
        <w:spacing w:lineRule="auto" w:line="288" w:before="0" w:after="180"/>
        <w:jc w:val="both"/>
        <w:rPr/>
      </w:pPr>
      <w:r>
        <w:rPr>
          <w:rFonts w:ascii="Arial;sans-serif" w:hAnsi="Arial;sans-serif"/>
          <w:b w:val="false"/>
          <w:color w:val="010101"/>
          <w:sz w:val="20"/>
        </w:rPr>
        <w:t>This Accession Deed and any non-contractual obligations arising out of or in connection with it shall be governed by and construed in accordance with English law</w:t>
      </w:r>
      <w:r>
        <w:rPr>
          <w:rFonts w:ascii="Arial;sans-serif" w:hAnsi="Arial;sans-serif"/>
          <w:b w:val="false"/>
          <w:color w:val="3B3B3B"/>
          <w:sz w:val="20"/>
        </w:rPr>
        <w:t>.</w:t>
      </w:r>
    </w:p>
    <w:p>
      <w:pPr>
        <w:pStyle w:val="TextBody"/>
        <w:spacing w:lineRule="auto" w:line="288" w:before="0" w:after="180"/>
        <w:jc w:val="both"/>
        <w:rPr/>
      </w:pPr>
      <w:r>
        <w:rPr>
          <w:rFonts w:ascii="Arial;sans-serif" w:hAnsi="Arial;sans-serif"/>
          <w:b/>
          <w:color w:val="010101"/>
          <w:sz w:val="20"/>
        </w:rPr>
        <w:t xml:space="preserve">In witness whereof </w:t>
      </w:r>
      <w:r>
        <w:rPr>
          <w:rFonts w:ascii="Arial;sans-serif" w:hAnsi="Arial;sans-serif"/>
          <w:b w:val="false"/>
          <w:color w:val="010101"/>
          <w:sz w:val="20"/>
        </w:rPr>
        <w:t>the New Chargor and the Administrative Agent have caused this Accession Deed to be duly executed on the date appearing at the head of page 1</w:t>
      </w:r>
      <w:r>
        <w:rPr>
          <w:rFonts w:ascii="Arial;sans-serif" w:hAnsi="Arial;sans-serif"/>
          <w:b w:val="false"/>
          <w:color w:val="1C1C1C"/>
          <w:sz w:val="20"/>
        </w:rPr>
        <w: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[Add signature blocks after Schedule]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46050"/>
                <wp:effectExtent l="0" t="0" r="0" b="0"/>
                <wp:wrapNone/>
                <wp:docPr id="504" name="Frame49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28</w:t>
                      </w:r>
                    </w:p>
                  </w:txbxContent>
                </v:textbox>
              </v:rect>
            </w:pict>
          </mc:Fallback>
        </mc:AlternateConten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Schedule 5</w: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Supplemental Debenture</w:t>
      </w:r>
    </w:p>
    <w:p>
      <w:pPr>
        <w:pStyle w:val="TextBody"/>
        <w:spacing w:lineRule="auto" w:line="288" w:before="0" w:after="180"/>
        <w:rPr/>
      </w:pPr>
      <w:r>
        <w:rPr>
          <w:rFonts w:ascii="Arial;sans-serif" w:hAnsi="Arial;sans-serif"/>
          <w:b/>
          <w:color w:val="000000"/>
          <w:sz w:val="20"/>
        </w:rPr>
        <w:t xml:space="preserve">THE SUPPLEMENTAL DEBENTURE </w:t>
      </w:r>
      <w:r>
        <w:rPr>
          <w:rFonts w:ascii="Arial;sans-serif" w:hAnsi="Arial;sans-serif"/>
          <w:b w:val="false"/>
          <w:color w:val="000000"/>
          <w:sz w:val="20"/>
        </w:rPr>
        <w:t>is made on    202[</w:t>
      </w:r>
      <w:r>
        <w:rPr>
          <w:rFonts w:ascii="Wingdings;sans-serif" w:hAnsi="Wingdings;sans-serif"/>
          <w:b w:val="false"/>
          <w:color w:val="000000"/>
          <w:sz w:val="20"/>
        </w:rPr>
        <w:t>l</w:t>
      </w:r>
      <w:r>
        <w:rPr>
          <w:rFonts w:ascii="Arial;sans-serif" w:hAnsi="Arial;sans-serif"/>
          <w:b w:val="false"/>
          <w:color w:val="000000"/>
          <w:sz w:val="20"/>
        </w:rPr>
        <w:t>]</w:t>
      </w:r>
    </w:p>
    <w:p>
      <w:pPr>
        <w:pStyle w:val="TextBody"/>
        <w:spacing w:lineRule="auto" w:line="288" w:before="0" w:after="180"/>
        <w:rPr/>
      </w:pPr>
      <w:r>
        <w:rPr>
          <w:rFonts w:ascii="Arial;sans-serif" w:hAnsi="Arial;sans-serif"/>
          <w:b/>
          <w:color w:val="010101"/>
          <w:sz w:val="20"/>
        </w:rPr>
        <w:t>Between</w:t>
      </w:r>
      <w:r>
        <w:rPr>
          <w:rFonts w:ascii="Arial;sans-serif" w:hAnsi="Arial;sans-serif"/>
          <w:b/>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(1)    [</w:t>
      </w:r>
      <w:r>
        <w:rPr>
          <w:rFonts w:ascii="Wingdings;sans-serif" w:hAnsi="Wingdings;sans-serif"/>
          <w:b w:val="false"/>
          <w:color w:val="000000"/>
          <w:sz w:val="20"/>
        </w:rPr>
        <w:t>l</w:t>
      </w:r>
      <w:r>
        <w:rPr>
          <w:rFonts w:ascii="Arial;sans-serif" w:hAnsi="Arial;sans-serif"/>
          <w:b w:val="false"/>
          <w:color w:val="010101"/>
          <w:sz w:val="20"/>
        </w:rPr>
        <w:t xml:space="preserve">] a company registered in England and Wales with registration number </w:t>
      </w:r>
      <w:r>
        <w:rPr>
          <w:rFonts w:ascii="Wingdings;sans-serif" w:hAnsi="Wingdings;sans-serif"/>
          <w:b w:val="false"/>
          <w:color w:val="000000"/>
          <w:sz w:val="20"/>
        </w:rPr>
        <w:t>l</w:t>
      </w:r>
      <w:r>
        <w:rPr>
          <w:color w:val="010101"/>
        </w:rPr>
        <w:t xml:space="preserve"> </w:t>
      </w:r>
      <w:r>
        <w:rPr>
          <w:rFonts w:ascii="Arial;sans-serif" w:hAnsi="Arial;sans-serif"/>
          <w:b w:val="false"/>
          <w:color w:val="010101"/>
          <w:sz w:val="20"/>
        </w:rPr>
        <w:t>whose registered office is at [</w:t>
      </w:r>
      <w:r>
        <w:rPr>
          <w:rFonts w:ascii="Wingdings;sans-serif" w:hAnsi="Wingdings;sans-serif"/>
          <w:b w:val="false"/>
          <w:color w:val="000000"/>
          <w:sz w:val="20"/>
        </w:rPr>
        <w:t>l</w:t>
      </w:r>
      <w:r>
        <w:rPr>
          <w:rFonts w:ascii="Arial;sans-serif" w:hAnsi="Arial;sans-serif"/>
          <w:b w:val="false"/>
          <w:color w:val="010101"/>
          <w:sz w:val="20"/>
        </w:rPr>
        <w:t xml:space="preserve">] (the </w:t>
      </w:r>
      <w:r>
        <w:rPr>
          <w:rFonts w:ascii="Arial;sans-serif" w:hAnsi="Arial;sans-serif"/>
          <w:b/>
          <w:color w:val="010101"/>
          <w:sz w:val="20"/>
        </w:rPr>
        <w:t>"Company")</w:t>
      </w:r>
      <w:r>
        <w:rPr>
          <w:rFonts w:ascii="Arial;sans-serif" w:hAnsi="Arial;sans-serif"/>
          <w:b/>
          <w:color w:val="1C1C1C"/>
          <w:sz w:val="20"/>
        </w:rPr>
        <w:t xml:space="preserve">; </w:t>
      </w:r>
      <w:r>
        <w:rPr>
          <w:rFonts w:ascii="Arial;sans-serif" w:hAnsi="Arial;sans-serif"/>
          <w:b w:val="false"/>
          <w:color w:val="010101"/>
          <w:sz w:val="20"/>
        </w:rPr>
        <w:t>and</w:t>
      </w:r>
    </w:p>
    <w:p>
      <w:pPr>
        <w:pStyle w:val="TextBody"/>
        <w:spacing w:lineRule="auto" w:line="288" w:before="0" w:after="0"/>
        <w:ind w:left="0" w:right="0" w:hanging="720"/>
        <w:jc w:val="both"/>
        <w:rPr/>
      </w:pPr>
      <w:r>
        <w:rPr>
          <w:rFonts w:ascii="Arial;sans-serif" w:hAnsi="Arial;sans-serif"/>
          <w:b w:val="false"/>
          <w:color w:val="010101"/>
          <w:sz w:val="20"/>
        </w:rPr>
        <w:t>(2)    </w:t>
      </w:r>
      <w:r>
        <w:rPr>
          <w:rFonts w:ascii="Arial;sans-serif" w:hAnsi="Arial;sans-serif"/>
          <w:b/>
          <w:color w:val="010101"/>
          <w:sz w:val="20"/>
        </w:rPr>
        <w:t xml:space="preserve">Silicon Valley Bank </w:t>
      </w:r>
      <w:r>
        <w:rPr>
          <w:rFonts w:ascii="Arial;sans-serif" w:hAnsi="Arial;sans-serif"/>
          <w:b w:val="false"/>
          <w:color w:val="010101"/>
          <w:sz w:val="20"/>
        </w:rPr>
        <w:t>a California corporation with its principal place of business at 3003 Tasman</w:t>
      </w:r>
    </w:p>
    <w:p>
      <w:pPr>
        <w:pStyle w:val="TextBody"/>
        <w:spacing w:lineRule="auto" w:line="288" w:before="0" w:after="180"/>
        <w:ind w:left="0" w:right="0" w:hanging="720"/>
        <w:jc w:val="both"/>
        <w:rPr/>
      </w:pPr>
      <w:r>
        <w:rPr>
          <w:rFonts w:ascii="Arial;sans-serif" w:hAnsi="Arial;sans-serif"/>
          <w:b w:val="false"/>
          <w:color w:val="010101"/>
          <w:sz w:val="20"/>
        </w:rPr>
        <w:t>Drive</w:t>
      </w:r>
      <w:r>
        <w:rPr>
          <w:rFonts w:ascii="Arial;sans-serif" w:hAnsi="Arial;sans-serif"/>
          <w:b w:val="false"/>
          <w:color w:val="1C1C1C"/>
          <w:sz w:val="20"/>
        </w:rPr>
        <w:t xml:space="preserve">, </w:t>
      </w:r>
      <w:r>
        <w:rPr>
          <w:rFonts w:ascii="Arial;sans-serif" w:hAnsi="Arial;sans-serif"/>
          <w:b w:val="false"/>
          <w:color w:val="010101"/>
          <w:sz w:val="20"/>
        </w:rPr>
        <w:t>Santa Clara</w:t>
      </w:r>
      <w:r>
        <w:rPr>
          <w:rFonts w:ascii="Arial;sans-serif" w:hAnsi="Arial;sans-serif"/>
          <w:b w:val="false"/>
          <w:color w:val="1C1C1C"/>
          <w:sz w:val="20"/>
        </w:rPr>
        <w:t xml:space="preserve">, </w:t>
      </w:r>
      <w:r>
        <w:rPr>
          <w:rFonts w:ascii="Arial;sans-serif" w:hAnsi="Arial;sans-serif"/>
          <w:b w:val="false"/>
          <w:color w:val="010101"/>
          <w:sz w:val="20"/>
        </w:rPr>
        <w:t xml:space="preserve">California 95054 US (the </w:t>
      </w:r>
      <w:r>
        <w:rPr>
          <w:rFonts w:ascii="Arial;sans-serif" w:hAnsi="Arial;sans-serif"/>
          <w:b/>
          <w:color w:val="010101"/>
          <w:sz w:val="20"/>
        </w:rPr>
        <w:t>"Administrative Agent")</w:t>
      </w:r>
      <w:r>
        <w:rPr>
          <w:rFonts w:ascii="Arial;sans-serif" w:hAnsi="Arial;sans-serif"/>
          <w:b/>
          <w:color w:val="383838"/>
          <w:sz w:val="20"/>
        </w:rPr>
        <w:t>.</w:t>
      </w:r>
    </w:p>
    <w:p>
      <w:pPr>
        <w:pStyle w:val="TextBody"/>
        <w:spacing w:lineRule="auto" w:line="288" w:before="0" w:after="180"/>
        <w:jc w:val="both"/>
        <w:rPr>
          <w:rFonts w:ascii="Arial;sans-serif" w:hAnsi="Arial;sans-serif"/>
          <w:b/>
          <w:color w:val="010101"/>
          <w:sz w:val="20"/>
        </w:rPr>
      </w:pPr>
      <w:r>
        <w:rPr>
          <w:rFonts w:ascii="Arial;sans-serif" w:hAnsi="Arial;sans-serif"/>
          <w:b/>
          <w:color w:val="010101"/>
          <w:sz w:val="20"/>
        </w:rPr>
        <w:t>Background</w:t>
      </w:r>
    </w:p>
    <w:p>
      <w:pPr>
        <w:pStyle w:val="TextBody"/>
        <w:spacing w:lineRule="auto" w:line="288" w:before="0" w:after="180"/>
        <w:ind w:left="0" w:right="0" w:hanging="720"/>
        <w:jc w:val="both"/>
        <w:rPr/>
      </w:pPr>
      <w:r>
        <w:rPr>
          <w:rFonts w:ascii="Arial;sans-serif" w:hAnsi="Arial;sans-serif"/>
          <w:b w:val="false"/>
          <w:color w:val="010101"/>
          <w:sz w:val="20"/>
        </w:rPr>
        <w:t>(A)    Pursuant to the Original Debenture (as defined below), the Company created Security Interests over all of its assets for, amongst other things</w:t>
      </w:r>
      <w:r>
        <w:rPr>
          <w:rFonts w:ascii="Arial;sans-serif" w:hAnsi="Arial;sans-serif"/>
          <w:b w:val="false"/>
          <w:color w:val="1C1C1C"/>
          <w:sz w:val="20"/>
        </w:rPr>
        <w:t xml:space="preserve">, </w:t>
      </w:r>
      <w:r>
        <w:rPr>
          <w:rFonts w:ascii="Arial;sans-serif" w:hAnsi="Arial;sans-serif"/>
          <w:b w:val="false"/>
          <w:color w:val="010101"/>
          <w:sz w:val="20"/>
        </w:rPr>
        <w:t>its present and future obligations and liabilities under the Loan Documents</w:t>
      </w:r>
      <w:r>
        <w:rPr>
          <w:rFonts w:ascii="Arial;sans-serif" w:hAnsi="Arial;sans-serif"/>
          <w:b w:val="false"/>
          <w:color w:val="383838"/>
          <w:sz w:val="20"/>
        </w:rPr>
        <w: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(B)    This Supplemental Debenture is supplemental to the Original Debenture (as defined below).</w:t>
      </w:r>
    </w:p>
    <w:p>
      <w:pPr>
        <w:pStyle w:val="TextBody"/>
        <w:spacing w:lineRule="auto" w:line="288" w:before="0" w:after="180"/>
        <w:jc w:val="both"/>
        <w:rPr/>
      </w:pPr>
      <w:r>
        <w:rPr>
          <w:rFonts w:ascii="Arial;sans-serif" w:hAnsi="Arial;sans-serif"/>
          <w:b/>
          <w:color w:val="010101"/>
          <w:sz w:val="20"/>
        </w:rPr>
        <w:t>The parties to this Supplemental Debenture agree as follows</w:t>
      </w:r>
      <w:r>
        <w:rPr>
          <w:rFonts w:ascii="Arial;sans-serif" w:hAnsi="Arial;sans-serif"/>
          <w:b/>
          <w:color w:val="383838"/>
          <w:sz w:val="20"/>
        </w:rPr>
        <w:t>:</w:t>
      </w:r>
    </w:p>
    <w:p>
      <w:pPr>
        <w:pStyle w:val="TextBody"/>
        <w:spacing w:lineRule="auto" w:line="288" w:before="0" w:after="180"/>
        <w:ind w:left="0" w:right="0" w:hanging="720"/>
        <w:jc w:val="both"/>
        <w:rPr/>
      </w:pPr>
      <w:r>
        <w:rPr>
          <w:rFonts w:ascii="Arial;sans-serif" w:hAnsi="Arial;sans-serif"/>
          <w:b w:val="false"/>
          <w:color w:val="010101"/>
          <w:sz w:val="20"/>
        </w:rPr>
        <w:t>1.    </w:t>
      </w:r>
      <w:r>
        <w:rPr>
          <w:rFonts w:ascii="Arial;sans-serif" w:hAnsi="Arial;sans-serif"/>
          <w:b/>
          <w:color w:val="010101"/>
          <w:sz w:val="20"/>
        </w:rPr>
        <w:t>Definitions and Construction</w:t>
      </w:r>
    </w:p>
    <w:p>
      <w:pPr>
        <w:pStyle w:val="TextBody"/>
        <w:spacing w:lineRule="auto" w:line="288" w:before="0" w:after="180"/>
        <w:ind w:left="0" w:right="0" w:hanging="720"/>
        <w:jc w:val="both"/>
        <w:rPr/>
      </w:pPr>
      <w:r>
        <w:rPr>
          <w:rFonts w:ascii="Arial;sans-serif" w:hAnsi="Arial;sans-serif"/>
          <w:b w:val="false"/>
          <w:color w:val="010101"/>
          <w:sz w:val="20"/>
        </w:rPr>
        <w:t>1.1    </w:t>
      </w:r>
      <w:r>
        <w:rPr>
          <w:rFonts w:ascii="Arial;sans-serif" w:hAnsi="Arial;sans-serif"/>
          <w:b/>
          <w:i/>
          <w:color w:val="010101"/>
          <w:sz w:val="20"/>
        </w:rPr>
        <w:t>Definitions</w:t>
      </w:r>
    </w:p>
    <w:p>
      <w:pPr>
        <w:pStyle w:val="TextBody"/>
        <w:spacing w:lineRule="auto" w:line="288" w:before="0" w:after="180"/>
        <w:jc w:val="both"/>
        <w:rPr/>
      </w:pPr>
      <w:r>
        <w:rPr>
          <w:rFonts w:ascii="Arial;sans-serif" w:hAnsi="Arial;sans-serif"/>
          <w:b w:val="false"/>
          <w:color w:val="010101"/>
          <w:sz w:val="20"/>
        </w:rPr>
        <w:t>Terms defined in the Original Debenture shall, unless otherwise defined in this Supplemental Debenture or unless a contrary intention appears</w:t>
      </w:r>
      <w:r>
        <w:rPr>
          <w:rFonts w:ascii="Arial;sans-serif" w:hAnsi="Arial;sans-serif"/>
          <w:b w:val="false"/>
          <w:color w:val="1C1C1C"/>
          <w:sz w:val="20"/>
        </w:rPr>
        <w:t xml:space="preserve">, </w:t>
      </w:r>
      <w:r>
        <w:rPr>
          <w:rFonts w:ascii="Arial;sans-serif" w:hAnsi="Arial;sans-serif"/>
          <w:b w:val="false"/>
          <w:color w:val="010101"/>
          <w:sz w:val="20"/>
        </w:rPr>
        <w:t>bear the same meaning when used in this Supplemental Debenture and the following terms have the following meanings</w:t>
      </w:r>
      <w:r>
        <w:rPr>
          <w:rFonts w:ascii="Arial;sans-serif" w:hAnsi="Arial;sans-serif"/>
          <w:b w:val="false"/>
          <w:color w:val="1C1C1C"/>
          <w:sz w:val="20"/>
        </w:rPr>
        <w:t>:</w:t>
      </w:r>
    </w:p>
    <w:p>
      <w:pPr>
        <w:pStyle w:val="TextBody"/>
        <w:spacing w:lineRule="auto" w:line="288" w:before="0" w:after="180"/>
        <w:jc w:val="both"/>
        <w:rPr/>
      </w:pPr>
      <w:r>
        <w:rPr>
          <w:rFonts w:ascii="Arial;sans-serif" w:hAnsi="Arial;sans-serif"/>
          <w:b w:val="false"/>
          <w:color w:val="010101"/>
          <w:sz w:val="20"/>
        </w:rPr>
        <w:t>"[</w:t>
      </w:r>
      <w:r>
        <w:rPr>
          <w:rFonts w:ascii="Wingdings;sans-serif" w:hAnsi="Wingdings;sans-serif"/>
          <w:b w:val="false"/>
          <w:color w:val="000000"/>
          <w:sz w:val="20"/>
        </w:rPr>
        <w:t>l</w:t>
      </w:r>
      <w:r>
        <w:rPr>
          <w:rFonts w:ascii="Arial;sans-serif" w:hAnsi="Arial;sans-serif"/>
          <w:b w:val="false"/>
          <w:color w:val="010101"/>
          <w:sz w:val="20"/>
        </w:rPr>
        <w:t>] " means [</w:t>
      </w:r>
      <w:r>
        <w:rPr>
          <w:rFonts w:ascii="Wingdings;sans-serif" w:hAnsi="Wingdings;sans-serif"/>
          <w:b w:val="false"/>
          <w:color w:val="000000"/>
          <w:sz w:val="20"/>
        </w:rPr>
        <w:t>l</w:t>
      </w:r>
      <w:r>
        <w:rPr>
          <w:rFonts w:ascii="Arial;sans-serif" w:hAnsi="Arial;sans-serif"/>
          <w:b w:val="false"/>
          <w:color w:val="010101"/>
          <w:sz w:val="20"/>
        </w:rPr>
        <w:t>]</w:t>
      </w:r>
      <w:r>
        <w:rPr>
          <w:rFonts w:ascii="Arial;sans-serif" w:hAnsi="Arial;sans-serif"/>
          <w:b w:val="false"/>
          <w:color w:val="1C1C1C"/>
          <w:sz w:val="20"/>
        </w:rPr>
        <w:t>;</w:t>
      </w:r>
    </w:p>
    <w:p>
      <w:pPr>
        <w:pStyle w:val="TextBody"/>
        <w:spacing w:lineRule="auto" w:line="288" w:before="0" w:after="0"/>
        <w:jc w:val="both"/>
        <w:rPr/>
      </w:pPr>
      <w:r>
        <w:rPr>
          <w:rFonts w:ascii="Arial;sans-serif" w:hAnsi="Arial;sans-serif"/>
          <w:b/>
          <w:color w:val="010101"/>
          <w:sz w:val="20"/>
        </w:rPr>
        <w:t xml:space="preserve">"Original Debenture" </w:t>
      </w:r>
      <w:r>
        <w:rPr>
          <w:rFonts w:ascii="Arial;sans-serif" w:hAnsi="Arial;sans-serif"/>
          <w:b w:val="false"/>
          <w:color w:val="010101"/>
          <w:sz w:val="20"/>
        </w:rPr>
        <w:t>means the debenture between [amongst others] (1) the Company and</w:t>
      </w:r>
    </w:p>
    <w:p>
      <w:pPr>
        <w:pStyle w:val="TextBody"/>
        <w:spacing w:lineRule="auto" w:line="288" w:before="0" w:after="180"/>
        <w:jc w:val="both"/>
        <w:rPr/>
      </w:pPr>
      <w:r>
        <w:rPr>
          <w:rFonts w:ascii="Arial;sans-serif" w:hAnsi="Arial;sans-serif"/>
          <w:b w:val="false"/>
          <w:color w:val="010101"/>
          <w:sz w:val="20"/>
        </w:rPr>
        <w:t>(2) the Administrative Agent dated 202[</w:t>
      </w:r>
      <w:r>
        <w:rPr>
          <w:rFonts w:ascii="Wingdings;sans-serif" w:hAnsi="Wingdings;sans-serif"/>
          <w:b w:val="false"/>
          <w:color w:val="000000"/>
          <w:sz w:val="20"/>
        </w:rPr>
        <w:t>l</w:t>
      </w:r>
      <w:r>
        <w:rPr>
          <w:rFonts w:ascii="Arial;sans-serif" w:hAnsi="Arial;sans-serif"/>
          <w:b w:val="false"/>
          <w:color w:val="010101"/>
          <w:sz w:val="20"/>
        </w:rPr>
        <w:t>]</w:t>
      </w:r>
    </w:p>
    <w:p>
      <w:pPr>
        <w:pStyle w:val="TextBody"/>
        <w:spacing w:lineRule="auto" w:line="288" w:before="0" w:after="180"/>
        <w:jc w:val="both"/>
        <w:rPr/>
      </w:pPr>
      <w:r>
        <w:rPr>
          <w:rFonts w:ascii="Arial;sans-serif" w:hAnsi="Arial;sans-serif"/>
          <w:b w:val="false"/>
          <w:color w:val="010101"/>
          <w:sz w:val="20"/>
        </w:rPr>
        <w:t>1.2    </w:t>
      </w:r>
      <w:r>
        <w:rPr>
          <w:rFonts w:ascii="Arial;sans-serif" w:hAnsi="Arial;sans-serif"/>
          <w:b/>
          <w:i/>
          <w:color w:val="010101"/>
          <w:sz w:val="20"/>
        </w:rPr>
        <w:t>Construction</w:t>
      </w:r>
    </w:p>
    <w:p>
      <w:pPr>
        <w:pStyle w:val="TextBody"/>
        <w:spacing w:lineRule="auto" w:line="288" w:before="0" w:after="180"/>
        <w:ind w:left="0" w:right="0" w:hanging="720"/>
        <w:jc w:val="both"/>
        <w:rPr/>
      </w:pPr>
      <w:r>
        <w:rPr>
          <w:rFonts w:ascii="Arial;sans-serif" w:hAnsi="Arial;sans-serif"/>
          <w:b w:val="false"/>
          <w:color w:val="010101"/>
          <w:sz w:val="20"/>
        </w:rPr>
        <w:t>(a)    Unless a contrary intention appears</w:t>
      </w:r>
      <w:r>
        <w:rPr>
          <w:rFonts w:ascii="Arial;sans-serif" w:hAnsi="Arial;sans-serif"/>
          <w:b w:val="false"/>
          <w:color w:val="1C1C1C"/>
          <w:sz w:val="20"/>
        </w:rPr>
        <w:t xml:space="preserve">, </w:t>
      </w:r>
      <w:r>
        <w:rPr>
          <w:rFonts w:ascii="Arial;sans-serif" w:hAnsi="Arial;sans-serif"/>
          <w:b w:val="false"/>
          <w:color w:val="010101"/>
          <w:sz w:val="20"/>
        </w:rPr>
        <w:t xml:space="preserve">clause 1.2 </w:t>
      </w:r>
      <w:r>
        <w:rPr>
          <w:rFonts w:ascii="Arial;sans-serif" w:hAnsi="Arial;sans-serif"/>
          <w:b w:val="false"/>
          <w:i/>
          <w:color w:val="010101"/>
          <w:sz w:val="20"/>
        </w:rPr>
        <w:t xml:space="preserve">(Construction) </w:t>
      </w:r>
      <w:r>
        <w:rPr>
          <w:rFonts w:ascii="Arial;sans-serif" w:hAnsi="Arial;sans-serif"/>
          <w:b w:val="false"/>
          <w:color w:val="010101"/>
          <w:sz w:val="20"/>
        </w:rPr>
        <w:t>of the Debenture applies to this Supplemental Debenture</w:t>
      </w:r>
      <w:r>
        <w:rPr>
          <w:rFonts w:ascii="Arial;sans-serif" w:hAnsi="Arial;sans-serif"/>
          <w:b w:val="false"/>
          <w:color w:val="1C1C1C"/>
          <w:sz w:val="20"/>
        </w:rPr>
        <w:t xml:space="preserve">, </w:t>
      </w:r>
      <w:r>
        <w:rPr>
          <w:rFonts w:ascii="Arial;sans-serif" w:hAnsi="Arial;sans-serif"/>
          <w:b w:val="false"/>
          <w:color w:val="010101"/>
          <w:sz w:val="20"/>
        </w:rPr>
        <w:t>and shall be deemed to be incorporated into this Supplemental Debenture</w:t>
      </w:r>
      <w:r>
        <w:rPr>
          <w:rFonts w:ascii="Arial;sans-serif" w:hAnsi="Arial;sans-serif"/>
          <w:b w:val="false"/>
          <w:color w:val="1C1C1C"/>
          <w:sz w:val="20"/>
        </w:rPr>
        <w:t xml:space="preserve">, </w:t>
      </w:r>
      <w:r>
        <w:rPr>
          <w:rFonts w:ascii="Arial;sans-serif" w:hAnsi="Arial;sans-serif"/>
          <w:b w:val="false"/>
          <w:color w:val="010101"/>
          <w:sz w:val="20"/>
        </w:rPr>
        <w:t>mutatis mutandis</w:t>
      </w:r>
      <w:r>
        <w:rPr>
          <w:rFonts w:ascii="Arial;sans-serif" w:hAnsi="Arial;sans-serif"/>
          <w:b w:val="false"/>
          <w:color w:val="1C1C1C"/>
          <w:sz w:val="20"/>
        </w:rPr>
        <w:t xml:space="preserve">, </w:t>
      </w:r>
      <w:r>
        <w:rPr>
          <w:rFonts w:ascii="Arial;sans-serif" w:hAnsi="Arial;sans-serif"/>
          <w:b w:val="false"/>
          <w:color w:val="010101"/>
          <w:sz w:val="20"/>
        </w:rPr>
        <w:t>as though set out in full in this Supplemental Debenture</w:t>
      </w:r>
      <w:r>
        <w:rPr>
          <w:rFonts w:ascii="Arial;sans-serif" w:hAnsi="Arial;sans-serif"/>
          <w:b w:val="false"/>
          <w:color w:val="1C1C1C"/>
          <w:sz w:val="20"/>
        </w:rPr>
        <w:t xml:space="preserve">, </w:t>
      </w:r>
      <w:r>
        <w:rPr>
          <w:rFonts w:ascii="Arial;sans-serif" w:hAnsi="Arial;sans-serif"/>
          <w:b w:val="false"/>
          <w:color w:val="010101"/>
          <w:sz w:val="20"/>
        </w:rPr>
        <w:t xml:space="preserve">with any reference to </w:t>
      </w:r>
      <w:r>
        <w:rPr>
          <w:rFonts w:ascii="Arial;sans-serif" w:hAnsi="Arial;sans-serif"/>
          <w:b/>
          <w:color w:val="010101"/>
          <w:sz w:val="20"/>
        </w:rPr>
        <w:t xml:space="preserve">"this Agreement" </w:t>
      </w:r>
      <w:r>
        <w:rPr>
          <w:rFonts w:ascii="Arial;sans-serif" w:hAnsi="Arial;sans-serif"/>
          <w:b w:val="false"/>
          <w:color w:val="010101"/>
          <w:sz w:val="20"/>
        </w:rPr>
        <w:t xml:space="preserve">being deemed to be a reference to </w:t>
      </w:r>
      <w:r>
        <w:rPr>
          <w:rFonts w:ascii="Arial;sans-serif" w:hAnsi="Arial;sans-serif"/>
          <w:b/>
          <w:color w:val="010101"/>
          <w:sz w:val="20"/>
        </w:rPr>
        <w:t>"this Supplemental Debenture"</w:t>
      </w:r>
      <w:r>
        <w:rPr>
          <w:rFonts w:ascii="Arial;sans-serif" w:hAnsi="Arial;sans-serif"/>
          <w:b/>
          <w:color w:val="1C1C1C"/>
          <w:sz w:val="20"/>
        </w:rPr>
        <w:t xml:space="preserve">, </w:t>
      </w:r>
      <w:r>
        <w:rPr>
          <w:rFonts w:ascii="Arial;sans-serif" w:hAnsi="Arial;sans-serif"/>
          <w:b w:val="false"/>
          <w:color w:val="010101"/>
          <w:sz w:val="20"/>
        </w:rPr>
        <w:t>subject to any necessary changes.</w:t>
      </w:r>
    </w:p>
    <w:p>
      <w:pPr>
        <w:pStyle w:val="TextBody"/>
        <w:spacing w:lineRule="auto" w:line="288" w:before="0" w:after="180"/>
        <w:ind w:left="0" w:right="0" w:hanging="720"/>
        <w:jc w:val="both"/>
        <w:rPr/>
      </w:pPr>
      <w:r>
        <w:rPr>
          <w:rFonts w:ascii="Arial;sans-serif" w:hAnsi="Arial;sans-serif"/>
          <w:b w:val="false"/>
          <w:color w:val="010101"/>
          <w:sz w:val="20"/>
        </w:rPr>
        <w:t>(b)    Any references to the Administrative Agent or any Receiver shall include its Delegate</w:t>
      </w:r>
      <w:r>
        <w:rPr>
          <w:rFonts w:ascii="Arial;sans-serif" w:hAnsi="Arial;sans-serif"/>
          <w:b w:val="false"/>
          <w:color w:val="383838"/>
          <w:sz w:val="20"/>
        </w:rPr>
        <w:t>.</w:t>
      </w:r>
    </w:p>
    <w:p>
      <w:pPr>
        <w:pStyle w:val="TextBody"/>
        <w:spacing w:lineRule="auto" w:line="288" w:before="0" w:after="180"/>
        <w:jc w:val="both"/>
        <w:rPr/>
      </w:pPr>
      <w:r>
        <w:rPr>
          <w:rFonts w:ascii="Arial;sans-serif" w:hAnsi="Arial;sans-serif"/>
          <w:b w:val="false"/>
          <w:color w:val="010101"/>
          <w:sz w:val="20"/>
        </w:rPr>
        <w:t>1.3    </w:t>
      </w:r>
      <w:r>
        <w:rPr>
          <w:rFonts w:ascii="Arial;sans-serif" w:hAnsi="Arial;sans-serif"/>
          <w:b/>
          <w:i/>
          <w:color w:val="010101"/>
          <w:sz w:val="20"/>
        </w:rPr>
        <w:t>Law of Property (Miscellaneous Provisions) Act 1989</w:t>
      </w:r>
    </w:p>
    <w:p>
      <w:pPr>
        <w:pStyle w:val="TextBody"/>
        <w:spacing w:lineRule="auto" w:line="288" w:before="0" w:after="180"/>
        <w:jc w:val="both"/>
        <w:rPr/>
      </w:pPr>
      <w:r>
        <w:rPr>
          <w:rFonts w:ascii="Arial;sans-serif" w:hAnsi="Arial;sans-serif"/>
          <w:b w:val="false"/>
          <w:color w:val="010101"/>
          <w:sz w:val="20"/>
        </w:rPr>
        <w:t>To the extent necessary for any agreement for the disposition of the Security Assets in this Supplemental Debenture to be a valid agreement under section 2( 1) of the Law of Property (Miscellaneous Provisions) Act 1989</w:t>
      </w:r>
      <w:r>
        <w:rPr>
          <w:rFonts w:ascii="Arial;sans-serif" w:hAnsi="Arial;sans-serif"/>
          <w:b w:val="false"/>
          <w:color w:val="1C1C1C"/>
          <w:sz w:val="20"/>
        </w:rPr>
        <w:t xml:space="preserve">, </w:t>
      </w:r>
      <w:r>
        <w:rPr>
          <w:rFonts w:ascii="Arial;sans-serif" w:hAnsi="Arial;sans-serif"/>
          <w:b w:val="false"/>
          <w:color w:val="010101"/>
          <w:sz w:val="20"/>
        </w:rPr>
        <w:t>the terms of the other Loan Documents and of any side letters between the parties to this Supplemental Debenture are incorporated into this Supplemental Debenture</w:t>
      </w:r>
      <w:r>
        <w:rPr>
          <w:rFonts w:ascii="Arial;sans-serif" w:hAnsi="Arial;sans-serif"/>
          <w:b w:val="false"/>
          <w:color w:val="383838"/>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46050"/>
                <wp:effectExtent l="0" t="0" r="0" b="0"/>
                <wp:wrapNone/>
                <wp:docPr id="505" name="Frame49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29</w:t>
                      </w:r>
                    </w:p>
                  </w:txbxContent>
                </v:textbox>
              </v:rect>
            </w:pict>
          </mc:Fallback>
        </mc:AlternateContent>
      </w:r>
    </w:p>
    <w:p>
      <w:pPr>
        <w:pStyle w:val="TextBody"/>
        <w:spacing w:lineRule="auto" w:line="288" w:before="0" w:after="180"/>
        <w:jc w:val="both"/>
        <w:rPr/>
      </w:pPr>
      <w:r>
        <w:rPr>
          <w:rFonts w:ascii="Arial;sans-serif" w:hAnsi="Arial;sans-serif"/>
          <w:b w:val="false"/>
          <w:color w:val="010101"/>
          <w:sz w:val="20"/>
        </w:rPr>
        <w:t>1.4</w:t>
      </w:r>
      <w:r>
        <w:rPr>
          <w:color w:val="010101"/>
        </w:rPr>
        <w:t>    </w:t>
      </w:r>
      <w:r>
        <w:rPr>
          <w:rFonts w:ascii="Arial;sans-serif" w:hAnsi="Arial;sans-serif"/>
          <w:b/>
          <w:i/>
          <w:color w:val="010101"/>
          <w:sz w:val="20"/>
        </w:rPr>
        <w:t>Implied Covenants for Title</w:t>
      </w:r>
    </w:p>
    <w:p>
      <w:pPr>
        <w:pStyle w:val="TextBody"/>
        <w:spacing w:lineRule="auto" w:line="288" w:before="0" w:after="180"/>
        <w:jc w:val="both"/>
        <w:rPr/>
      </w:pPr>
      <w:r>
        <w:rPr>
          <w:rFonts w:ascii="Arial;sans-serif" w:hAnsi="Arial;sans-serif"/>
          <w:b w:val="false"/>
          <w:color w:val="010101"/>
          <w:sz w:val="20"/>
        </w:rPr>
        <w:t>The obligations of the Company under this Supplemental Debenture shall be in addition to the covenants for title deemed to be included in this Supplemental Debenture by virtue of Part I of the Law of Property (Miscellaneous Provisions) Act 1994</w:t>
      </w:r>
      <w:r>
        <w:rPr>
          <w:rFonts w:ascii="Arial;sans-serif" w:hAnsi="Arial;sans-serif"/>
          <w:b w:val="false"/>
          <w:color w:val="1D1D1D"/>
          <w:sz w:val="20"/>
        </w:rPr>
        <w:t>.</w:t>
      </w:r>
    </w:p>
    <w:p>
      <w:pPr>
        <w:pStyle w:val="TextBody"/>
        <w:spacing w:lineRule="auto" w:line="288" w:before="0" w:after="180"/>
        <w:jc w:val="both"/>
        <w:rPr/>
      </w:pPr>
      <w:r>
        <w:rPr>
          <w:rFonts w:ascii="Arial;sans-serif" w:hAnsi="Arial;sans-serif"/>
          <w:b w:val="false"/>
          <w:color w:val="010101"/>
          <w:sz w:val="20"/>
        </w:rPr>
        <w:t>1.5    </w:t>
      </w:r>
      <w:r>
        <w:rPr>
          <w:rFonts w:ascii="Arial;sans-serif" w:hAnsi="Arial;sans-serif"/>
          <w:b/>
          <w:i/>
          <w:color w:val="010101"/>
          <w:sz w:val="20"/>
        </w:rPr>
        <w:t xml:space="preserve">Effect </w:t>
      </w:r>
      <w:r>
        <w:rPr>
          <w:rFonts w:ascii="Arial;sans-serif" w:hAnsi="Arial;sans-serif"/>
          <w:b/>
          <w:color w:val="010101"/>
          <w:sz w:val="20"/>
        </w:rPr>
        <w:t xml:space="preserve">as </w:t>
      </w:r>
      <w:r>
        <w:rPr>
          <w:rFonts w:ascii="Arial;sans-serif" w:hAnsi="Arial;sans-serif"/>
          <w:b/>
          <w:i/>
          <w:color w:val="010101"/>
          <w:sz w:val="20"/>
        </w:rPr>
        <w:t>a Deed</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This Supplemental Debenture is intended to take effect as a deed notwithstanding that the Administrative Agent may have executed it under hand only.</w:t>
      </w:r>
    </w:p>
    <w:p>
      <w:pPr>
        <w:pStyle w:val="TextBody"/>
        <w:spacing w:lineRule="auto" w:line="288" w:before="0" w:after="180"/>
        <w:jc w:val="both"/>
        <w:rPr/>
      </w:pPr>
      <w:r>
        <w:rPr>
          <w:rFonts w:ascii="Arial;sans-serif" w:hAnsi="Arial;sans-serif"/>
          <w:b w:val="false"/>
          <w:color w:val="010101"/>
          <w:sz w:val="20"/>
        </w:rPr>
        <w:t>2.    </w:t>
      </w:r>
      <w:r>
        <w:rPr>
          <w:rFonts w:ascii="Arial;sans-serif" w:hAnsi="Arial;sans-serif"/>
          <w:b/>
          <w:color w:val="010101"/>
          <w:sz w:val="20"/>
        </w:rPr>
        <w:t>Security Assets</w:t>
      </w:r>
    </w:p>
    <w:p>
      <w:pPr>
        <w:pStyle w:val="TextBody"/>
        <w:spacing w:lineRule="auto" w:line="288" w:before="0" w:after="180"/>
        <w:ind w:left="0" w:right="0" w:hanging="720"/>
        <w:jc w:val="both"/>
        <w:rPr/>
      </w:pPr>
      <w:r>
        <w:rPr>
          <w:rFonts w:ascii="Arial;sans-serif" w:hAnsi="Arial;sans-serif"/>
          <w:b w:val="false"/>
          <w:color w:val="010101"/>
          <w:sz w:val="20"/>
        </w:rPr>
        <w:t>2.1    As security for the payment of the Secured Liabilities, the Company charges in favour of the Administrative Agent, with full title guarantee, by way of fixed charge</w:t>
      </w:r>
      <w:r>
        <w:rPr>
          <w:rFonts w:ascii="Arial;sans-serif" w:hAnsi="Arial;sans-serif"/>
          <w:b w:val="false"/>
          <w:color w:val="1D1D1D"/>
          <w:sz w:val="20"/>
        </w:rPr>
        <w:t>:</w:t>
      </w:r>
    </w:p>
    <w:p>
      <w:pPr>
        <w:pStyle w:val="TextBody"/>
        <w:spacing w:lineRule="auto" w:line="288" w:before="0" w:after="180"/>
        <w:jc w:val="both"/>
        <w:rPr/>
      </w:pPr>
      <w:r>
        <w:rPr>
          <w:rFonts w:ascii="Arial;sans-serif" w:hAnsi="Arial;sans-serif"/>
          <w:b w:val="false"/>
          <w:color w:val="010101"/>
          <w:sz w:val="20"/>
        </w:rPr>
        <w:t>(a)    [</w:t>
      </w:r>
      <w:r>
        <w:rPr>
          <w:rFonts w:ascii="Arial;sans-serif" w:hAnsi="Arial;sans-serif"/>
          <w:b w:val="false"/>
          <w:i/>
          <w:color w:val="010101"/>
          <w:sz w:val="20"/>
        </w:rPr>
        <w:t>describe assets to be charged</w:t>
      </w:r>
      <w:r>
        <w:rPr>
          <w:rFonts w:ascii="Arial;sans-serif" w:hAnsi="Arial;sans-serif"/>
          <w:b w:val="false"/>
          <w:color w:val="010101"/>
          <w:sz w:val="20"/>
        </w:rPr>
        <w:t>]</w:t>
      </w:r>
      <w:r>
        <w:rPr>
          <w:rFonts w:ascii="Arial;sans-serif" w:hAnsi="Arial;sans-serif"/>
          <w:b w:val="false"/>
          <w:i/>
          <w:color w:val="1D1D1D"/>
          <w:sz w:val="20"/>
        </w:rPr>
        <w:t xml:space="preserve">; </w:t>
      </w:r>
      <w:r>
        <w:rPr>
          <w:rFonts w:ascii="Arial;sans-serif" w:hAnsi="Arial;sans-serif"/>
          <w:b w:val="false"/>
          <w:color w:val="010101"/>
          <w:sz w:val="20"/>
        </w:rPr>
        <w:t>and</w:t>
      </w:r>
    </w:p>
    <w:p>
      <w:pPr>
        <w:pStyle w:val="TextBody"/>
        <w:spacing w:lineRule="auto" w:line="288" w:before="0" w:after="180"/>
        <w:jc w:val="both"/>
        <w:rPr/>
      </w:pPr>
      <w:r>
        <w:rPr>
          <w:rFonts w:ascii="Arial;sans-serif" w:hAnsi="Arial;sans-serif"/>
          <w:b w:val="false"/>
          <w:color w:val="010101"/>
          <w:sz w:val="20"/>
        </w:rPr>
        <w:t>(b)    [</w:t>
      </w:r>
      <w:r>
        <w:rPr>
          <w:rFonts w:ascii="Arial;sans-serif" w:hAnsi="Arial;sans-serif"/>
          <w:b w:val="false"/>
          <w:i/>
          <w:color w:val="010101"/>
          <w:sz w:val="20"/>
        </w:rPr>
        <w:t>describe assets to be charged</w:t>
      </w:r>
      <w:r>
        <w:rPr>
          <w:rFonts w:ascii="Arial;sans-serif" w:hAnsi="Arial;sans-serif"/>
          <w:b w:val="false"/>
          <w:color w:val="010101"/>
          <w:sz w:val="20"/>
        </w:rPr>
        <w:t>]</w:t>
      </w:r>
      <w:r>
        <w:rPr>
          <w:rFonts w:ascii="Arial;sans-serif" w:hAnsi="Arial;sans-serif"/>
          <w:b w:val="false"/>
          <w:i/>
          <w:color w:val="3F3F3F"/>
          <w:sz w:val="20"/>
        </w:rPr>
        <w:t>.</w:t>
      </w:r>
    </w:p>
    <w:p>
      <w:pPr>
        <w:pStyle w:val="TextBody"/>
        <w:spacing w:lineRule="auto" w:line="288" w:before="0" w:after="180"/>
        <w:ind w:left="0" w:right="0" w:hanging="720"/>
        <w:jc w:val="both"/>
        <w:rPr/>
      </w:pPr>
      <w:r>
        <w:rPr>
          <w:rFonts w:ascii="Arial;sans-serif" w:hAnsi="Arial;sans-serif"/>
          <w:b w:val="false"/>
          <w:color w:val="010101"/>
          <w:sz w:val="20"/>
        </w:rPr>
        <w:t>2.2    As security for payment of the Secured Liabilities</w:t>
      </w:r>
      <w:r>
        <w:rPr>
          <w:rFonts w:ascii="Arial;sans-serif" w:hAnsi="Arial;sans-serif"/>
          <w:b w:val="false"/>
          <w:color w:val="1D1D1D"/>
          <w:sz w:val="20"/>
        </w:rPr>
        <w:t xml:space="preserve">, </w:t>
      </w:r>
      <w:r>
        <w:rPr>
          <w:rFonts w:ascii="Arial;sans-serif" w:hAnsi="Arial;sans-serif"/>
          <w:b w:val="false"/>
          <w:color w:val="010101"/>
          <w:sz w:val="20"/>
        </w:rPr>
        <w:t>the Company assigns</w:t>
      </w:r>
      <w:r>
        <w:rPr>
          <w:rFonts w:ascii="Arial;sans-serif" w:hAnsi="Arial;sans-serif"/>
          <w:b w:val="false"/>
          <w:color w:val="1D1D1D"/>
          <w:sz w:val="20"/>
        </w:rPr>
        <w:t xml:space="preserve">, </w:t>
      </w:r>
      <w:r>
        <w:rPr>
          <w:rFonts w:ascii="Arial;sans-serif" w:hAnsi="Arial;sans-serif"/>
          <w:b w:val="false"/>
          <w:color w:val="010101"/>
          <w:sz w:val="20"/>
        </w:rPr>
        <w:t>by way of security</w:t>
      </w:r>
      <w:r>
        <w:rPr>
          <w:rFonts w:ascii="Arial;sans-serif" w:hAnsi="Arial;sans-serif"/>
          <w:b w:val="false"/>
          <w:color w:val="1D1D1D"/>
          <w:sz w:val="20"/>
        </w:rPr>
        <w:t xml:space="preserve">, </w:t>
      </w:r>
      <w:r>
        <w:rPr>
          <w:rFonts w:ascii="Arial;sans-serif" w:hAnsi="Arial;sans-serif"/>
          <w:b w:val="false"/>
          <w:color w:val="010101"/>
          <w:sz w:val="20"/>
        </w:rPr>
        <w:t>with full title guarantee to the Administrative Agent all its right</w:t>
      </w:r>
      <w:r>
        <w:rPr>
          <w:rFonts w:ascii="Arial;sans-serif" w:hAnsi="Arial;sans-serif"/>
          <w:b w:val="false"/>
          <w:color w:val="1D1D1D"/>
          <w:sz w:val="20"/>
        </w:rPr>
        <w:t xml:space="preserve">, </w:t>
      </w:r>
      <w:r>
        <w:rPr>
          <w:rFonts w:ascii="Arial;sans-serif" w:hAnsi="Arial;sans-serif"/>
          <w:b w:val="false"/>
          <w:color w:val="010101"/>
          <w:sz w:val="20"/>
        </w:rPr>
        <w:t>title and interest in</w:t>
      </w:r>
      <w:r>
        <w:rPr>
          <w:rFonts w:ascii="Arial;sans-serif" w:hAnsi="Arial;sans-serif"/>
          <w:b w:val="false"/>
          <w:color w:val="1D1D1D"/>
          <w:sz w:val="20"/>
        </w:rPr>
        <w:t>:</w:t>
      </w:r>
    </w:p>
    <w:p>
      <w:pPr>
        <w:pStyle w:val="TextBody"/>
        <w:spacing w:lineRule="auto" w:line="288" w:before="0" w:after="180"/>
        <w:jc w:val="both"/>
        <w:rPr/>
      </w:pPr>
      <w:r>
        <w:rPr>
          <w:rFonts w:ascii="Arial;sans-serif" w:hAnsi="Arial;sans-serif"/>
          <w:b w:val="false"/>
          <w:color w:val="010101"/>
          <w:sz w:val="20"/>
        </w:rPr>
        <w:t>(a)    </w:t>
      </w:r>
      <w:r>
        <w:rPr>
          <w:rFonts w:ascii="Arial;sans-serif" w:hAnsi="Arial;sans-serif"/>
          <w:b w:val="false"/>
          <w:i/>
          <w:color w:val="010101"/>
          <w:sz w:val="20"/>
        </w:rPr>
        <w:t>[describe assets to be assigned]</w:t>
      </w:r>
      <w:r>
        <w:rPr>
          <w:rFonts w:ascii="Arial;sans-serif" w:hAnsi="Arial;sans-serif"/>
          <w:b w:val="false"/>
          <w:i/>
          <w:color w:val="1D1D1D"/>
          <w:sz w:val="20"/>
        </w:rPr>
        <w:t xml:space="preserve">; </w:t>
      </w:r>
      <w:r>
        <w:rPr>
          <w:rFonts w:ascii="Arial;sans-serif" w:hAnsi="Arial;sans-serif"/>
          <w:b w:val="false"/>
          <w:color w:val="010101"/>
          <w:sz w:val="20"/>
        </w:rPr>
        <w:t>and</w:t>
      </w:r>
    </w:p>
    <w:p>
      <w:pPr>
        <w:pStyle w:val="TextBody"/>
        <w:spacing w:lineRule="auto" w:line="288" w:before="0" w:after="180"/>
        <w:jc w:val="both"/>
        <w:rPr/>
      </w:pPr>
      <w:r>
        <w:rPr>
          <w:rFonts w:ascii="Arial;sans-serif" w:hAnsi="Arial;sans-serif"/>
          <w:b w:val="false"/>
          <w:color w:val="010101"/>
          <w:sz w:val="20"/>
        </w:rPr>
        <w:t>(b)    </w:t>
      </w:r>
      <w:r>
        <w:rPr>
          <w:rFonts w:ascii="Arial;sans-serif" w:hAnsi="Arial;sans-serif"/>
          <w:b w:val="false"/>
          <w:i/>
          <w:color w:val="010101"/>
          <w:sz w:val="20"/>
        </w:rPr>
        <w:t>[describe assets to be assigned]</w:t>
      </w:r>
      <w:r>
        <w:rPr>
          <w:rFonts w:ascii="Arial;sans-serif" w:hAnsi="Arial;sans-serif"/>
          <w:b w:val="false"/>
          <w:i/>
          <w:color w:val="1D1D1D"/>
          <w:sz w:val="20"/>
        </w:rPr>
        <w:t>,</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together with all Related Rights relating thereto.</w:t>
      </w:r>
    </w:p>
    <w:p>
      <w:pPr>
        <w:pStyle w:val="TextBody"/>
        <w:spacing w:lineRule="auto" w:line="288" w:before="0" w:after="180"/>
        <w:jc w:val="both"/>
        <w:rPr/>
      </w:pPr>
      <w:r>
        <w:rPr>
          <w:rFonts w:ascii="Arial;sans-serif" w:hAnsi="Arial;sans-serif"/>
          <w:b w:val="false"/>
          <w:color w:val="010101"/>
          <w:sz w:val="20"/>
        </w:rPr>
        <w:t>3.    </w:t>
      </w:r>
      <w:r>
        <w:rPr>
          <w:rFonts w:ascii="Arial;sans-serif" w:hAnsi="Arial;sans-serif"/>
          <w:b/>
          <w:color w:val="010101"/>
          <w:sz w:val="20"/>
        </w:rPr>
        <w:t>Incorporation</w:t>
      </w:r>
    </w:p>
    <w:p>
      <w:pPr>
        <w:pStyle w:val="TextBody"/>
        <w:spacing w:lineRule="auto" w:line="288" w:before="0" w:after="180"/>
        <w:ind w:left="0" w:right="0" w:hanging="720"/>
        <w:jc w:val="both"/>
        <w:rPr/>
      </w:pPr>
      <w:r>
        <w:rPr>
          <w:rFonts w:ascii="Arial;sans-serif" w:hAnsi="Arial;sans-serif"/>
          <w:b w:val="false"/>
          <w:color w:val="010101"/>
          <w:sz w:val="20"/>
        </w:rPr>
        <w:t>(a)    The provisions of clause 4 (</w:t>
      </w:r>
      <w:r>
        <w:rPr>
          <w:rFonts w:ascii="Arial;sans-serif" w:hAnsi="Arial;sans-serif"/>
          <w:b w:val="false"/>
          <w:i/>
          <w:color w:val="010101"/>
          <w:sz w:val="20"/>
        </w:rPr>
        <w:t>Nature of Security</w:t>
      </w:r>
      <w:r>
        <w:rPr>
          <w:rFonts w:ascii="Arial;sans-serif" w:hAnsi="Arial;sans-serif"/>
          <w:b w:val="false"/>
          <w:color w:val="010101"/>
          <w:sz w:val="20"/>
        </w:rPr>
        <w:t>)</w:t>
      </w:r>
      <w:r>
        <w:rPr>
          <w:color w:val="010101"/>
        </w:rPr>
        <w:t xml:space="preserve"> </w:t>
      </w:r>
      <w:r>
        <w:rPr>
          <w:rFonts w:ascii="Arial;sans-serif" w:hAnsi="Arial;sans-serif"/>
          <w:b w:val="false"/>
          <w:color w:val="010101"/>
          <w:sz w:val="20"/>
        </w:rPr>
        <w:t>to clause 19 (</w:t>
      </w:r>
      <w:r>
        <w:rPr>
          <w:rFonts w:ascii="Arial;sans-serif" w:hAnsi="Arial;sans-serif"/>
          <w:b w:val="false"/>
          <w:i/>
          <w:color w:val="010101"/>
          <w:sz w:val="20"/>
        </w:rPr>
        <w:t>Miscellaneous</w:t>
      </w:r>
      <w:r>
        <w:rPr>
          <w:rFonts w:ascii="Arial;sans-serif" w:hAnsi="Arial;sans-serif"/>
          <w:b w:val="false"/>
          <w:color w:val="010101"/>
          <w:sz w:val="20"/>
        </w:rPr>
        <w:t>)</w:t>
      </w:r>
      <w:r>
        <w:rPr>
          <w:color w:val="010101"/>
        </w:rPr>
        <w:t xml:space="preserve"> </w:t>
      </w:r>
      <w:r>
        <w:rPr>
          <w:rFonts w:ascii="Arial;sans-serif" w:hAnsi="Arial;sans-serif"/>
          <w:b w:val="false"/>
          <w:color w:val="010101"/>
          <w:sz w:val="20"/>
        </w:rPr>
        <w:t>(inclusive) of the Original Debenture apply to this Supplemental Debenture as though they were set out in full in this Supplemental Debenture except that references to</w:t>
      </w:r>
      <w:r>
        <w:rPr>
          <w:rFonts w:ascii="Arial;sans-serif" w:hAnsi="Arial;sans-serif"/>
          <w:b w:val="false"/>
          <w:color w:val="1D1D1D"/>
          <w:sz w:val="20"/>
        </w:rPr>
        <w:t>:</w:t>
      </w:r>
    </w:p>
    <w:p>
      <w:pPr>
        <w:pStyle w:val="TextBody"/>
        <w:spacing w:lineRule="auto" w:line="288" w:before="0" w:after="180"/>
        <w:ind w:left="0" w:right="0" w:hanging="720"/>
        <w:jc w:val="both"/>
        <w:rPr/>
      </w:pPr>
      <w:r>
        <w:rPr>
          <w:rFonts w:ascii="Arial;sans-serif" w:hAnsi="Arial;sans-serif"/>
          <w:b w:val="false"/>
          <w:color w:val="010101"/>
          <w:sz w:val="20"/>
        </w:rPr>
        <w:t>(i)    </w:t>
      </w:r>
      <w:r>
        <w:rPr>
          <w:rFonts w:ascii="Arial;sans-serif" w:hAnsi="Arial;sans-serif"/>
          <w:b/>
          <w:color w:val="010101"/>
          <w:sz w:val="20"/>
        </w:rPr>
        <w:t xml:space="preserve">"this Deed" </w:t>
      </w:r>
      <w:r>
        <w:rPr>
          <w:rFonts w:ascii="Arial;sans-serif" w:hAnsi="Arial;sans-serif"/>
          <w:b w:val="false"/>
          <w:color w:val="010101"/>
          <w:sz w:val="20"/>
        </w:rPr>
        <w:t xml:space="preserve">in the Original Debenture are to be construed as references to </w:t>
      </w:r>
      <w:r>
        <w:rPr>
          <w:rFonts w:ascii="Arial;sans-serif" w:hAnsi="Arial;sans-serif"/>
          <w:b/>
          <w:color w:val="010101"/>
          <w:sz w:val="20"/>
        </w:rPr>
        <w:t>"this Supplemental Debenture"</w:t>
      </w:r>
      <w:r>
        <w:rPr>
          <w:rFonts w:ascii="Arial;sans-serif" w:hAnsi="Arial;sans-serif"/>
          <w:b/>
          <w:color w:val="1D1D1D"/>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(ii)    any Security Assets are to be construed as references to the Security Assets referred to in Clauses 2</w:t>
      </w:r>
      <w:r>
        <w:rPr>
          <w:rFonts w:ascii="Arial;sans-serif" w:hAnsi="Arial;sans-serif"/>
          <w:b w:val="false"/>
          <w:color w:val="3F3F3F"/>
          <w:sz w:val="20"/>
        </w:rPr>
        <w:t>.</w:t>
      </w:r>
      <w:r>
        <w:rPr>
          <w:rFonts w:ascii="Arial;sans-serif" w:hAnsi="Arial;sans-serif"/>
          <w:b w:val="false"/>
          <w:color w:val="010101"/>
          <w:sz w:val="20"/>
        </w:rPr>
        <w:t>2 and 2.2 above.</w:t>
      </w:r>
    </w:p>
    <w:p>
      <w:pPr>
        <w:pStyle w:val="TextBody"/>
        <w:spacing w:lineRule="auto" w:line="288" w:before="0" w:after="180"/>
        <w:ind w:left="0" w:right="0" w:hanging="720"/>
        <w:jc w:val="both"/>
        <w:rPr/>
      </w:pPr>
      <w:r>
        <w:rPr>
          <w:rFonts w:ascii="Arial;sans-serif" w:hAnsi="Arial;sans-serif"/>
          <w:b w:val="false"/>
          <w:color w:val="010101"/>
          <w:sz w:val="20"/>
        </w:rPr>
        <w:t>(b)    Any representations and warranties in clause 6 (</w:t>
      </w:r>
      <w:r>
        <w:rPr>
          <w:rFonts w:ascii="Arial;sans-serif" w:hAnsi="Arial;sans-serif"/>
          <w:b w:val="false"/>
          <w:i/>
          <w:color w:val="010101"/>
          <w:sz w:val="20"/>
        </w:rPr>
        <w:t>Representations and Warranties</w:t>
      </w:r>
      <w:r>
        <w:rPr>
          <w:rFonts w:ascii="Arial;sans-serif" w:hAnsi="Arial;sans-serif"/>
          <w:b w:val="false"/>
          <w:color w:val="010101"/>
          <w:sz w:val="20"/>
        </w:rPr>
        <w:t>)</w:t>
      </w:r>
      <w:r>
        <w:rPr>
          <w:color w:val="010101"/>
        </w:rPr>
        <w:t xml:space="preserve"> </w:t>
      </w:r>
      <w:r>
        <w:rPr>
          <w:rFonts w:ascii="Arial;sans-serif" w:hAnsi="Arial;sans-serif"/>
          <w:b w:val="false"/>
          <w:color w:val="010101"/>
          <w:sz w:val="20"/>
        </w:rPr>
        <w:t>of the Original Debenture which incorporated into this Supplemental Debenture shall be made on the date of this Supplemental Debenture by reference to the facts and circumstances existing on that date.</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(c)    The provision at any time of any documents by a Chargor pursuant to and in accordance with the Original Debenture shall discharge the obligation to provide the same documents under this Supplemental Debenture.</w:t>
      </w:r>
    </w:p>
    <w:p>
      <w:pPr>
        <w:pStyle w:val="TextBody"/>
        <w:spacing w:lineRule="auto" w:line="288" w:before="0" w:after="180"/>
        <w:jc w:val="both"/>
        <w:rPr/>
      </w:pPr>
      <w:r>
        <w:rPr>
          <w:rFonts w:ascii="Arial;sans-serif" w:hAnsi="Arial;sans-serif"/>
          <w:b w:val="false"/>
          <w:color w:val="010101"/>
          <w:sz w:val="20"/>
        </w:rPr>
        <w:t>4.    </w:t>
      </w:r>
      <w:r>
        <w:rPr>
          <w:rFonts w:ascii="Arial;sans-serif" w:hAnsi="Arial;sans-serif"/>
          <w:b/>
          <w:color w:val="010101"/>
          <w:sz w:val="20"/>
        </w:rPr>
        <w:t>Continuation</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4.1    Except insofar as supplemental hereby, the Original Debenture will remain in full force and effect.</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4.2    The Company agrees that the execution of this Supplemental Debenture shall in no way prejudice or affect the security granted by it (or the covenants given by it) under the Original Debenture.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46050"/>
                <wp:effectExtent l="0" t="0" r="0" b="0"/>
                <wp:wrapNone/>
                <wp:docPr id="506" name="Frame49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30</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00000"/>
          <w:sz w:val="20"/>
        </w:rPr>
        <w:t>4.3    </w:t>
      </w:r>
      <w:r>
        <w:rPr>
          <w:rFonts w:ascii="Arial;sans-serif" w:hAnsi="Arial;sans-serif"/>
          <w:b w:val="false"/>
          <w:color w:val="010101"/>
          <w:sz w:val="20"/>
        </w:rPr>
        <w:t xml:space="preserve">References in the Original Debenture to </w:t>
      </w:r>
      <w:r>
        <w:rPr>
          <w:rFonts w:ascii="Arial;sans-serif" w:hAnsi="Arial;sans-serif"/>
          <w:b/>
          <w:color w:val="010101"/>
          <w:sz w:val="20"/>
        </w:rPr>
        <w:t xml:space="preserve">"this Deed" </w:t>
      </w:r>
      <w:r>
        <w:rPr>
          <w:rFonts w:ascii="Arial;sans-serif" w:hAnsi="Arial;sans-serif"/>
          <w:b w:val="false"/>
          <w:color w:val="010101"/>
          <w:sz w:val="20"/>
        </w:rPr>
        <w:t>and expressions of similar import shall be deemed to be references to the Original Debenture as supplemented by this Supplemental Debenture and to this Supplemental Debenture.</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4.4    This Supplemental Debenture is designated as a Loan Document.</w:t>
      </w:r>
    </w:p>
    <w:p>
      <w:pPr>
        <w:pStyle w:val="TextBody"/>
        <w:spacing w:lineRule="auto" w:line="288" w:before="0" w:after="180"/>
        <w:ind w:left="0" w:right="0" w:hanging="720"/>
        <w:jc w:val="both"/>
        <w:rPr/>
      </w:pPr>
      <w:r>
        <w:rPr>
          <w:rFonts w:ascii="Arial;sans-serif" w:hAnsi="Arial;sans-serif"/>
          <w:b w:val="false"/>
          <w:color w:val="010101"/>
          <w:sz w:val="20"/>
        </w:rPr>
        <w:t>5.    </w:t>
      </w:r>
      <w:r>
        <w:rPr>
          <w:rFonts w:ascii="Arial;sans-serif" w:hAnsi="Arial;sans-serif"/>
          <w:b/>
          <w:color w:val="010101"/>
          <w:sz w:val="20"/>
        </w:rPr>
        <w:t>Governing law</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This Supplemental Debenture and any non-contractual obligations arising out of or in connection with it are governed by English law.</w:t>
      </w:r>
    </w:p>
    <w:p>
      <w:pPr>
        <w:pStyle w:val="TextBody"/>
        <w:spacing w:lineRule="auto" w:line="288" w:before="0" w:after="180"/>
        <w:ind w:left="0" w:right="0" w:hanging="720"/>
        <w:jc w:val="both"/>
        <w:rPr/>
      </w:pPr>
      <w:r>
        <w:rPr>
          <w:rFonts w:ascii="Arial;sans-serif" w:hAnsi="Arial;sans-serif"/>
          <w:b w:val="false"/>
          <w:color w:val="010101"/>
          <w:sz w:val="20"/>
        </w:rPr>
        <w:t>6.    </w:t>
      </w:r>
      <w:r>
        <w:rPr>
          <w:rFonts w:ascii="Arial;sans-serif" w:hAnsi="Arial;sans-serif"/>
          <w:b/>
          <w:color w:val="010101"/>
          <w:sz w:val="20"/>
        </w:rPr>
        <w:t>Jurisdiction</w:t>
      </w:r>
    </w:p>
    <w:p>
      <w:pPr>
        <w:pStyle w:val="TextBody"/>
        <w:spacing w:lineRule="auto" w:line="288" w:before="0" w:after="180"/>
        <w:ind w:left="0" w:right="0" w:hanging="720"/>
        <w:jc w:val="both"/>
        <w:rPr/>
      </w:pPr>
      <w:r>
        <w:rPr>
          <w:rFonts w:ascii="Arial;sans-serif" w:hAnsi="Arial;sans-serif"/>
          <w:b w:val="false"/>
          <w:color w:val="010101"/>
          <w:sz w:val="20"/>
        </w:rPr>
        <w:t xml:space="preserve">6.1    The courts of England have exclusive jurisdiction to settle any dispute arising out of or in connection with this Supplemental Debenture (including a dispute relating to the existence, validity or termination of this Supplemental Debenture or any non-contractual obligation arising out of or in connection with this Supplemental Debenture) (a </w:t>
      </w:r>
      <w:r>
        <w:rPr>
          <w:rFonts w:ascii="Arial;sans-serif" w:hAnsi="Arial;sans-serif"/>
          <w:b/>
          <w:color w:val="010101"/>
          <w:sz w:val="20"/>
        </w:rPr>
        <w:t>"Dispute").</w:t>
      </w:r>
    </w:p>
    <w:p>
      <w:pPr>
        <w:pStyle w:val="TextBody"/>
        <w:spacing w:lineRule="auto" w:line="288" w:before="0" w:after="180"/>
        <w:ind w:left="0" w:right="0" w:hanging="720"/>
        <w:jc w:val="both"/>
        <w:rPr>
          <w:rFonts w:ascii="Arial;sans-serif" w:hAnsi="Arial;sans-serif"/>
          <w:b w:val="false"/>
          <w:color w:val="010101"/>
          <w:sz w:val="20"/>
        </w:rPr>
      </w:pPr>
      <w:r>
        <w:rPr>
          <w:rFonts w:ascii="Arial;sans-serif" w:hAnsi="Arial;sans-serif"/>
          <w:b w:val="false"/>
          <w:color w:val="010101"/>
          <w:sz w:val="20"/>
        </w:rPr>
        <w:t>6.2    The Parties agree that the courts of England are the most appropriate and convenient courts to settle Disputes and accordingly no Party will argue to the contrary.</w:t>
      </w:r>
    </w:p>
    <w:p>
      <w:pPr>
        <w:pStyle w:val="TextBody"/>
        <w:spacing w:lineRule="auto" w:line="288" w:before="0" w:after="180"/>
        <w:ind w:left="0" w:right="0" w:hanging="720"/>
        <w:jc w:val="both"/>
        <w:rPr/>
      </w:pPr>
      <w:r>
        <w:rPr>
          <w:rFonts w:ascii="Arial;sans-serif" w:hAnsi="Arial;sans-serif"/>
          <w:b w:val="false"/>
          <w:color w:val="010101"/>
          <w:sz w:val="20"/>
        </w:rPr>
        <w:t>6.3    This clause 6 is for the benefit of the Administrative Agent only</w:t>
      </w:r>
      <w:r>
        <w:rPr>
          <w:rFonts w:ascii="Arial;sans-serif" w:hAnsi="Arial;sans-serif"/>
          <w:b w:val="false"/>
          <w:color w:val="3F3F3F"/>
          <w:sz w:val="20"/>
        </w:rPr>
        <w:t xml:space="preserve">. </w:t>
      </w:r>
      <w:r>
        <w:rPr>
          <w:rFonts w:ascii="Arial;sans-serif" w:hAnsi="Arial;sans-serif"/>
          <w:b w:val="false"/>
          <w:color w:val="010101"/>
          <w:sz w:val="20"/>
        </w:rPr>
        <w:t>As a result</w:t>
      </w:r>
      <w:r>
        <w:rPr>
          <w:rFonts w:ascii="Arial;sans-serif" w:hAnsi="Arial;sans-serif"/>
          <w:b w:val="false"/>
          <w:color w:val="1D1D1D"/>
          <w:sz w:val="20"/>
        </w:rPr>
        <w:t xml:space="preserve">, </w:t>
      </w:r>
      <w:r>
        <w:rPr>
          <w:rFonts w:ascii="Arial;sans-serif" w:hAnsi="Arial;sans-serif"/>
          <w:b w:val="false"/>
          <w:color w:val="010101"/>
          <w:sz w:val="20"/>
        </w:rPr>
        <w:t>the Administrative Agent shall not be prevented from taking proceedings relating to a Dispute in any other courts with jurisdiction</w:t>
      </w:r>
      <w:r>
        <w:rPr>
          <w:rFonts w:ascii="Arial;sans-serif" w:hAnsi="Arial;sans-serif"/>
          <w:b w:val="false"/>
          <w:color w:val="3F3F3F"/>
          <w:sz w:val="20"/>
        </w:rPr>
        <w:t xml:space="preserve">. </w:t>
      </w:r>
      <w:r>
        <w:rPr>
          <w:rFonts w:ascii="Arial;sans-serif" w:hAnsi="Arial;sans-serif"/>
          <w:b w:val="false"/>
          <w:color w:val="010101"/>
          <w:sz w:val="20"/>
        </w:rPr>
        <w:t>To the extent allowed by law, the Administrative Agent may take concurrent proceedings in any number of jurisdictions.</w:t>
      </w:r>
    </w:p>
    <w:p>
      <w:pPr>
        <w:pStyle w:val="TextBody"/>
        <w:spacing w:lineRule="auto" w:line="288" w:before="0" w:after="180"/>
        <w:jc w:val="both"/>
        <w:rPr/>
      </w:pPr>
      <w:r>
        <w:rPr>
          <w:rFonts w:ascii="Arial;sans-serif" w:hAnsi="Arial;sans-serif"/>
          <w:b/>
          <w:color w:val="010101"/>
          <w:sz w:val="20"/>
        </w:rPr>
        <w:t xml:space="preserve">In witness </w:t>
      </w:r>
      <w:r>
        <w:rPr>
          <w:rFonts w:ascii="Arial;sans-serif" w:hAnsi="Arial;sans-serif"/>
          <w:b w:val="false"/>
          <w:color w:val="010101"/>
          <w:sz w:val="20"/>
        </w:rPr>
        <w:t>whereof this Supplemental Debenture has been duly executed on the above date first above written</w:t>
      </w:r>
      <w:r>
        <w:rPr>
          <w:rFonts w:ascii="Arial;sans-serif" w:hAnsi="Arial;sans-serif"/>
          <w:b w:val="false"/>
          <w:color w:val="3F3F3F"/>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46050"/>
                <wp:effectExtent l="0" t="0" r="0" b="0"/>
                <wp:wrapNone/>
                <wp:docPr id="507" name="Frame50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31</w:t>
                      </w:r>
                    </w:p>
                  </w:txbxContent>
                </v:textbox>
              </v:rect>
            </w:pict>
          </mc:Fallback>
        </mc:AlternateConten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Schedule 6</w:t>
      </w:r>
    </w:p>
    <w:p>
      <w:pPr>
        <w:pStyle w:val="TextBody"/>
        <w:spacing w:lineRule="auto" w:line="288" w:before="0" w:after="180"/>
        <w:jc w:val="center"/>
        <w:rPr>
          <w:rFonts w:ascii="Arial;sans-serif" w:hAnsi="Arial;sans-serif"/>
          <w:b/>
          <w:color w:val="010101"/>
          <w:sz w:val="20"/>
        </w:rPr>
      </w:pPr>
      <w:r>
        <w:rPr>
          <w:rFonts w:ascii="Arial;sans-serif" w:hAnsi="Arial;sans-serif"/>
          <w:b/>
          <w:color w:val="010101"/>
          <w:sz w:val="20"/>
        </w:rPr>
        <w:t>Powers of Receiver</w:t>
      </w:r>
    </w:p>
    <w:p>
      <w:pPr>
        <w:pStyle w:val="TextBody"/>
        <w:spacing w:lineRule="auto" w:line="288" w:before="0" w:after="180"/>
        <w:ind w:left="0" w:right="0" w:hanging="720"/>
        <w:jc w:val="both"/>
        <w:rPr/>
      </w:pPr>
      <w:r>
        <w:rPr>
          <w:rFonts w:ascii="Arial;sans-serif" w:hAnsi="Arial;sans-serif"/>
          <w:b w:val="false"/>
          <w:i/>
          <w:color w:val="010101"/>
          <w:sz w:val="20"/>
        </w:rPr>
        <w:t>1.    </w:t>
      </w:r>
      <w:r>
        <w:rPr>
          <w:rFonts w:ascii="Arial;sans-serif" w:hAnsi="Arial;sans-serif"/>
          <w:b/>
          <w:i/>
          <w:color w:val="010101"/>
          <w:sz w:val="20"/>
        </w:rPr>
        <w:t>Possession</w:t>
      </w:r>
    </w:p>
    <w:p>
      <w:pPr>
        <w:pStyle w:val="TextBody"/>
        <w:spacing w:lineRule="auto" w:line="288" w:before="0" w:after="180"/>
        <w:jc w:val="both"/>
        <w:rPr/>
      </w:pPr>
      <w:r>
        <w:rPr>
          <w:rFonts w:ascii="Arial;sans-serif" w:hAnsi="Arial;sans-serif"/>
          <w:b w:val="false"/>
          <w:color w:val="010101"/>
          <w:sz w:val="20"/>
        </w:rPr>
        <w:t>Take immediate possession of</w:t>
      </w:r>
      <w:r>
        <w:rPr>
          <w:rFonts w:ascii="Arial;sans-serif" w:hAnsi="Arial;sans-serif"/>
          <w:b w:val="false"/>
          <w:color w:val="181818"/>
          <w:sz w:val="20"/>
        </w:rPr>
        <w:t xml:space="preserve">, </w:t>
      </w:r>
      <w:r>
        <w:rPr>
          <w:rFonts w:ascii="Arial;sans-serif" w:hAnsi="Arial;sans-serif"/>
          <w:b w:val="false"/>
          <w:color w:val="010101"/>
          <w:sz w:val="20"/>
        </w:rPr>
        <w:t>get in and collect the Security Assets or any part thereof.</w:t>
      </w:r>
    </w:p>
    <w:p>
      <w:pPr>
        <w:pStyle w:val="TextBody"/>
        <w:spacing w:lineRule="auto" w:line="288" w:before="0" w:after="180"/>
        <w:ind w:left="0" w:right="0" w:hanging="720"/>
        <w:jc w:val="both"/>
        <w:rPr/>
      </w:pPr>
      <w:r>
        <w:rPr>
          <w:rFonts w:ascii="Arial;sans-serif" w:hAnsi="Arial;sans-serif"/>
          <w:b w:val="false"/>
          <w:i/>
          <w:color w:val="010101"/>
          <w:sz w:val="20"/>
        </w:rPr>
        <w:t>2.    </w:t>
      </w:r>
      <w:r>
        <w:rPr>
          <w:rFonts w:ascii="Arial;sans-serif" w:hAnsi="Arial;sans-serif"/>
          <w:b/>
          <w:i/>
          <w:color w:val="010101"/>
          <w:sz w:val="20"/>
        </w:rPr>
        <w:t>Carry on business</w:t>
      </w:r>
    </w:p>
    <w:p>
      <w:pPr>
        <w:pStyle w:val="TextBody"/>
        <w:spacing w:lineRule="auto" w:line="288" w:before="0" w:after="180"/>
        <w:jc w:val="both"/>
        <w:rPr/>
      </w:pPr>
      <w:r>
        <w:rPr>
          <w:rFonts w:ascii="Arial;sans-serif" w:hAnsi="Arial;sans-serif"/>
          <w:b w:val="false"/>
          <w:color w:val="010101"/>
          <w:sz w:val="20"/>
        </w:rPr>
        <w:t>Carry on</w:t>
      </w:r>
      <w:r>
        <w:rPr>
          <w:rFonts w:ascii="Arial;sans-serif" w:hAnsi="Arial;sans-serif"/>
          <w:b w:val="false"/>
          <w:color w:val="181818"/>
          <w:sz w:val="20"/>
        </w:rPr>
        <w:t xml:space="preserve">, </w:t>
      </w:r>
      <w:r>
        <w:rPr>
          <w:rFonts w:ascii="Arial;sans-serif" w:hAnsi="Arial;sans-serif"/>
          <w:b w:val="false"/>
          <w:color w:val="010101"/>
          <w:sz w:val="20"/>
        </w:rPr>
        <w:t>manage or concur in carrying on or managing the whole or any part of the business of any Chargor as he in his discretion may think fit.</w:t>
      </w:r>
    </w:p>
    <w:p>
      <w:pPr>
        <w:pStyle w:val="TextBody"/>
        <w:spacing w:lineRule="auto" w:line="288" w:before="0" w:after="180"/>
        <w:ind w:left="0" w:right="0" w:hanging="720"/>
        <w:jc w:val="both"/>
        <w:rPr/>
      </w:pPr>
      <w:r>
        <w:rPr>
          <w:rFonts w:ascii="Arial;sans-serif" w:hAnsi="Arial;sans-serif"/>
          <w:b w:val="false"/>
          <w:i/>
          <w:color w:val="010101"/>
          <w:sz w:val="20"/>
        </w:rPr>
        <w:t>3.    </w:t>
      </w:r>
      <w:r>
        <w:rPr>
          <w:rFonts w:ascii="Arial;sans-serif" w:hAnsi="Arial;sans-serif"/>
          <w:b/>
          <w:i/>
          <w:color w:val="010101"/>
          <w:sz w:val="20"/>
        </w:rPr>
        <w:t>Protection of assets</w:t>
      </w:r>
    </w:p>
    <w:p>
      <w:pPr>
        <w:pStyle w:val="TextBody"/>
        <w:spacing w:lineRule="auto" w:line="288" w:before="0" w:after="180"/>
        <w:ind w:left="0" w:right="0" w:hanging="720"/>
        <w:jc w:val="both"/>
        <w:rPr/>
      </w:pPr>
      <w:r>
        <w:rPr>
          <w:rFonts w:ascii="Arial;sans-serif" w:hAnsi="Arial;sans-serif"/>
          <w:b w:val="false"/>
          <w:color w:val="010101"/>
          <w:sz w:val="20"/>
        </w:rPr>
        <w:t>3.1    Manage</w:t>
      </w:r>
      <w:r>
        <w:rPr>
          <w:rFonts w:ascii="Arial;sans-serif" w:hAnsi="Arial;sans-serif"/>
          <w:b w:val="false"/>
          <w:color w:val="181818"/>
          <w:sz w:val="20"/>
        </w:rPr>
        <w:t xml:space="preserve">, </w:t>
      </w:r>
      <w:r>
        <w:rPr>
          <w:rFonts w:ascii="Arial;sans-serif" w:hAnsi="Arial;sans-serif"/>
          <w:b w:val="false"/>
          <w:color w:val="010101"/>
          <w:sz w:val="20"/>
        </w:rPr>
        <w:t>insure</w:t>
      </w:r>
      <w:r>
        <w:rPr>
          <w:rFonts w:ascii="Arial;sans-serif" w:hAnsi="Arial;sans-serif"/>
          <w:b w:val="false"/>
          <w:color w:val="181818"/>
          <w:sz w:val="20"/>
        </w:rPr>
        <w:t xml:space="preserve">, </w:t>
      </w:r>
      <w:r>
        <w:rPr>
          <w:rFonts w:ascii="Arial;sans-serif" w:hAnsi="Arial;sans-serif"/>
          <w:b w:val="false"/>
          <w:color w:val="010101"/>
          <w:sz w:val="20"/>
        </w:rPr>
        <w:t>repair</w:t>
      </w:r>
      <w:r>
        <w:rPr>
          <w:rFonts w:ascii="Arial;sans-serif" w:hAnsi="Arial;sans-serif"/>
          <w:b w:val="false"/>
          <w:color w:val="181818"/>
          <w:sz w:val="20"/>
        </w:rPr>
        <w:t xml:space="preserve">, </w:t>
      </w:r>
      <w:r>
        <w:rPr>
          <w:rFonts w:ascii="Arial;sans-serif" w:hAnsi="Arial;sans-serif"/>
          <w:b w:val="false"/>
          <w:color w:val="010101"/>
          <w:sz w:val="20"/>
        </w:rPr>
        <w:t>decorate</w:t>
      </w:r>
      <w:r>
        <w:rPr>
          <w:rFonts w:ascii="Arial;sans-serif" w:hAnsi="Arial;sans-serif"/>
          <w:b w:val="false"/>
          <w:color w:val="181818"/>
          <w:sz w:val="20"/>
        </w:rPr>
        <w:t xml:space="preserve">, </w:t>
      </w:r>
      <w:r>
        <w:rPr>
          <w:rFonts w:ascii="Arial;sans-serif" w:hAnsi="Arial;sans-serif"/>
          <w:b w:val="false"/>
          <w:color w:val="010101"/>
          <w:sz w:val="20"/>
        </w:rPr>
        <w:t>maintain</w:t>
      </w:r>
      <w:r>
        <w:rPr>
          <w:rFonts w:ascii="Arial;sans-serif" w:hAnsi="Arial;sans-serif"/>
          <w:b w:val="false"/>
          <w:color w:val="181818"/>
          <w:sz w:val="20"/>
        </w:rPr>
        <w:t xml:space="preserve">, </w:t>
      </w:r>
      <w:r>
        <w:rPr>
          <w:rFonts w:ascii="Arial;sans-serif" w:hAnsi="Arial;sans-serif"/>
          <w:b w:val="false"/>
          <w:color w:val="010101"/>
          <w:sz w:val="20"/>
        </w:rPr>
        <w:t>alter</w:t>
      </w:r>
      <w:r>
        <w:rPr>
          <w:rFonts w:ascii="Arial;sans-serif" w:hAnsi="Arial;sans-serif"/>
          <w:b w:val="false"/>
          <w:color w:val="181818"/>
          <w:sz w:val="20"/>
        </w:rPr>
        <w:t xml:space="preserve">, </w:t>
      </w:r>
      <w:r>
        <w:rPr>
          <w:rFonts w:ascii="Arial;sans-serif" w:hAnsi="Arial;sans-serif"/>
          <w:b w:val="false"/>
          <w:color w:val="010101"/>
          <w:sz w:val="20"/>
        </w:rPr>
        <w:t>improve</w:t>
      </w:r>
      <w:r>
        <w:rPr>
          <w:rFonts w:ascii="Arial;sans-serif" w:hAnsi="Arial;sans-serif"/>
          <w:b w:val="false"/>
          <w:color w:val="181818"/>
          <w:sz w:val="20"/>
        </w:rPr>
        <w:t xml:space="preserve">, </w:t>
      </w:r>
      <w:r>
        <w:rPr>
          <w:rFonts w:ascii="Arial;sans-serif" w:hAnsi="Arial;sans-serif"/>
          <w:b w:val="false"/>
          <w:color w:val="010101"/>
          <w:sz w:val="20"/>
        </w:rPr>
        <w:t>develop</w:t>
      </w:r>
      <w:r>
        <w:rPr>
          <w:rFonts w:ascii="Arial;sans-serif" w:hAnsi="Arial;sans-serif"/>
          <w:b w:val="false"/>
          <w:color w:val="181818"/>
          <w:sz w:val="20"/>
        </w:rPr>
        <w:t xml:space="preserve">, </w:t>
      </w:r>
      <w:r>
        <w:rPr>
          <w:rFonts w:ascii="Arial;sans-serif" w:hAnsi="Arial;sans-serif"/>
          <w:b w:val="false"/>
          <w:color w:val="010101"/>
          <w:sz w:val="20"/>
        </w:rPr>
        <w:t>construct</w:t>
      </w:r>
      <w:r>
        <w:rPr>
          <w:rFonts w:ascii="Arial;sans-serif" w:hAnsi="Arial;sans-serif"/>
          <w:b w:val="false"/>
          <w:color w:val="181818"/>
          <w:sz w:val="20"/>
        </w:rPr>
        <w:t xml:space="preserve">, </w:t>
      </w:r>
      <w:r>
        <w:rPr>
          <w:rFonts w:ascii="Arial;sans-serif" w:hAnsi="Arial;sans-serif"/>
          <w:b w:val="false"/>
          <w:color w:val="010101"/>
          <w:sz w:val="20"/>
        </w:rPr>
        <w:t>modify</w:t>
      </w:r>
      <w:r>
        <w:rPr>
          <w:rFonts w:ascii="Arial;sans-serif" w:hAnsi="Arial;sans-serif"/>
          <w:b w:val="false"/>
          <w:color w:val="181818"/>
          <w:sz w:val="20"/>
        </w:rPr>
        <w:t xml:space="preserve">, </w:t>
      </w:r>
      <w:r>
        <w:rPr>
          <w:rFonts w:ascii="Arial;sans-serif" w:hAnsi="Arial;sans-serif"/>
          <w:b w:val="false"/>
          <w:color w:val="010101"/>
          <w:sz w:val="20"/>
        </w:rPr>
        <w:t>refurbish</w:t>
      </w:r>
      <w:r>
        <w:rPr>
          <w:rFonts w:ascii="Arial;sans-serif" w:hAnsi="Arial;sans-serif"/>
          <w:b w:val="false"/>
          <w:color w:val="181818"/>
          <w:sz w:val="20"/>
        </w:rPr>
        <w:t xml:space="preserve">, </w:t>
      </w:r>
      <w:r>
        <w:rPr>
          <w:rFonts w:ascii="Arial;sans-serif" w:hAnsi="Arial;sans-serif"/>
          <w:b w:val="false"/>
          <w:color w:val="010101"/>
          <w:sz w:val="20"/>
        </w:rPr>
        <w:t>renew or add to the Security Assets or concur in so doing</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3.2    commence</w:t>
      </w:r>
      <w:r>
        <w:rPr>
          <w:rFonts w:ascii="Arial;sans-serif" w:hAnsi="Arial;sans-serif"/>
          <w:b w:val="false"/>
          <w:color w:val="181818"/>
          <w:sz w:val="20"/>
        </w:rPr>
        <w:t xml:space="preserve">, </w:t>
      </w:r>
      <w:r>
        <w:rPr>
          <w:rFonts w:ascii="Arial;sans-serif" w:hAnsi="Arial;sans-serif"/>
          <w:b w:val="false"/>
          <w:color w:val="010101"/>
          <w:sz w:val="20"/>
        </w:rPr>
        <w:t>continue or complete any new works, unfinished work</w:t>
      </w:r>
      <w:r>
        <w:rPr>
          <w:rFonts w:ascii="Arial;sans-serif" w:hAnsi="Arial;sans-serif"/>
          <w:b w:val="false"/>
          <w:color w:val="181818"/>
          <w:sz w:val="20"/>
        </w:rPr>
        <w:t xml:space="preserve">, </w:t>
      </w:r>
      <w:r>
        <w:rPr>
          <w:rFonts w:ascii="Arial;sans-serif" w:hAnsi="Arial;sans-serif"/>
          <w:b w:val="false"/>
          <w:color w:val="010101"/>
          <w:sz w:val="20"/>
        </w:rPr>
        <w:t>building operations, construction</w:t>
      </w:r>
      <w:r>
        <w:rPr>
          <w:rFonts w:ascii="Arial;sans-serif" w:hAnsi="Arial;sans-serif"/>
          <w:b w:val="false"/>
          <w:color w:val="181818"/>
          <w:sz w:val="20"/>
        </w:rPr>
        <w:t xml:space="preserve">, </w:t>
      </w:r>
      <w:r>
        <w:rPr>
          <w:rFonts w:ascii="Arial;sans-serif" w:hAnsi="Arial;sans-serif"/>
          <w:b w:val="false"/>
          <w:color w:val="010101"/>
          <w:sz w:val="20"/>
        </w:rPr>
        <w:t>reconstruction, maintenance, furnishing, finishing or fitting</w:t>
      </w:r>
      <w:r>
        <w:rPr>
          <w:rFonts w:ascii="Arial;sans-serif" w:hAnsi="Arial;sans-serif"/>
          <w:b w:val="false"/>
          <w:color w:val="181818"/>
          <w:sz w:val="20"/>
        </w:rPr>
        <w:t>-</w:t>
      </w:r>
      <w:r>
        <w:rPr>
          <w:rFonts w:ascii="Arial;sans-serif" w:hAnsi="Arial;sans-serif"/>
          <w:b w:val="false"/>
          <w:color w:val="010101"/>
          <w:sz w:val="20"/>
        </w:rPr>
        <w:t>out on the Property</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3.3    apply for and maintain any planning permissions</w:t>
      </w:r>
      <w:r>
        <w:rPr>
          <w:rFonts w:ascii="Arial;sans-serif" w:hAnsi="Arial;sans-serif"/>
          <w:b w:val="false"/>
          <w:color w:val="181818"/>
          <w:sz w:val="20"/>
        </w:rPr>
        <w:t xml:space="preserve">, </w:t>
      </w:r>
      <w:r>
        <w:rPr>
          <w:rFonts w:ascii="Arial;sans-serif" w:hAnsi="Arial;sans-serif"/>
          <w:b w:val="false"/>
          <w:color w:val="010101"/>
          <w:sz w:val="20"/>
        </w:rPr>
        <w:t>building regulations, approvals and any other permissions, consents or licences,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in each case as he in his discretion may think fit.</w:t>
      </w:r>
    </w:p>
    <w:p>
      <w:pPr>
        <w:pStyle w:val="TextBody"/>
        <w:spacing w:lineRule="auto" w:line="288" w:before="0" w:after="180"/>
        <w:ind w:left="0" w:right="0" w:hanging="720"/>
        <w:jc w:val="both"/>
        <w:rPr/>
      </w:pPr>
      <w:r>
        <w:rPr>
          <w:rFonts w:ascii="Arial;sans-serif" w:hAnsi="Arial;sans-serif"/>
          <w:b w:val="false"/>
          <w:i/>
          <w:color w:val="010101"/>
          <w:sz w:val="20"/>
        </w:rPr>
        <w:t>4.    </w:t>
      </w:r>
      <w:r>
        <w:rPr>
          <w:rFonts w:ascii="Arial;sans-serif" w:hAnsi="Arial;sans-serif"/>
          <w:b/>
          <w:i/>
          <w:color w:val="010101"/>
          <w:sz w:val="20"/>
        </w:rPr>
        <w:t>Realisation of assets</w:t>
      </w:r>
    </w:p>
    <w:p>
      <w:pPr>
        <w:pStyle w:val="TextBody"/>
        <w:spacing w:lineRule="auto" w:line="288" w:before="0" w:after="180"/>
        <w:jc w:val="both"/>
        <w:rPr/>
      </w:pPr>
      <w:r>
        <w:rPr>
          <w:rFonts w:ascii="Arial;sans-serif" w:hAnsi="Arial;sans-serif"/>
          <w:b w:val="false"/>
          <w:color w:val="010101"/>
          <w:sz w:val="20"/>
        </w:rPr>
        <w:t>Sell</w:t>
      </w:r>
      <w:r>
        <w:rPr>
          <w:rFonts w:ascii="Arial;sans-serif" w:hAnsi="Arial;sans-serif"/>
          <w:b w:val="false"/>
          <w:color w:val="181818"/>
          <w:sz w:val="20"/>
        </w:rPr>
        <w:t xml:space="preserve">, </w:t>
      </w:r>
      <w:r>
        <w:rPr>
          <w:rFonts w:ascii="Arial;sans-serif" w:hAnsi="Arial;sans-serif"/>
          <w:b w:val="false"/>
          <w:color w:val="010101"/>
          <w:sz w:val="20"/>
        </w:rPr>
        <w:t>exchange</w:t>
      </w:r>
      <w:r>
        <w:rPr>
          <w:rFonts w:ascii="Arial;sans-serif" w:hAnsi="Arial;sans-serif"/>
          <w:b w:val="false"/>
          <w:color w:val="181818"/>
          <w:sz w:val="20"/>
        </w:rPr>
        <w:t xml:space="preserve">, </w:t>
      </w:r>
      <w:r>
        <w:rPr>
          <w:rFonts w:ascii="Arial;sans-serif" w:hAnsi="Arial;sans-serif"/>
          <w:b w:val="false"/>
          <w:color w:val="010101"/>
          <w:sz w:val="20"/>
        </w:rPr>
        <w:t>convert into money and realise the Security Assets or concur in so doing by public auction or private contract and generally in such manner and on such terms as he in his discretion may think fit. Without prejudice to the generality of the foregoing</w:t>
      </w:r>
      <w:r>
        <w:rPr>
          <w:rFonts w:ascii="Arial;sans-serif" w:hAnsi="Arial;sans-serif"/>
          <w:b w:val="false"/>
          <w:color w:val="181818"/>
          <w:sz w:val="20"/>
        </w:rPr>
        <w:t xml:space="preserve">, </w:t>
      </w:r>
      <w:r>
        <w:rPr>
          <w:rFonts w:ascii="Arial;sans-serif" w:hAnsi="Arial;sans-serif"/>
          <w:b w:val="false"/>
          <w:color w:val="010101"/>
          <w:sz w:val="20"/>
        </w:rPr>
        <w:t>he may do any of these things for any valuable consideration, whether full market value or otherwise, including, without limitation, cash</w:t>
      </w:r>
      <w:r>
        <w:rPr>
          <w:rFonts w:ascii="Arial;sans-serif" w:hAnsi="Arial;sans-serif"/>
          <w:b w:val="false"/>
          <w:color w:val="181818"/>
          <w:sz w:val="20"/>
        </w:rPr>
        <w:t xml:space="preserve">, </w:t>
      </w:r>
      <w:r>
        <w:rPr>
          <w:rFonts w:ascii="Arial;sans-serif" w:hAnsi="Arial;sans-serif"/>
          <w:b w:val="false"/>
          <w:color w:val="010101"/>
          <w:sz w:val="20"/>
        </w:rPr>
        <w:t>shares</w:t>
      </w:r>
      <w:r>
        <w:rPr>
          <w:rFonts w:ascii="Arial;sans-serif" w:hAnsi="Arial;sans-serif"/>
          <w:b w:val="false"/>
          <w:color w:val="181818"/>
          <w:sz w:val="20"/>
        </w:rPr>
        <w:t xml:space="preserve">, </w:t>
      </w:r>
      <w:r>
        <w:rPr>
          <w:rFonts w:ascii="Arial;sans-serif" w:hAnsi="Arial;sans-serif"/>
          <w:b w:val="false"/>
          <w:color w:val="010101"/>
          <w:sz w:val="20"/>
        </w:rPr>
        <w:t>stock</w:t>
      </w:r>
      <w:r>
        <w:rPr>
          <w:rFonts w:ascii="Arial;sans-serif" w:hAnsi="Arial;sans-serif"/>
          <w:b w:val="false"/>
          <w:color w:val="181818"/>
          <w:sz w:val="20"/>
        </w:rPr>
        <w:t xml:space="preserve">, </w:t>
      </w:r>
      <w:r>
        <w:rPr>
          <w:rFonts w:ascii="Arial;sans-serif" w:hAnsi="Arial;sans-serif"/>
          <w:b w:val="false"/>
          <w:color w:val="010101"/>
          <w:sz w:val="20"/>
        </w:rPr>
        <w:t>debentures or other obligations. Any such consideration may be payable in a lump sum or by instalments spread over such period as he in his discretion may think fit.</w:t>
      </w:r>
    </w:p>
    <w:p>
      <w:pPr>
        <w:pStyle w:val="TextBody"/>
        <w:spacing w:lineRule="auto" w:line="288" w:before="0" w:after="180"/>
        <w:ind w:left="0" w:right="0" w:hanging="720"/>
        <w:jc w:val="both"/>
        <w:rPr/>
      </w:pPr>
      <w:r>
        <w:rPr>
          <w:rFonts w:ascii="Arial;sans-serif" w:hAnsi="Arial;sans-serif"/>
          <w:b w:val="false"/>
          <w:color w:val="010101"/>
          <w:sz w:val="20"/>
        </w:rPr>
        <w:t>5.    </w:t>
      </w:r>
      <w:r>
        <w:rPr>
          <w:rFonts w:ascii="Arial;sans-serif" w:hAnsi="Arial;sans-serif"/>
          <w:b/>
          <w:i/>
          <w:color w:val="010101"/>
          <w:sz w:val="20"/>
        </w:rPr>
        <w:t>Let, hire or lease</w:t>
      </w:r>
    </w:p>
    <w:p>
      <w:pPr>
        <w:pStyle w:val="TextBody"/>
        <w:spacing w:lineRule="auto" w:line="288" w:before="0" w:after="180"/>
        <w:ind w:left="0" w:right="0" w:hanging="720"/>
        <w:jc w:val="both"/>
        <w:rPr/>
      </w:pPr>
      <w:r>
        <w:rPr>
          <w:rFonts w:ascii="Arial;sans-serif" w:hAnsi="Arial;sans-serif"/>
          <w:b w:val="false"/>
          <w:color w:val="010101"/>
          <w:sz w:val="20"/>
        </w:rPr>
        <w:t>5.1    Let</w:t>
      </w:r>
      <w:r>
        <w:rPr>
          <w:rFonts w:ascii="Arial;sans-serif" w:hAnsi="Arial;sans-serif"/>
          <w:b w:val="false"/>
          <w:color w:val="181818"/>
          <w:sz w:val="20"/>
        </w:rPr>
        <w:t xml:space="preserve">, </w:t>
      </w:r>
      <w:r>
        <w:rPr>
          <w:rFonts w:ascii="Arial;sans-serif" w:hAnsi="Arial;sans-serif"/>
          <w:b w:val="false"/>
          <w:color w:val="010101"/>
          <w:sz w:val="20"/>
        </w:rPr>
        <w:t>hire or lease (with or without premium) and accept surrenders of leases or tenancies or concur in so doing</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5.2    grant rights</w:t>
      </w:r>
      <w:r>
        <w:rPr>
          <w:rFonts w:ascii="Arial;sans-serif" w:hAnsi="Arial;sans-serif"/>
          <w:b w:val="false"/>
          <w:color w:val="181818"/>
          <w:sz w:val="20"/>
        </w:rPr>
        <w:t xml:space="preserve">, </w:t>
      </w:r>
      <w:r>
        <w:rPr>
          <w:rFonts w:ascii="Arial;sans-serif" w:hAnsi="Arial;sans-serif"/>
          <w:b w:val="false"/>
          <w:color w:val="010101"/>
          <w:sz w:val="20"/>
        </w:rPr>
        <w:t>options or easements over and otherwise deal with or dispose of</w:t>
      </w:r>
      <w:r>
        <w:rPr>
          <w:rFonts w:ascii="Arial;sans-serif" w:hAnsi="Arial;sans-serif"/>
          <w:b w:val="false"/>
          <w:color w:val="181818"/>
          <w:sz w:val="20"/>
        </w:rPr>
        <w:t xml:space="preserve">, </w:t>
      </w:r>
      <w:r>
        <w:rPr>
          <w:rFonts w:ascii="Arial;sans-serif" w:hAnsi="Arial;sans-serif"/>
          <w:b w:val="false"/>
          <w:color w:val="010101"/>
          <w:sz w:val="20"/>
        </w:rPr>
        <w:t>and exercise all rights</w:t>
      </w:r>
      <w:r>
        <w:rPr>
          <w:rFonts w:ascii="Arial;sans-serif" w:hAnsi="Arial;sans-serif"/>
          <w:b w:val="false"/>
          <w:color w:val="181818"/>
          <w:sz w:val="20"/>
        </w:rPr>
        <w:t xml:space="preserve">, </w:t>
      </w:r>
      <w:r>
        <w:rPr>
          <w:rFonts w:ascii="Arial;sans-serif" w:hAnsi="Arial;sans-serif"/>
          <w:b w:val="false"/>
          <w:color w:val="010101"/>
          <w:sz w:val="20"/>
        </w:rPr>
        <w:t>powers and discretions incidental to</w:t>
      </w:r>
      <w:r>
        <w:rPr>
          <w:rFonts w:ascii="Arial;sans-serif" w:hAnsi="Arial;sans-serif"/>
          <w:b w:val="false"/>
          <w:color w:val="181818"/>
          <w:sz w:val="20"/>
        </w:rPr>
        <w:t xml:space="preserve">, </w:t>
      </w:r>
      <w:r>
        <w:rPr>
          <w:rFonts w:ascii="Arial;sans-serif" w:hAnsi="Arial;sans-serif"/>
          <w:b w:val="false"/>
          <w:color w:val="010101"/>
          <w:sz w:val="20"/>
        </w:rPr>
        <w:t>the ownership of the Security Assets</w:t>
      </w:r>
      <w:r>
        <w:rPr>
          <w:rFonts w:ascii="Arial;sans-serif" w:hAnsi="Arial;sans-serif"/>
          <w:b w:val="false"/>
          <w:color w:val="181818"/>
          <w:sz w:val="20"/>
        </w:rPr>
        <w:t>;</w:t>
      </w:r>
    </w:p>
    <w:p>
      <w:pPr>
        <w:pStyle w:val="TextBody"/>
        <w:spacing w:lineRule="auto" w:line="288" w:before="0" w:after="180"/>
        <w:ind w:left="0" w:right="0" w:hanging="720"/>
        <w:jc w:val="both"/>
        <w:rPr/>
      </w:pPr>
      <w:r>
        <w:rPr>
          <w:rFonts w:ascii="Arial;sans-serif" w:hAnsi="Arial;sans-serif"/>
          <w:b w:val="false"/>
          <w:color w:val="010101"/>
          <w:sz w:val="20"/>
        </w:rPr>
        <w:t>5.3    exchange or concur in exchanging the Security Assets</w:t>
      </w:r>
      <w:r>
        <w:rPr>
          <w:rFonts w:ascii="Arial;sans-serif" w:hAnsi="Arial;sans-serif"/>
          <w:b w:val="false"/>
          <w:color w:val="181818"/>
          <w:sz w:val="20"/>
        </w:rPr>
        <w:t>;</w:t>
      </w:r>
    </w:p>
    <w:p>
      <w:pPr>
        <w:pStyle w:val="TextBody"/>
        <w:spacing w:lineRule="auto" w:line="288" w:before="0" w:after="180"/>
        <w:jc w:val="both"/>
        <w:rPr/>
      </w:pPr>
      <w:r>
        <w:rPr>
          <w:rFonts w:ascii="Arial;sans-serif" w:hAnsi="Arial;sans-serif"/>
          <w:b w:val="false"/>
          <w:color w:val="010101"/>
          <w:sz w:val="20"/>
        </w:rPr>
        <w:t>in each such case in such manner and generally on such terms as he may in his discretion think fit</w:t>
      </w:r>
      <w:r>
        <w:rPr>
          <w:rFonts w:ascii="Arial;sans-serif" w:hAnsi="Arial;sans-serif"/>
          <w:b w:val="false"/>
          <w:color w:val="181818"/>
          <w:sz w:val="20"/>
        </w:rPr>
        <w:t xml:space="preserve">, </w:t>
      </w:r>
      <w:r>
        <w:rPr>
          <w:rFonts w:ascii="Arial;sans-serif" w:hAnsi="Arial;sans-serif"/>
          <w:b w:val="false"/>
          <w:color w:val="010101"/>
          <w:sz w:val="20"/>
        </w:rPr>
        <w:t>with all the powers of an absolute beneficial owner. The Receiver may exercise any such power by effecting such transaction in the name or on behalf of the relevant Chargor or otherwise.</w:t>
      </w:r>
    </w:p>
    <w:p>
      <w:pPr>
        <w:pStyle w:val="TextBody"/>
        <w:spacing w:lineRule="auto" w:line="288" w:before="0" w:after="180"/>
        <w:ind w:left="0" w:right="0" w:hanging="720"/>
        <w:jc w:val="both"/>
        <w:rPr/>
      </w:pPr>
      <w:r>
        <w:rPr>
          <w:rFonts w:ascii="Arial;sans-serif" w:hAnsi="Arial;sans-serif"/>
          <w:b w:val="false"/>
          <w:i/>
          <w:color w:val="010101"/>
          <w:sz w:val="20"/>
        </w:rPr>
        <w:t>6.    </w:t>
      </w:r>
      <w:r>
        <w:rPr>
          <w:rFonts w:ascii="Arial;sans-serif" w:hAnsi="Arial;sans-serif"/>
          <w:b/>
          <w:i/>
          <w:color w:val="010101"/>
          <w:sz w:val="20"/>
        </w:rPr>
        <w:t>Registration</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Use a Chargor's name to effect any registration or election for tax or other purposes.</w:t>
      </w:r>
    </w:p>
    <w:p>
      <w:pPr>
        <w:pStyle w:val="TextBody"/>
        <w:spacing w:lineRule="auto" w:line="288" w:before="0" w:after="180"/>
        <w:ind w:left="0" w:right="0" w:hanging="720"/>
        <w:jc w:val="both"/>
        <w:rPr/>
      </w:pPr>
      <w:r>
        <w:rPr>
          <w:rFonts w:ascii="Arial;sans-serif" w:hAnsi="Arial;sans-serif"/>
          <w:b w:val="false"/>
          <w:color w:val="010101"/>
          <w:sz w:val="20"/>
        </w:rPr>
        <w:t>7.    </w:t>
      </w:r>
      <w:r>
        <w:rPr>
          <w:rFonts w:ascii="Arial;sans-serif" w:hAnsi="Arial;sans-serif"/>
          <w:b/>
          <w:i/>
          <w:color w:val="010101"/>
          <w:sz w:val="20"/>
        </w:rPr>
        <w:t>Insurances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Effect, review or vary insurances.</w:t>
      </w:r>
    </w:p>
    <w:p>
      <w:pPr>
        <w:pStyle w:val="TextBody"/>
        <w:spacing w:lineRule="auto" w:line="288" w:before="0" w:after="180"/>
        <w:ind w:left="0" w:right="0" w:hanging="720"/>
        <w:jc w:val="both"/>
        <w:rPr/>
      </w:pPr>
      <w:r>
        <w:rPr>
          <w:rFonts w:ascii="Arial;sans-serif" w:hAnsi="Arial;sans-serif"/>
          <w:b w:val="false"/>
          <w:color w:val="010101"/>
          <w:sz w:val="20"/>
        </w:rPr>
        <w:t>8.    </w:t>
      </w:r>
      <w:r>
        <w:rPr>
          <w:rFonts w:ascii="Arial;sans-serif" w:hAnsi="Arial;sans-serif"/>
          <w:b/>
          <w:i/>
          <w:color w:val="010101"/>
          <w:sz w:val="20"/>
        </w:rPr>
        <w:t>Borrowing</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46050"/>
                <wp:effectExtent l="0" t="0" r="0" b="0"/>
                <wp:wrapNone/>
                <wp:docPr id="508" name="Frame50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32</w:t>
                      </w:r>
                    </w:p>
                  </w:txbxContent>
                </v:textbox>
              </v:rect>
            </w:pict>
          </mc:Fallback>
        </mc:AlternateContent>
      </w:r>
    </w:p>
    <w:p>
      <w:pPr>
        <w:pStyle w:val="TextBody"/>
        <w:spacing w:lineRule="auto" w:line="288" w:before="0" w:after="180"/>
        <w:jc w:val="both"/>
        <w:rPr/>
      </w:pPr>
      <w:r>
        <w:rPr>
          <w:rFonts w:ascii="Arial;sans-serif" w:hAnsi="Arial;sans-serif"/>
          <w:b w:val="false"/>
          <w:color w:val="010101"/>
          <w:sz w:val="20"/>
        </w:rPr>
        <w:t>For the purpose of exercising any of the powers, authorities or discretions conferred on him by or pursuant to this Deed or of defraying any costs (including, without limitation, his remuneration) which are incurred by him in the exercise of such powers, authorities or discretions or for any other purpose, to raise and borrow money or incur any other liability either unsecured or secured on the Security Assets, either in priority to the Security Interests created by this Deed or otherwise</w:t>
      </w:r>
      <w:r>
        <w:rPr>
          <w:rFonts w:ascii="Arial;sans-serif" w:hAnsi="Arial;sans-serif"/>
          <w:b w:val="false"/>
          <w:color w:val="1C1C1C"/>
          <w:sz w:val="20"/>
        </w:rPr>
        <w:t xml:space="preserve">, </w:t>
      </w:r>
      <w:r>
        <w:rPr>
          <w:rFonts w:ascii="Arial;sans-serif" w:hAnsi="Arial;sans-serif"/>
          <w:b w:val="false"/>
          <w:color w:val="010101"/>
          <w:sz w:val="20"/>
        </w:rPr>
        <w:t>and generally on such terms as he in his discretion may think fit. No person lending such money is to be concerned to enquire as to the propriety or purpose of the exercise of such power or as to the application of money so raised or borrowed</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9.    </w:t>
      </w:r>
      <w:r>
        <w:rPr>
          <w:rFonts w:ascii="Arial;sans-serif" w:hAnsi="Arial;sans-serif"/>
          <w:b/>
          <w:i/>
          <w:color w:val="010101"/>
          <w:sz w:val="20"/>
        </w:rPr>
        <w:t>Lending</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Lend money to any person.</w:t>
      </w:r>
    </w:p>
    <w:p>
      <w:pPr>
        <w:pStyle w:val="TextBody"/>
        <w:spacing w:lineRule="auto" w:line="288" w:before="0" w:after="180"/>
        <w:ind w:left="0" w:right="0" w:hanging="720"/>
        <w:jc w:val="both"/>
        <w:rPr/>
      </w:pPr>
      <w:r>
        <w:rPr>
          <w:rFonts w:ascii="Arial;sans-serif" w:hAnsi="Arial;sans-serif"/>
          <w:b w:val="false"/>
          <w:i/>
          <w:color w:val="010101"/>
          <w:sz w:val="20"/>
        </w:rPr>
        <w:t>10.    </w:t>
      </w:r>
      <w:r>
        <w:rPr>
          <w:rFonts w:ascii="Arial;sans-serif" w:hAnsi="Arial;sans-serif"/>
          <w:b/>
          <w:i/>
          <w:color w:val="010101"/>
          <w:sz w:val="20"/>
        </w:rPr>
        <w:t>Advance credit</w:t>
      </w:r>
    </w:p>
    <w:p>
      <w:pPr>
        <w:pStyle w:val="TextBody"/>
        <w:spacing w:lineRule="auto" w:line="288" w:before="0" w:after="180"/>
        <w:jc w:val="both"/>
        <w:rPr/>
      </w:pPr>
      <w:r>
        <w:rPr>
          <w:rFonts w:ascii="Arial;sans-serif" w:hAnsi="Arial;sans-serif"/>
          <w:b w:val="false"/>
          <w:color w:val="010101"/>
          <w:sz w:val="20"/>
        </w:rPr>
        <w:t>Advance credit</w:t>
      </w:r>
      <w:r>
        <w:rPr>
          <w:rFonts w:ascii="Arial;sans-serif" w:hAnsi="Arial;sans-serif"/>
          <w:b w:val="false"/>
          <w:color w:val="1C1C1C"/>
          <w:sz w:val="20"/>
        </w:rPr>
        <w:t xml:space="preserve">, </w:t>
      </w:r>
      <w:r>
        <w:rPr>
          <w:rFonts w:ascii="Arial;sans-serif" w:hAnsi="Arial;sans-serif"/>
          <w:b w:val="false"/>
          <w:color w:val="010101"/>
          <w:sz w:val="20"/>
        </w:rPr>
        <w:t>in the ordinary course of a Chargor's business, to any person.</w:t>
      </w:r>
    </w:p>
    <w:p>
      <w:pPr>
        <w:pStyle w:val="TextBody"/>
        <w:spacing w:lineRule="auto" w:line="288" w:before="0" w:after="180"/>
        <w:ind w:left="0" w:right="0" w:hanging="720"/>
        <w:jc w:val="both"/>
        <w:rPr/>
      </w:pPr>
      <w:r>
        <w:rPr>
          <w:rFonts w:ascii="Arial;sans-serif" w:hAnsi="Arial;sans-serif"/>
          <w:b w:val="false"/>
          <w:i/>
          <w:color w:val="010101"/>
          <w:sz w:val="20"/>
        </w:rPr>
        <w:t>11.    </w:t>
      </w:r>
      <w:r>
        <w:rPr>
          <w:rFonts w:ascii="Arial;sans-serif" w:hAnsi="Arial;sans-serif"/>
          <w:b/>
          <w:i/>
          <w:color w:val="010101"/>
          <w:sz w:val="20"/>
        </w:rPr>
        <w:t>Make calls</w:t>
      </w:r>
    </w:p>
    <w:p>
      <w:pPr>
        <w:pStyle w:val="TextBody"/>
        <w:spacing w:lineRule="auto" w:line="288" w:before="0" w:after="180"/>
        <w:jc w:val="both"/>
        <w:rPr/>
      </w:pPr>
      <w:r>
        <w:rPr>
          <w:rFonts w:ascii="Arial;sans-serif" w:hAnsi="Arial;sans-serif"/>
          <w:b w:val="false"/>
          <w:color w:val="010101"/>
          <w:sz w:val="20"/>
        </w:rPr>
        <w:t>Make</w:t>
      </w:r>
      <w:r>
        <w:rPr>
          <w:rFonts w:ascii="Arial;sans-serif" w:hAnsi="Arial;sans-serif"/>
          <w:b w:val="false"/>
          <w:color w:val="1C1C1C"/>
          <w:sz w:val="20"/>
        </w:rPr>
        <w:t xml:space="preserve">, </w:t>
      </w:r>
      <w:r>
        <w:rPr>
          <w:rFonts w:ascii="Arial;sans-serif" w:hAnsi="Arial;sans-serif"/>
          <w:b w:val="false"/>
          <w:color w:val="010101"/>
          <w:sz w:val="20"/>
        </w:rPr>
        <w:t>or require the directors of any Chargor to make, such calls upon the shareholders of that Chargor in respect of any uncalled capital of that Chargor as the Receiver in his discretion may require and enforce payment of any call so made by action (in the name of that Chargor or the Receiver as the Receiver in his direction may think fit) or otherwise</w:t>
      </w:r>
      <w:r>
        <w:rPr>
          <w:rFonts w:ascii="Arial;sans-serif" w:hAnsi="Arial;sans-serif"/>
          <w:b w:val="false"/>
          <w:color w:val="3F3F3F"/>
          <w:sz w:val="20"/>
        </w:rPr>
        <w:t>.</w:t>
      </w:r>
    </w:p>
    <w:p>
      <w:pPr>
        <w:pStyle w:val="TextBody"/>
        <w:spacing w:lineRule="auto" w:line="288" w:before="0" w:after="180"/>
        <w:ind w:left="0" w:right="0" w:hanging="720"/>
        <w:jc w:val="both"/>
        <w:rPr/>
      </w:pPr>
      <w:r>
        <w:rPr>
          <w:rFonts w:ascii="Arial;sans-serif" w:hAnsi="Arial;sans-serif"/>
          <w:b w:val="false"/>
          <w:color w:val="010101"/>
          <w:sz w:val="20"/>
        </w:rPr>
        <w:t>12.    </w:t>
      </w:r>
      <w:r>
        <w:rPr>
          <w:rFonts w:ascii="Arial;sans-serif" w:hAnsi="Arial;sans-serif"/>
          <w:b/>
          <w:i/>
          <w:color w:val="010101"/>
          <w:sz w:val="20"/>
        </w:rPr>
        <w:t>Compromise</w:t>
      </w:r>
    </w:p>
    <w:p>
      <w:pPr>
        <w:pStyle w:val="TextBody"/>
        <w:spacing w:lineRule="auto" w:line="288" w:before="0" w:after="180"/>
        <w:ind w:left="0" w:right="0" w:hanging="720"/>
        <w:jc w:val="both"/>
        <w:rPr/>
      </w:pPr>
      <w:r>
        <w:rPr>
          <w:rFonts w:ascii="Arial;sans-serif" w:hAnsi="Arial;sans-serif"/>
          <w:b w:val="false"/>
          <w:color w:val="010101"/>
          <w:sz w:val="20"/>
        </w:rPr>
        <w:t>12.1    Settle or compromise any claim by, adjust any account with, refer to arbitration any dispute with, and deal with any question or demand from</w:t>
      </w:r>
      <w:r>
        <w:rPr>
          <w:rFonts w:ascii="Arial;sans-serif" w:hAnsi="Arial;sans-serif"/>
          <w:b w:val="false"/>
          <w:color w:val="1C1C1C"/>
          <w:sz w:val="20"/>
        </w:rPr>
        <w:t xml:space="preserve">, </w:t>
      </w:r>
      <w:r>
        <w:rPr>
          <w:rFonts w:ascii="Arial;sans-serif" w:hAnsi="Arial;sans-serif"/>
          <w:b w:val="false"/>
          <w:color w:val="010101"/>
          <w:sz w:val="20"/>
        </w:rPr>
        <w:t>any person who is, or claims to be</w:t>
      </w:r>
      <w:r>
        <w:rPr>
          <w:rFonts w:ascii="Arial;sans-serif" w:hAnsi="Arial;sans-serif"/>
          <w:b w:val="false"/>
          <w:color w:val="1C1C1C"/>
          <w:sz w:val="20"/>
        </w:rPr>
        <w:t xml:space="preserve">, </w:t>
      </w:r>
      <w:r>
        <w:rPr>
          <w:rFonts w:ascii="Arial;sans-serif" w:hAnsi="Arial;sans-serif"/>
          <w:b w:val="false"/>
          <w:color w:val="010101"/>
          <w:sz w:val="20"/>
        </w:rPr>
        <w:t>a creditor of any Chargor</w:t>
      </w:r>
      <w:r>
        <w:rPr>
          <w:rFonts w:ascii="Arial;sans-serif" w:hAnsi="Arial;sans-serif"/>
          <w:b w:val="false"/>
          <w:color w:val="1C1C1C"/>
          <w:sz w:val="20"/>
        </w:rPr>
        <w:t xml:space="preserve">, </w:t>
      </w:r>
      <w:r>
        <w:rPr>
          <w:rFonts w:ascii="Arial;sans-serif" w:hAnsi="Arial;sans-serif"/>
          <w:b w:val="false"/>
          <w:color w:val="010101"/>
          <w:sz w:val="20"/>
        </w:rPr>
        <w:t>as he may in his discretion think fit; and</w:t>
      </w:r>
    </w:p>
    <w:p>
      <w:pPr>
        <w:pStyle w:val="TextBody"/>
        <w:spacing w:lineRule="auto" w:line="288" w:before="0" w:after="180"/>
        <w:ind w:left="0" w:right="0" w:hanging="720"/>
        <w:jc w:val="both"/>
        <w:rPr/>
      </w:pPr>
      <w:r>
        <w:rPr>
          <w:rFonts w:ascii="Arial;sans-serif" w:hAnsi="Arial;sans-serif"/>
          <w:b w:val="false"/>
          <w:color w:val="010101"/>
          <w:sz w:val="20"/>
        </w:rPr>
        <w:t>12.2    settle or compromise any claim</w:t>
      </w:r>
      <w:r>
        <w:rPr>
          <w:rFonts w:ascii="Arial;sans-serif" w:hAnsi="Arial;sans-serif"/>
          <w:b w:val="false"/>
          <w:color w:val="1C1C1C"/>
          <w:sz w:val="20"/>
        </w:rPr>
        <w:t xml:space="preserve">, </w:t>
      </w:r>
      <w:r>
        <w:rPr>
          <w:rFonts w:ascii="Arial;sans-serif" w:hAnsi="Arial;sans-serif"/>
          <w:b w:val="false"/>
          <w:color w:val="010101"/>
          <w:sz w:val="20"/>
        </w:rPr>
        <w:t>adjust any account, refer to arbitration any dispute and deal with any question or demand relating in any way to the Security Assets, as he in his discretion may think fit.</w:t>
      </w:r>
    </w:p>
    <w:p>
      <w:pPr>
        <w:pStyle w:val="TextBody"/>
        <w:spacing w:lineRule="auto" w:line="288" w:before="0" w:after="180"/>
        <w:ind w:left="0" w:right="0" w:hanging="720"/>
        <w:jc w:val="both"/>
        <w:rPr/>
      </w:pPr>
      <w:r>
        <w:rPr>
          <w:rFonts w:ascii="Arial;sans-serif" w:hAnsi="Arial;sans-serif"/>
          <w:b w:val="false"/>
          <w:color w:val="010101"/>
          <w:sz w:val="20"/>
        </w:rPr>
        <w:t>13.    </w:t>
      </w:r>
      <w:r>
        <w:rPr>
          <w:rFonts w:ascii="Arial;sans-serif" w:hAnsi="Arial;sans-serif"/>
          <w:b/>
          <w:i/>
          <w:color w:val="010101"/>
          <w:sz w:val="20"/>
        </w:rPr>
        <w:t>Proceedings</w:t>
      </w:r>
    </w:p>
    <w:p>
      <w:pPr>
        <w:pStyle w:val="TextBody"/>
        <w:spacing w:lineRule="auto" w:line="288" w:before="0" w:after="180"/>
        <w:jc w:val="both"/>
        <w:rPr/>
      </w:pPr>
      <w:r>
        <w:rPr>
          <w:rFonts w:ascii="Arial;sans-serif" w:hAnsi="Arial;sans-serif"/>
          <w:b w:val="false"/>
          <w:color w:val="010101"/>
          <w:sz w:val="20"/>
        </w:rPr>
        <w:t>In the name of any Chargor</w:t>
      </w:r>
      <w:r>
        <w:rPr>
          <w:rFonts w:ascii="Arial;sans-serif" w:hAnsi="Arial;sans-serif"/>
          <w:b w:val="false"/>
          <w:color w:val="1C1C1C"/>
          <w:sz w:val="20"/>
        </w:rPr>
        <w:t xml:space="preserve">, </w:t>
      </w:r>
      <w:r>
        <w:rPr>
          <w:rFonts w:ascii="Arial;sans-serif" w:hAnsi="Arial;sans-serif"/>
          <w:b w:val="false"/>
          <w:color w:val="010101"/>
          <w:sz w:val="20"/>
        </w:rPr>
        <w:t>bring</w:t>
      </w:r>
      <w:r>
        <w:rPr>
          <w:rFonts w:ascii="Arial;sans-serif" w:hAnsi="Arial;sans-serif"/>
          <w:b w:val="false"/>
          <w:color w:val="1C1C1C"/>
          <w:sz w:val="20"/>
        </w:rPr>
        <w:t xml:space="preserve">, </w:t>
      </w:r>
      <w:r>
        <w:rPr>
          <w:rFonts w:ascii="Arial;sans-serif" w:hAnsi="Arial;sans-serif"/>
          <w:b w:val="false"/>
          <w:color w:val="010101"/>
          <w:sz w:val="20"/>
        </w:rPr>
        <w:t>prosecute</w:t>
      </w:r>
      <w:r>
        <w:rPr>
          <w:rFonts w:ascii="Arial;sans-serif" w:hAnsi="Arial;sans-serif"/>
          <w:b w:val="false"/>
          <w:color w:val="1C1C1C"/>
          <w:sz w:val="20"/>
        </w:rPr>
        <w:t xml:space="preserve">, </w:t>
      </w:r>
      <w:r>
        <w:rPr>
          <w:rFonts w:ascii="Arial;sans-serif" w:hAnsi="Arial;sans-serif"/>
          <w:b w:val="false"/>
          <w:color w:val="010101"/>
          <w:sz w:val="20"/>
        </w:rPr>
        <w:t>enforce, defend or abandon all such actions, suits and proceedings in relation to the Security Assets as he in his discretion may think fit.</w:t>
      </w:r>
    </w:p>
    <w:p>
      <w:pPr>
        <w:pStyle w:val="TextBody"/>
        <w:spacing w:lineRule="auto" w:line="288" w:before="0" w:after="180"/>
        <w:ind w:left="0" w:right="0" w:hanging="720"/>
        <w:jc w:val="both"/>
        <w:rPr/>
      </w:pPr>
      <w:r>
        <w:rPr>
          <w:rFonts w:ascii="Arial;sans-serif" w:hAnsi="Arial;sans-serif"/>
          <w:b w:val="false"/>
          <w:color w:val="010101"/>
          <w:sz w:val="20"/>
        </w:rPr>
        <w:t>14.    </w:t>
      </w:r>
      <w:r>
        <w:rPr>
          <w:rFonts w:ascii="Arial;sans-serif" w:hAnsi="Arial;sans-serif"/>
          <w:b/>
          <w:i/>
          <w:color w:val="010101"/>
          <w:sz w:val="20"/>
        </w:rPr>
        <w:t>Subsidiaries</w:t>
      </w:r>
    </w:p>
    <w:p>
      <w:pPr>
        <w:pStyle w:val="TextBody"/>
        <w:spacing w:lineRule="auto" w:line="288" w:before="0" w:after="180"/>
        <w:ind w:left="0" w:right="0" w:hanging="720"/>
        <w:jc w:val="both"/>
        <w:rPr/>
      </w:pPr>
      <w:r>
        <w:rPr>
          <w:rFonts w:ascii="Arial;sans-serif" w:hAnsi="Arial;sans-serif"/>
          <w:b w:val="false"/>
          <w:color w:val="010101"/>
          <w:sz w:val="20"/>
        </w:rPr>
        <w:t>14.1    Promote the formation of any subsidiary of any Chargor with a view to such subsidiary purchasing, leasing, licensing or otherwise acquiring an interest in the Security Assets</w:t>
      </w:r>
      <w:r>
        <w:rPr>
          <w:rFonts w:ascii="Arial;sans-serif" w:hAnsi="Arial;sans-serif"/>
          <w:b w:val="false"/>
          <w:color w:val="1C1C1C"/>
          <w:sz w:val="20"/>
        </w:rPr>
        <w:t>;</w:t>
      </w:r>
    </w:p>
    <w:p>
      <w:pPr>
        <w:pStyle w:val="TextBody"/>
        <w:spacing w:lineRule="auto" w:line="288" w:before="0" w:after="180"/>
        <w:ind w:left="0" w:right="0" w:hanging="720"/>
        <w:jc w:val="both"/>
        <w:rPr/>
      </w:pPr>
      <w:r>
        <w:rPr>
          <w:rFonts w:ascii="Arial;sans-serif" w:hAnsi="Arial;sans-serif"/>
          <w:b w:val="false"/>
          <w:color w:val="010101"/>
          <w:sz w:val="20"/>
        </w:rPr>
        <w:t>14.2    arrange for the purchase</w:t>
      </w:r>
      <w:r>
        <w:rPr>
          <w:rFonts w:ascii="Arial;sans-serif" w:hAnsi="Arial;sans-serif"/>
          <w:b w:val="false"/>
          <w:color w:val="1C1C1C"/>
          <w:sz w:val="20"/>
        </w:rPr>
        <w:t xml:space="preserve">, </w:t>
      </w:r>
      <w:r>
        <w:rPr>
          <w:rFonts w:ascii="Arial;sans-serif" w:hAnsi="Arial;sans-serif"/>
          <w:b w:val="false"/>
          <w:color w:val="010101"/>
          <w:sz w:val="20"/>
        </w:rPr>
        <w:t>lease</w:t>
      </w:r>
      <w:r>
        <w:rPr>
          <w:rFonts w:ascii="Arial;sans-serif" w:hAnsi="Arial;sans-serif"/>
          <w:b w:val="false"/>
          <w:color w:val="1C1C1C"/>
          <w:sz w:val="20"/>
        </w:rPr>
        <w:t xml:space="preserve">, </w:t>
      </w:r>
      <w:r>
        <w:rPr>
          <w:rFonts w:ascii="Arial;sans-serif" w:hAnsi="Arial;sans-serif"/>
          <w:b w:val="false"/>
          <w:color w:val="010101"/>
          <w:sz w:val="20"/>
        </w:rPr>
        <w:t>licence or acquisition of an interest in the Security Assets by any such subsidiary for any valuable consideration, including, without limitation, cash, shares</w:t>
      </w:r>
      <w:r>
        <w:rPr>
          <w:rFonts w:ascii="Arial;sans-serif" w:hAnsi="Arial;sans-serif"/>
          <w:b w:val="false"/>
          <w:color w:val="1C1C1C"/>
          <w:sz w:val="20"/>
        </w:rPr>
        <w:t xml:space="preserve">, </w:t>
      </w:r>
      <w:r>
        <w:rPr>
          <w:rFonts w:ascii="Arial;sans-serif" w:hAnsi="Arial;sans-serif"/>
          <w:b w:val="false"/>
          <w:color w:val="010101"/>
          <w:sz w:val="20"/>
        </w:rPr>
        <w:t>debentures</w:t>
      </w:r>
      <w:r>
        <w:rPr>
          <w:rFonts w:ascii="Arial;sans-serif" w:hAnsi="Arial;sans-serif"/>
          <w:b w:val="false"/>
          <w:color w:val="1C1C1C"/>
          <w:sz w:val="20"/>
        </w:rPr>
        <w:t xml:space="preserve">, </w:t>
      </w:r>
      <w:r>
        <w:rPr>
          <w:rFonts w:ascii="Arial;sans-serif" w:hAnsi="Arial;sans-serif"/>
          <w:b w:val="false"/>
          <w:color w:val="010101"/>
          <w:sz w:val="20"/>
        </w:rPr>
        <w:t>loan stock</w:t>
      </w:r>
      <w:r>
        <w:rPr>
          <w:rFonts w:ascii="Arial;sans-serif" w:hAnsi="Arial;sans-serif"/>
          <w:b w:val="false"/>
          <w:color w:val="1C1C1C"/>
          <w:sz w:val="20"/>
        </w:rPr>
        <w:t xml:space="preserve">, </w:t>
      </w:r>
      <w:r>
        <w:rPr>
          <w:rFonts w:ascii="Arial;sans-serif" w:hAnsi="Arial;sans-serif"/>
          <w:b w:val="false"/>
          <w:color w:val="010101"/>
          <w:sz w:val="20"/>
        </w:rPr>
        <w:t>convertible loan stock or other securities</w:t>
      </w:r>
      <w:r>
        <w:rPr>
          <w:rFonts w:ascii="Arial;sans-serif" w:hAnsi="Arial;sans-serif"/>
          <w:b w:val="false"/>
          <w:color w:val="1C1C1C"/>
          <w:sz w:val="20"/>
        </w:rPr>
        <w:t xml:space="preserve">, </w:t>
      </w:r>
      <w:r>
        <w:rPr>
          <w:rFonts w:ascii="Arial;sans-serif" w:hAnsi="Arial;sans-serif"/>
          <w:b w:val="false"/>
          <w:color w:val="010101"/>
          <w:sz w:val="20"/>
        </w:rPr>
        <w:t>profits or a sum calculated by reference to profits, turnover</w:t>
      </w:r>
      <w:r>
        <w:rPr>
          <w:rFonts w:ascii="Arial;sans-serif" w:hAnsi="Arial;sans-serif"/>
          <w:b w:val="false"/>
          <w:color w:val="1C1C1C"/>
          <w:sz w:val="20"/>
        </w:rPr>
        <w:t xml:space="preserve">, </w:t>
      </w:r>
      <w:r>
        <w:rPr>
          <w:rFonts w:ascii="Arial;sans-serif" w:hAnsi="Arial;sans-serif"/>
          <w:b w:val="false"/>
          <w:color w:val="010101"/>
          <w:sz w:val="20"/>
        </w:rPr>
        <w:t>royalties, licence fees or otherwise</w:t>
      </w:r>
      <w:r>
        <w:rPr>
          <w:rFonts w:ascii="Arial;sans-serif" w:hAnsi="Arial;sans-serif"/>
          <w:b w:val="false"/>
          <w:color w:val="1C1C1C"/>
          <w:sz w:val="20"/>
        </w:rPr>
        <w:t xml:space="preserve">, </w:t>
      </w:r>
      <w:r>
        <w:rPr>
          <w:rFonts w:ascii="Arial;sans-serif" w:hAnsi="Arial;sans-serif"/>
          <w:b w:val="false"/>
          <w:color w:val="010101"/>
          <w:sz w:val="20"/>
        </w:rPr>
        <w:t>whether or not secured on the undertaking or assets of such subsidiary and whether or not such consideration is payable or receivable in a lump sum or at any time or any number of times by instalments spread over such period, as the Receiver in his discretion may think fit</w:t>
      </w:r>
      <w:r>
        <w:rPr>
          <w:rFonts w:ascii="Arial;sans-serif" w:hAnsi="Arial;sans-serif"/>
          <w:b w:val="false"/>
          <w:color w:val="1C1C1C"/>
          <w:sz w:val="20"/>
        </w:rPr>
        <w:t xml:space="preserve">; </w:t>
      </w:r>
      <w:r>
        <w:rPr>
          <w:rFonts w:ascii="Arial;sans-serif" w:hAnsi="Arial;sans-serif"/>
          <w:b w:val="false"/>
          <w:color w:val="010101"/>
          <w:sz w:val="20"/>
        </w:rPr>
        <w:t>and</w:t>
      </w:r>
    </w:p>
    <w:p>
      <w:pPr>
        <w:pStyle w:val="TextBody"/>
        <w:spacing w:lineRule="auto" w:line="288" w:before="0" w:after="180"/>
        <w:ind w:left="0" w:right="0" w:hanging="720"/>
        <w:jc w:val="both"/>
        <w:rPr/>
      </w:pPr>
      <w:r>
        <w:rPr>
          <w:rFonts w:ascii="Arial;sans-serif" w:hAnsi="Arial;sans-serif"/>
          <w:b w:val="false"/>
          <w:color w:val="010101"/>
          <w:sz w:val="20"/>
        </w:rPr>
        <w:t>14.3    arrange for such subsidiary to trade or cease to trade as the Receiver in his discretion may think fit</w:t>
      </w:r>
      <w:r>
        <w:rPr>
          <w:rFonts w:ascii="Arial;sans-serif" w:hAnsi="Arial;sans-serif"/>
          <w:b w:val="false"/>
          <w:color w:val="1C1C1C"/>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46050"/>
                <wp:effectExtent l="0" t="0" r="0" b="0"/>
                <wp:wrapNone/>
                <wp:docPr id="509" name="Frame50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33</w:t>
                      </w:r>
                    </w:p>
                  </w:txbxContent>
                </v:textbox>
              </v:rect>
            </w:pict>
          </mc:Fallback>
        </mc:AlternateContent>
      </w:r>
    </w:p>
    <w:p>
      <w:pPr>
        <w:pStyle w:val="TextBody"/>
        <w:spacing w:lineRule="auto" w:line="288" w:before="0" w:after="180"/>
        <w:ind w:left="0" w:right="0" w:hanging="720"/>
        <w:jc w:val="both"/>
        <w:rPr/>
      </w:pPr>
      <w:r>
        <w:rPr>
          <w:rFonts w:ascii="Arial;sans-serif" w:hAnsi="Arial;sans-serif"/>
          <w:b w:val="false"/>
          <w:color w:val="010101"/>
          <w:sz w:val="20"/>
        </w:rPr>
        <w:t>15.    </w:t>
      </w:r>
      <w:r>
        <w:rPr>
          <w:rFonts w:ascii="Arial;sans-serif" w:hAnsi="Arial;sans-serif"/>
          <w:b/>
          <w:i/>
          <w:color w:val="010101"/>
          <w:sz w:val="20"/>
        </w:rPr>
        <w:t>Employees</w:t>
      </w:r>
    </w:p>
    <w:p>
      <w:pPr>
        <w:pStyle w:val="TextBody"/>
        <w:spacing w:lineRule="auto" w:line="288" w:before="0" w:after="180"/>
        <w:jc w:val="both"/>
        <w:rPr>
          <w:rFonts w:ascii="Arial;sans-serif" w:hAnsi="Arial;sans-serif"/>
          <w:b w:val="false"/>
          <w:color w:val="010101"/>
          <w:sz w:val="20"/>
        </w:rPr>
      </w:pPr>
      <w:r>
        <w:rPr>
          <w:rFonts w:ascii="Arial;sans-serif" w:hAnsi="Arial;sans-serif"/>
          <w:b w:val="false"/>
          <w:color w:val="010101"/>
          <w:sz w:val="20"/>
        </w:rPr>
        <w:t>Appoint and discharge any manager, officer, agent, professional adviser, employee and any other person, upon such terms as he in his discretion may think fit.</w:t>
      </w:r>
    </w:p>
    <w:p>
      <w:pPr>
        <w:pStyle w:val="TextBody"/>
        <w:spacing w:lineRule="auto" w:line="288" w:before="0" w:after="180"/>
        <w:ind w:left="0" w:right="0" w:hanging="720"/>
        <w:jc w:val="both"/>
        <w:rPr/>
      </w:pPr>
      <w:r>
        <w:rPr>
          <w:rFonts w:ascii="Arial;sans-serif" w:hAnsi="Arial;sans-serif"/>
          <w:b w:val="false"/>
          <w:color w:val="010101"/>
          <w:sz w:val="20"/>
        </w:rPr>
        <w:t>16.    </w:t>
      </w:r>
      <w:r>
        <w:rPr>
          <w:rFonts w:ascii="Arial;sans-serif" w:hAnsi="Arial;sans-serif"/>
          <w:b/>
          <w:i/>
          <w:color w:val="010101"/>
          <w:sz w:val="20"/>
        </w:rPr>
        <w:t>Receipts</w:t>
      </w:r>
    </w:p>
    <w:p>
      <w:pPr>
        <w:pStyle w:val="TextBody"/>
        <w:spacing w:lineRule="auto" w:line="288" w:before="0" w:after="180"/>
        <w:jc w:val="both"/>
        <w:rPr/>
      </w:pPr>
      <w:r>
        <w:rPr>
          <w:rFonts w:ascii="Arial;sans-serif" w:hAnsi="Arial;sans-serif"/>
          <w:b w:val="false"/>
          <w:color w:val="010101"/>
          <w:sz w:val="20"/>
        </w:rPr>
        <w:t>Give valid receipts for all monies and execute all assurances and things which he in his discretion may think proper or desirable for realising the Security Assets</w:t>
      </w:r>
      <w:r>
        <w:rPr>
          <w:rFonts w:ascii="Arial;sans-serif" w:hAnsi="Arial;sans-serif"/>
          <w:b w:val="false"/>
          <w:color w:val="212121"/>
          <w:sz w:val="20"/>
        </w:rPr>
        <w:t>.</w:t>
      </w:r>
    </w:p>
    <w:p>
      <w:pPr>
        <w:pStyle w:val="TextBody"/>
        <w:spacing w:lineRule="auto" w:line="288" w:before="0" w:after="180"/>
        <w:ind w:left="0" w:right="0" w:hanging="720"/>
        <w:jc w:val="both"/>
        <w:rPr/>
      </w:pPr>
      <w:r>
        <w:rPr>
          <w:rFonts w:ascii="Arial;sans-serif" w:hAnsi="Arial;sans-serif"/>
          <w:b w:val="false"/>
          <w:color w:val="010101"/>
          <w:sz w:val="20"/>
        </w:rPr>
        <w:t>17.    </w:t>
      </w:r>
      <w:r>
        <w:rPr>
          <w:rFonts w:ascii="Arial;sans-serif" w:hAnsi="Arial;sans-serif"/>
          <w:b/>
          <w:i/>
          <w:color w:val="010101"/>
          <w:sz w:val="20"/>
        </w:rPr>
        <w:t>Delegation</w:t>
      </w:r>
    </w:p>
    <w:p>
      <w:pPr>
        <w:pStyle w:val="TextBody"/>
        <w:spacing w:lineRule="auto" w:line="288" w:before="0" w:after="180"/>
        <w:jc w:val="both"/>
        <w:rPr/>
      </w:pPr>
      <w:r>
        <w:rPr>
          <w:rFonts w:ascii="Arial;sans-serif" w:hAnsi="Arial;sans-serif"/>
          <w:b w:val="false"/>
          <w:color w:val="010101"/>
          <w:sz w:val="20"/>
        </w:rPr>
        <w:t>Delegate any or all of his powers in accordance with this Deed</w:t>
      </w:r>
      <w:r>
        <w:rPr>
          <w:rFonts w:ascii="Arial;sans-serif" w:hAnsi="Arial;sans-serif"/>
          <w:b w:val="false"/>
          <w:color w:val="212121"/>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46050"/>
                <wp:effectExtent l="0" t="0" r="0" b="0"/>
                <wp:wrapNone/>
                <wp:docPr id="510" name="Frame50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34</w:t>
                      </w:r>
                    </w:p>
                  </w:txbxContent>
                </v:textbox>
              </v:rect>
            </w:pict>
          </mc:Fallback>
        </mc:AlternateConten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Schedule Signatories to this Deed</w:t>
      </w:r>
    </w:p>
    <w:tbl>
      <w:tblPr>
        <w:tblW w:w="4388" w:type="dxa"/>
        <w:jc w:val="left"/>
        <w:tblInd w:w="0" w:type="dxa"/>
        <w:tblCellMar>
          <w:top w:w="28" w:type="dxa"/>
          <w:left w:w="28" w:type="dxa"/>
          <w:bottom w:w="28" w:type="dxa"/>
          <w:right w:w="28" w:type="dxa"/>
        </w:tblCellMar>
      </w:tblPr>
      <w:tblGrid>
        <w:gridCol w:w="824"/>
        <w:gridCol w:w="727"/>
        <w:gridCol w:w="728"/>
        <w:gridCol w:w="109"/>
        <w:gridCol w:w="109"/>
        <w:gridCol w:w="109"/>
        <w:gridCol w:w="469"/>
        <w:gridCol w:w="469"/>
        <w:gridCol w:w="472"/>
        <w:gridCol w:w="109"/>
        <w:gridCol w:w="109"/>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Original Chargors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Executed as a deed by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Kaltura Europe Limited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acting by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0" w:type="dxa"/>
            <w:gridSpan w:val="3"/>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Michal Tsur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025" w:type="dxa"/>
        <w:jc w:val="left"/>
        <w:tblInd w:w="0" w:type="dxa"/>
        <w:tblCellMar>
          <w:top w:w="28" w:type="dxa"/>
          <w:left w:w="28" w:type="dxa"/>
          <w:bottom w:w="28" w:type="dxa"/>
          <w:right w:w="28" w:type="dxa"/>
        </w:tblCellMar>
      </w:tblPr>
      <w:tblGrid>
        <w:gridCol w:w="439"/>
        <w:gridCol w:w="384"/>
        <w:gridCol w:w="346"/>
        <w:gridCol w:w="489"/>
        <w:gridCol w:w="489"/>
        <w:gridCol w:w="506"/>
        <w:gridCol w:w="109"/>
        <w:gridCol w:w="109"/>
        <w:gridCol w:w="154"/>
      </w:tblGrid>
      <w:tr>
        <w:trPr/>
        <w:tc>
          <w:tcPr>
            <w:tcW w:w="43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3" w:type="dxa"/>
            <w:gridSpan w:val="6"/>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Eran Shalev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3" w:type="dxa"/>
            <w:gridSpan w:val="6"/>
            <w:tcBorders>
              <w:top w:val="dotted"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Witness Signature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Name:</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ERAN SHALEV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Address:</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Occupation: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283" w:type="dxa"/>
        <w:jc w:val="left"/>
        <w:tblInd w:w="0" w:type="dxa"/>
        <w:tblCellMar>
          <w:top w:w="28" w:type="dxa"/>
          <w:left w:w="28" w:type="dxa"/>
          <w:bottom w:w="28" w:type="dxa"/>
          <w:right w:w="28" w:type="dxa"/>
        </w:tblCellMar>
      </w:tblPr>
      <w:tblGrid>
        <w:gridCol w:w="770"/>
        <w:gridCol w:w="678"/>
        <w:gridCol w:w="682"/>
        <w:gridCol w:w="130"/>
        <w:gridCol w:w="130"/>
        <w:gridCol w:w="130"/>
        <w:gridCol w:w="130"/>
        <w:gridCol w:w="130"/>
        <w:gridCol w:w="131"/>
        <w:gridCol w:w="109"/>
        <w:gridCol w:w="109"/>
        <w:gridCol w:w="154"/>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Executed as a deed by</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Kaltura Inc.</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acting by</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 the presence of:</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083" w:type="dxa"/>
        <w:jc w:val="left"/>
        <w:tblInd w:w="0" w:type="dxa"/>
        <w:tblCellMar>
          <w:top w:w="28" w:type="dxa"/>
          <w:left w:w="28" w:type="dxa"/>
          <w:bottom w:w="28" w:type="dxa"/>
          <w:right w:w="28" w:type="dxa"/>
        </w:tblCellMar>
      </w:tblPr>
      <w:tblGrid>
        <w:gridCol w:w="563"/>
        <w:gridCol w:w="325"/>
        <w:gridCol w:w="281"/>
        <w:gridCol w:w="267"/>
        <w:gridCol w:w="267"/>
        <w:gridCol w:w="380"/>
      </w:tblGrid>
      <w:tr>
        <w:trPr/>
        <w:tc>
          <w:tcPr>
            <w:tcW w:w="56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3" w:type="dxa"/>
            <w:gridSpan w:val="6"/>
            <w:tcBorders>
              <w:top w:val="dotted"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Witness Signature</w:t>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Name:</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Address:</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Occupation:</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46050"/>
                <wp:effectExtent l="0" t="0" r="0" b="0"/>
                <wp:wrapNone/>
                <wp:docPr id="511" name="Frame50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35</w:t>
                      </w:r>
                    </w:p>
                  </w:txbxContent>
                </v:textbox>
              </v:rect>
            </w:pict>
          </mc:Fallback>
        </mc:AlternateContent>
      </w:r>
    </w:p>
    <w:p>
      <w:pPr>
        <w:pStyle w:val="TextBody"/>
        <w:spacing w:lineRule="auto" w:line="288" w:before="0" w:after="180"/>
        <w:jc w:val="center"/>
        <w:rPr>
          <w:rFonts w:ascii="Arial;sans-serif" w:hAnsi="Arial;sans-serif"/>
          <w:b/>
          <w:color w:val="000000"/>
          <w:sz w:val="20"/>
        </w:rPr>
      </w:pPr>
      <w:r>
        <w:rPr>
          <w:rFonts w:ascii="Arial;sans-serif" w:hAnsi="Arial;sans-serif"/>
          <w:b/>
          <w:color w:val="000000"/>
          <w:sz w:val="20"/>
        </w:rPr>
        <w:t>Schedule Signatories to this Deed</w:t>
      </w:r>
    </w:p>
    <w:tbl>
      <w:tblPr>
        <w:tblW w:w="3433" w:type="dxa"/>
        <w:jc w:val="left"/>
        <w:tblInd w:w="0" w:type="dxa"/>
        <w:tblCellMar>
          <w:top w:w="28" w:type="dxa"/>
          <w:left w:w="28" w:type="dxa"/>
          <w:bottom w:w="28" w:type="dxa"/>
          <w:right w:w="28" w:type="dxa"/>
        </w:tblCellMar>
      </w:tblPr>
      <w:tblGrid>
        <w:gridCol w:w="824"/>
        <w:gridCol w:w="727"/>
        <w:gridCol w:w="729"/>
        <w:gridCol w:w="130"/>
        <w:gridCol w:w="130"/>
        <w:gridCol w:w="130"/>
        <w:gridCol w:w="130"/>
        <w:gridCol w:w="130"/>
        <w:gridCol w:w="131"/>
        <w:gridCol w:w="109"/>
        <w:gridCol w:w="109"/>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Original Chargors</w:t>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as a </w:t>
            </w:r>
            <w:r>
              <w:rPr>
                <w:rFonts w:ascii="Arial;sans-serif" w:hAnsi="Arial;sans-serif"/>
                <w:b/>
                <w:color w:val="000000"/>
                <w:sz w:val="20"/>
              </w:rPr>
              <w:t>deed</w:t>
            </w:r>
            <w:r>
              <w:rPr>
                <w:color w:val="000000"/>
              </w:rPr>
              <w:t xml:space="preserve"> </w:t>
            </w:r>
            <w:r>
              <w:rPr>
                <w:rFonts w:ascii="Arial;sans-serif" w:hAnsi="Arial;sans-serif"/>
                <w:b w:val="false"/>
                <w:color w:val="000000"/>
                <w:sz w:val="20"/>
              </w:rPr>
              <w:t>by</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Kaltura Europe Limited</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acting by</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 the presence of</w:t>
            </w:r>
          </w:p>
        </w:tc>
        <w:tc>
          <w:tcPr>
            <w:tcW w:w="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377" w:type="dxa"/>
        <w:jc w:val="left"/>
        <w:tblInd w:w="0" w:type="dxa"/>
        <w:tblCellMar>
          <w:top w:w="28" w:type="dxa"/>
          <w:left w:w="28" w:type="dxa"/>
          <w:bottom w:w="28" w:type="dxa"/>
          <w:right w:w="28" w:type="dxa"/>
        </w:tblCellMar>
      </w:tblPr>
      <w:tblGrid>
        <w:gridCol w:w="439"/>
        <w:gridCol w:w="386"/>
        <w:gridCol w:w="344"/>
        <w:gridCol w:w="278"/>
        <w:gridCol w:w="278"/>
        <w:gridCol w:w="280"/>
        <w:gridCol w:w="109"/>
        <w:gridCol w:w="109"/>
        <w:gridCol w:w="154"/>
      </w:tblGrid>
      <w:tr>
        <w:trPr/>
        <w:tc>
          <w:tcPr>
            <w:tcW w:w="43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5" w:type="dxa"/>
            <w:gridSpan w:val="6"/>
            <w:tcBorders>
              <w:bottom w:val="dott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6"/>
            <w:tcBorders>
              <w:top w:val="dotted"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Witness Signature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Name:</w:t>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Address:</w:t>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Occupation:</w:t>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388" w:type="dxa"/>
        <w:jc w:val="left"/>
        <w:tblInd w:w="0" w:type="dxa"/>
        <w:tblCellMar>
          <w:top w:w="28" w:type="dxa"/>
          <w:left w:w="28" w:type="dxa"/>
          <w:bottom w:w="28" w:type="dxa"/>
          <w:right w:w="28" w:type="dxa"/>
        </w:tblCellMar>
      </w:tblPr>
      <w:tblGrid>
        <w:gridCol w:w="792"/>
        <w:gridCol w:w="698"/>
        <w:gridCol w:w="700"/>
        <w:gridCol w:w="109"/>
        <w:gridCol w:w="109"/>
        <w:gridCol w:w="109"/>
        <w:gridCol w:w="499"/>
        <w:gridCol w:w="499"/>
        <w:gridCol w:w="501"/>
        <w:gridCol w:w="109"/>
        <w:gridCol w:w="109"/>
        <w:gridCol w:w="154"/>
      </w:tblGrid>
      <w:tr>
        <w:trPr/>
        <w:tc>
          <w:tcPr>
            <w:tcW w:w="792"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as a </w:t>
            </w:r>
            <w:r>
              <w:rPr>
                <w:rFonts w:ascii="Arial;sans-serif" w:hAnsi="Arial;sans-serif"/>
                <w:b/>
                <w:color w:val="000000"/>
                <w:sz w:val="20"/>
              </w:rPr>
              <w:t>deed</w:t>
            </w:r>
            <w:r>
              <w:rPr>
                <w:color w:val="000000"/>
              </w:rPr>
              <w:t xml:space="preserve"> </w:t>
            </w:r>
            <w:r>
              <w:rPr>
                <w:rFonts w:ascii="Arial;sans-serif" w:hAnsi="Arial;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Kaltura Inc.</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acting by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Ron Yekutiel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 the presence of:</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113" w:type="dxa"/>
        <w:jc w:val="left"/>
        <w:tblInd w:w="0" w:type="dxa"/>
        <w:tblCellMar>
          <w:top w:w="28" w:type="dxa"/>
          <w:left w:w="28" w:type="dxa"/>
          <w:bottom w:w="28" w:type="dxa"/>
          <w:right w:w="28" w:type="dxa"/>
        </w:tblCellMar>
      </w:tblPr>
      <w:tblGrid>
        <w:gridCol w:w="973"/>
        <w:gridCol w:w="853"/>
        <w:gridCol w:w="858"/>
        <w:gridCol w:w="710"/>
        <w:gridCol w:w="710"/>
        <w:gridCol w:w="1009"/>
      </w:tblGrid>
      <w:tr>
        <w:trPr/>
        <w:tc>
          <w:tcPr>
            <w:tcW w:w="97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Ravit Lichtenberg Yekutiel</w:t>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3" w:type="dxa"/>
            <w:gridSpan w:val="6"/>
            <w:tcBorders>
              <w:top w:val="dotted"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Witness Signature</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Name:</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Ravit Lichtenberg Yekutiel</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Address:</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Occupation:</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Writer, Publisher</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46050"/>
                <wp:effectExtent l="0" t="0" r="0" b="0"/>
                <wp:wrapNone/>
                <wp:docPr id="512" name="Frame50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36</w:t>
                      </w:r>
                    </w:p>
                  </w:txbxContent>
                </v:textbox>
              </v:rect>
            </w:pict>
          </mc:Fallback>
        </mc:AlternateContent>
      </w:r>
    </w:p>
    <w:tbl>
      <w:tblPr>
        <w:tblW w:w="5547" w:type="dxa"/>
        <w:jc w:val="left"/>
        <w:tblInd w:w="0" w:type="dxa"/>
        <w:tblCellMar>
          <w:top w:w="28" w:type="dxa"/>
          <w:left w:w="28" w:type="dxa"/>
          <w:bottom w:w="28" w:type="dxa"/>
          <w:right w:w="28" w:type="dxa"/>
        </w:tblCellMar>
      </w:tblPr>
      <w:tblGrid>
        <w:gridCol w:w="778"/>
        <w:gridCol w:w="682"/>
        <w:gridCol w:w="685"/>
        <w:gridCol w:w="1009"/>
        <w:gridCol w:w="1009"/>
        <w:gridCol w:w="1012"/>
        <w:gridCol w:w="109"/>
        <w:gridCol w:w="109"/>
        <w:gridCol w:w="154"/>
      </w:tblGrid>
      <w:tr>
        <w:trPr/>
        <w:tc>
          <w:tcPr>
            <w:tcW w:w="7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Administrative Agent</w:t>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Executed as a deed by</w:t>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 authorised signatory</w:t>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 and on behalf of</w:t>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Silicon Valley Bank</w:t>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Francis Ceroccia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Signature of Authorised Signatory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Francis Ceroccia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 of Authorised Signatory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46050"/>
                <wp:effectExtent l="0" t="0" r="0" b="0"/>
                <wp:wrapNone/>
                <wp:docPr id="513" name="Frame50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76" w:before="0" w:after="0"/>
                        <w:jc w:val="center"/>
                        <w:rPr>
                          <w:rFonts w:ascii="Arial;sans-serif" w:hAnsi="Arial;sans-serif"/>
                          <w:b w:val="false"/>
                          <w:color w:val="010101"/>
                          <w:sz w:val="20"/>
                        </w:rPr>
                      </w:pPr>
                      <w:r>
                        <w:rPr>
                          <w:rFonts w:ascii="Arial;sans-serif" w:hAnsi="Arial;sans-serif"/>
                          <w:b w:val="false"/>
                          <w:color w:val="010101"/>
                          <w:sz w:val="20"/>
                        </w:rPr>
                        <w:t>37</w:t>
                      </w:r>
                    </w:p>
                  </w:txbxContent>
                </v:textbox>
              </v:rect>
            </w:pict>
          </mc:Fallback>
        </mc:AlternateContent>
      </w:r>
    </w:p>
    <w:p>
      <w:pPr>
        <w:pStyle w:val="TextBody"/>
        <w:spacing w:before="0" w:after="0"/>
        <w:jc w:val="right"/>
        <w:rPr/>
      </w:pPr>
      <w:r>
        <w:rPr/>
      </w:r>
    </w:p>
    <w:p>
      <w:pPr>
        <w:pStyle w:val="TextBody"/>
        <w:spacing w:lineRule="auto" w:line="417" w:before="0" w:after="1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EMPLOYMENT AGREEMENT</w:t>
      </w:r>
    </w:p>
    <w:p>
      <w:pPr>
        <w:pStyle w:val="TextBody"/>
        <w:spacing w:lineRule="auto" w:line="417"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EMPLOYMENT AGREEMENT (the "Agreement") is entered into as of the 1st day of May, 2012, by and between Kaltura, Ltd., a company organized under the laws of the State of Israel, registered under number 51–294781–3, with offices at 13 Tuval Street, Israel (the "Company") and Ron Yekutiel Israel Identity Number ###, residing at Tel-Aviv, Israel (the "Executive").</w:t>
      </w:r>
    </w:p>
    <w:p>
      <w:pPr>
        <w:pStyle w:val="TextBody"/>
        <w:spacing w:lineRule="auto" w:line="417"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Company desires to employ the Executive as the CEO of the Company and the Executive desires to serve as the CEO of the Company and to engage in such employment, on the terms and conditions hereinafter set forth.</w:t>
      </w:r>
    </w:p>
    <w:p>
      <w:pPr>
        <w:pStyle w:val="TextBody"/>
        <w:spacing w:lineRule="auto" w:line="417"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respective agreements of the parties contained herein, the parties agree as follows:</w:t>
      </w:r>
    </w:p>
    <w:p>
      <w:pPr>
        <w:pStyle w:val="TextBody"/>
        <w:spacing w:lineRule="auto" w:line="417" w:before="0" w:after="180"/>
        <w:jc w:val="both"/>
        <w:rPr/>
      </w:pPr>
      <w:r>
        <w:rPr>
          <w:rFonts w:ascii="Times New Roman;sans-serif" w:hAnsi="Times New Roman;sans-serif"/>
          <w:b w:val="false"/>
          <w:color w:val="000000"/>
          <w:sz w:val="20"/>
        </w:rPr>
        <w:t>1.</w:t>
      </w:r>
      <w:r>
        <w:rPr>
          <w:color w:val="000000"/>
        </w:rPr>
        <w:t>    </w:t>
      </w:r>
      <w:r>
        <w:rPr>
          <w:rFonts w:ascii="Times New Roman;sans-serif" w:hAnsi="Times New Roman;sans-serif"/>
          <w:b/>
          <w:color w:val="000000"/>
          <w:sz w:val="20"/>
          <w:u w:val="single"/>
        </w:rPr>
        <w:t>Employment.</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agrees to employ the Executive as the CEO of the Company and the Executive agrees to be employed by the Company as its CEO on the terms and conditions hereinafter set forth.</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Executive's duties and responsibilities shall include but not be limited to those duties and responsibilities customarily performed by a CEO. The Executive shall be under the direct supervision of and comply with the directives of the Board of Directors of the Company or such officer of the Company as may be appointed by the Board of Directors of the Company from time to time (the "Board").</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c.Excluding periods of vacation, sick leave and military reserve service to which the Executive is entitled or required, the Executive agrees to devote total attention and full time to the business and affairs of the Company and its subsidiaries as required to discharge the responsibilities assigned to the Executive hereunder. During the term of this Agreement, the Executive shall not be engaged in any other employment nor engage actively in any other business activities or in any other activities which may hinder his performance hereunder, with or without compensation, for any other person, firm or company without the prior written consent of the Company.</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d.The Executive's duties shall be in the nature of management duties that demand a special level of loyalty and accordingly the Law of Work Hours and Rest 5711 - 1951 shall not apply to this Agreement. The parties hereto confirm that this is a personal services contract and that the relationship between the parties hereto shall not be subject to any general or special collective employment agreement or any custom or practice of the Company in respect of any of its other employees or contractors.</w:t>
      </w:r>
      <w:r>
        <w:br w:type="page"/>
      </w:r>
    </w:p>
    <w:p>
      <w:pPr>
        <w:pStyle w:val="TextBody"/>
        <w:spacing w:lineRule="auto" w:line="417" w:before="0" w:after="1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w:t>
      </w:r>
      <w:r>
        <w:rPr>
          <w:color w:val="000000"/>
        </w:rPr>
        <w:t>    </w:t>
      </w:r>
      <w:r>
        <w:rPr>
          <w:rFonts w:ascii="Times New Roman;sans-serif" w:hAnsi="Times New Roman;sans-serif"/>
          <w:b/>
          <w:color w:val="000000"/>
          <w:sz w:val="20"/>
          <w:u w:val="single"/>
        </w:rPr>
        <w:t>Base Salary</w:t>
      </w:r>
      <w:r>
        <w:rPr>
          <w:rFonts w:ascii="Times New Roman;sans-serif" w:hAnsi="Times New Roman;sans-serif"/>
          <w:b/>
          <w:color w:val="000000"/>
          <w:sz w:val="20"/>
        </w:rPr>
        <w:t>.</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514" name="Frame5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180"/>
        <w:ind w:left="0" w:right="0" w:hanging="360"/>
        <w:jc w:val="both"/>
        <w:rPr/>
      </w:pPr>
      <w:r>
        <w:rPr>
          <w:rFonts w:ascii="Times New Roman;sans-serif" w:hAnsi="Times New Roman;sans-serif"/>
          <w:b w:val="false"/>
          <w:color w:val="000000"/>
          <w:sz w:val="20"/>
        </w:rPr>
        <w:t>a.The Company agrees to pay or cause to be paid to the Executive during the term of this Agreement a gross salary equal to 60,000 NIS (the "Base Salary"). The Base Salary shall be payable monthly in arrears, no later than the 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each month.</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Base Salary specified in Section 2(a) includes remuneration for working overtime and on days of rest, and the Executive shall not be entitled to any further remuneration or payment whatsoever other than the Base Salary and/or benefits, unless expressly specified in this Agreement. The Executive acknowledges that the Base Salary to which he is entitled pursuant to this Agreement constitutes due consideration for him working overtime and on days of rest.</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c.In addition to the Base Salary, Company agrees to pay the Executive a gross monthly amount of 12,380 NIS to cover housing expenses.</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d.All amounts payable hereunder shall be reviewed annually by the Board of Directors of the Company.</w:t>
      </w:r>
    </w:p>
    <w:p>
      <w:pPr>
        <w:pStyle w:val="TextBody"/>
        <w:spacing w:lineRule="auto" w:line="417" w:before="0" w:after="180"/>
        <w:jc w:val="both"/>
        <w:rPr/>
      </w:pPr>
      <w:r>
        <w:rPr>
          <w:rFonts w:ascii="Times New Roman;sans-serif" w:hAnsi="Times New Roman;sans-serif"/>
          <w:b w:val="false"/>
          <w:color w:val="000000"/>
          <w:sz w:val="20"/>
        </w:rPr>
        <w:t>3.    </w:t>
      </w:r>
      <w:r>
        <w:rPr>
          <w:rFonts w:ascii="Times New Roman;sans-serif" w:hAnsi="Times New Roman;sans-serif"/>
          <w:b/>
          <w:color w:val="000000"/>
          <w:sz w:val="20"/>
          <w:u w:val="single"/>
        </w:rPr>
        <w:t>Executive Benefits</w:t>
      </w:r>
      <w:r>
        <w:rPr>
          <w:rFonts w:ascii="Times New Roman;sans-serif" w:hAnsi="Times New Roman;sans-serif"/>
          <w:b w:val="false"/>
          <w:color w:val="000000"/>
          <w:sz w:val="20"/>
        </w:rPr>
        <w:t>.</w:t>
      </w:r>
    </w:p>
    <w:p>
      <w:pPr>
        <w:pStyle w:val="TextBody"/>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Executive shall be entitled to the following benefits:</w:t>
      </w:r>
    </w:p>
    <w:p>
      <w:pPr>
        <w:pStyle w:val="TextBody"/>
        <w:spacing w:lineRule="auto" w:line="417"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i.    Sick Leave. The Executive shall be entitled to fully paid sick leave pursuant to the Sick Pay Law 5736 - 1976.</w:t>
      </w:r>
    </w:p>
    <w:p>
      <w:pPr>
        <w:pStyle w:val="TextBody"/>
        <w:spacing w:lineRule="auto" w:line="417"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ii.    Vacation. The Executive shall be entitled to an annual vacation of twenty (20) working days per year. A "working day" shall mean Sunday to Thursday inclusive. Up to one year's equivalent of vacation days may be accumulated and may, at the Executive's option, upon thirty (30) days written notice to the Company, be converted into cash payments in an amount equal to the proportionate part of the Base Salary for such days to the extent provided by law.</w:t>
      </w:r>
    </w:p>
    <w:p>
      <w:pPr>
        <w:pStyle w:val="TextBody"/>
        <w:spacing w:lineRule="auto" w:line="417"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iii.    Manager's Insurance. The Company shall effect a Manager's Insurance Policy (the "Policy") in the name of the Executive, and shall pay a sum up to 15.83% of the Executive's Base Salary towards such Policy, of which 8.33% will be on account of severance pay and 5% on account of pension fund payments and up to a further 2.5% of the Executive's Base Salary on account of disability pension payments. The Company shall deduct 5% from the Executive's Base Salary to be paid on behalf of the Executive towards such Policy.</w:t>
      </w:r>
    </w:p>
    <w:p>
      <w:pPr>
        <w:pStyle w:val="TextBody"/>
        <w:spacing w:lineRule="auto" w:line="417"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iv.    Further Education Fund Contributions. The Company shall pay a sum equal to 7.5% of the Executive's Base Salary and shall deduct 2.5% from the Executive's Base Salary to be paid on behalf of the Executive toward a further education fund. Use of these funds shall be in accordance with the by-laws of such fund.</w:t>
      </w:r>
    </w:p>
    <w:p>
      <w:pPr>
        <w:pStyle w:val="TextBody"/>
        <w:spacing w:lineRule="auto" w:line="417"/>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v.    If the Executive makes use of a car leased by the Company, the cost of using the car, as established by the Company, shall be deducted from the Salary.</w:t>
      </w:r>
      <w:r>
        <w:br w:type="page"/>
      </w:r>
    </w:p>
    <w:p>
      <w:pPr>
        <w:pStyle w:val="TextBody"/>
        <w:spacing w:lineRule="auto" w:line="417"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v</w:t>
      </w:r>
      <w:r>
        <w:rPr>
          <w:rFonts w:ascii="Times New Roman;sans-serif" w:hAnsi="Times New Roman;sans-serif"/>
          <w:b w:val="false"/>
          <w:color w:val="000000"/>
          <w:sz w:val="20"/>
        </w:rPr>
        <w:t>i.    The Executive shall be provided with a cellular telephone.</w:t>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15" name="Frame5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180"/>
        <w:jc w:val="both"/>
        <w:rPr/>
      </w:pPr>
      <w:r>
        <w:rPr>
          <w:rFonts w:ascii="Times New Roman;sans-serif" w:hAnsi="Times New Roman;sans-serif"/>
          <w:b/>
          <w:color w:val="000000"/>
          <w:sz w:val="20"/>
        </w:rPr>
        <w:t>4.    </w:t>
      </w:r>
      <w:r>
        <w:rPr>
          <w:rFonts w:ascii="Times New Roman;sans-serif" w:hAnsi="Times New Roman;sans-serif"/>
          <w:b/>
          <w:color w:val="000000"/>
          <w:sz w:val="20"/>
          <w:u w:val="single"/>
        </w:rPr>
        <w:t>Expenses</w:t>
      </w:r>
      <w:r>
        <w:rPr>
          <w:rFonts w:ascii="Times New Roman;sans-serif" w:hAnsi="Times New Roman;sans-serif"/>
          <w:b/>
          <w:color w:val="000000"/>
          <w:sz w:val="20"/>
        </w:rPr>
        <w:t>.</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Executive shall be entitled to receive prompt reimbursement of all direct expenses reasonably incurred by him in connection with the performance of his duties hereunder; provided, however, that (a) such expenses are incurred in accordance with the Company's expense policy in effect at such time (the "Expense Policy"), (b) the Executive has submitted, in writing, in the proper format, an expense report for the same, together with written receipts, in accordance with the Expense Policy (each, an "Expense Report"). Executive hereby acknowledges that once reimbursement has been received for goods purchased by Executive on behalf of the Company, such goods shall become the sole property of the Company.</w:t>
      </w:r>
    </w:p>
    <w:p>
      <w:pPr>
        <w:pStyle w:val="TextBody"/>
        <w:spacing w:lineRule="auto" w:line="417" w:before="0" w:after="180"/>
        <w:jc w:val="both"/>
        <w:rPr/>
      </w:pPr>
      <w:r>
        <w:rPr>
          <w:rFonts w:ascii="Times New Roman;sans-serif" w:hAnsi="Times New Roman;sans-serif"/>
          <w:b/>
          <w:color w:val="000000"/>
          <w:sz w:val="20"/>
        </w:rPr>
        <w:t>5.    </w:t>
      </w:r>
      <w:r>
        <w:rPr>
          <w:rFonts w:ascii="Times New Roman;sans-serif" w:hAnsi="Times New Roman;sans-serif"/>
          <w:b/>
          <w:color w:val="000000"/>
          <w:sz w:val="20"/>
          <w:u w:val="single"/>
        </w:rPr>
        <w:t>Term and Termination</w:t>
      </w:r>
      <w:r>
        <w:rPr>
          <w:rFonts w:ascii="Times New Roman;sans-serif" w:hAnsi="Times New Roman;sans-serif"/>
          <w:b w:val="false"/>
          <w:color w:val="000000"/>
          <w:sz w:val="20"/>
        </w:rPr>
        <w:t>.</w:t>
      </w:r>
    </w:p>
    <w:p>
      <w:pPr>
        <w:pStyle w:val="TextBody"/>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term of employment under this Agreement shall commence as of the date of this Agreement and will continue unless terminated under the following circumstances:</w:t>
      </w:r>
    </w:p>
    <w:p>
      <w:pPr>
        <w:pStyle w:val="TextBody"/>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    Disability. The Company may terminate the Executive's employment after having established the Executive's disability. For purposes of this Agreement, "disability" means a physical or mental infirmity which impairs the Executive's ability to substantially perform his duties under this Agreement which continues for a period of at least ninety (90) consecutive days. Upon termination for disability, the Executive shall be entitled to severance pay required by law (subject to the provisions of Section 5(d) below).</w:t>
      </w:r>
    </w:p>
    <w:p>
      <w:pPr>
        <w:pStyle w:val="TextBody"/>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    Cause. The Company may terminate the Executive's employment for cause. For purposes of this Agreement, termination for "cause" shall mean and include: (i) conviction of any felony involving moral turpitude or affecting the Company or its subsidiaries; (ii) any refusal to carry out a reasonable directive of the Board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this Agreement by the Executive. If the employment of the Executive is terminated for cause, then the Executive shall only be entitled to: (x) severance pay in the amount required by law, if required (subject to the provisions of Section 5(d) below); and (y) the portion of the Policy that was contributed by the Executive.</w:t>
      </w:r>
    </w:p>
    <w:p>
      <w:pPr>
        <w:pStyle w:val="TextBody"/>
        <w:spacing w:lineRule="auto" w:line="417"/>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Without Cause. The Company may terminate the Executive's employment without cause provided that the Executive is given not less than ninety (90) days written notice. During </w:t>
      </w:r>
      <w:r>
        <w:br w:type="page"/>
      </w:r>
    </w:p>
    <w:p>
      <w:pPr>
        <w:pStyle w:val="TextBody"/>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w:t>
      </w:r>
      <w:r>
        <w:rPr>
          <w:rFonts w:ascii="Times New Roman;sans-serif" w:hAnsi="Times New Roman;sans-serif"/>
          <w:b w:val="false"/>
          <w:color w:val="000000"/>
          <w:sz w:val="20"/>
        </w:rPr>
        <w:t>uch ninety (90) day period the Executive shall be entitled to compensation pursuant to Section 2.Upon termination without cause, the Executive shall be entitled to severance pay required by law (subject to the provisions of Section 5(d) below).</w:t>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516" name="Frame5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    Termination by Executive. The Executive may terminate his employment with the Company upon sixty (60) days notice to the Company. During such sixty (60) day period the Executive shall be entitled to compensation pursuant to Section 2.</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b.Upon the termination of the Executive's employment with the Company, other than for cause (as defined in Section 5(a)(ii) above), the right to receive the Policy and the further education fund shall be automatically assigned to the Executive.</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c.During the period following notice of termination by any party for any reason, the Executive shall cooperate with the Company and use his best efforts to assist the integration into the Company's organization of the person or persons who will assume the Executive's responsibilities. At the option of the Company, the Executive shall during such period either continue with his duties or remain absent from the premises of the Company.</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d.In the event of any termination of his employment, whether or not for cause and whatever the reason, the Executive will promptly deliver to the Company or the Parent all documents, data, records and other information pertaining to his employment or any Proprietary Information (as defined below) or Company Intellectual Property (as defined below), and the Executive will not take with him any documents or data, or any reproduction or excerpt of any documents or data, containing or pertaining to his employment or any Proprietary Information (as defined below) or Company Intellectual Property (as defined below).</w:t>
      </w:r>
    </w:p>
    <w:p>
      <w:pPr>
        <w:pStyle w:val="TextBody"/>
        <w:spacing w:lineRule="auto" w:line="417" w:before="0" w:after="180"/>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Reserve Duty.</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Executive shall continue to receive the salary provided for hereunder during periods of military reserve duty. The Executive hereby assigns and undertakes to pay to the Company any amounts received from the National Insurance Institute as compensation for such reserve duty service.</w:t>
      </w:r>
    </w:p>
    <w:p>
      <w:pPr>
        <w:pStyle w:val="TextBody"/>
        <w:spacing w:lineRule="auto" w:line="417" w:before="0" w:after="180"/>
        <w:jc w:val="both"/>
        <w:rPr/>
      </w:pPr>
      <w:r>
        <w:rPr>
          <w:rFonts w:ascii="Times New Roman;sans-serif" w:hAnsi="Times New Roman;sans-serif"/>
          <w:b/>
          <w:color w:val="000000"/>
          <w:sz w:val="20"/>
        </w:rPr>
        <w:t>7.    </w:t>
      </w:r>
      <w:r>
        <w:rPr>
          <w:rFonts w:ascii="Times New Roman;sans-serif" w:hAnsi="Times New Roman;sans-serif"/>
          <w:b/>
          <w:color w:val="000000"/>
          <w:sz w:val="20"/>
          <w:u w:val="single"/>
        </w:rPr>
        <w:t>Non-disclosure and proprietary information agreement.</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Executive shall sign the Company’s standard Non-Disclosure and Proprietary Information Agreement.</w:t>
      </w:r>
    </w:p>
    <w:p>
      <w:pPr>
        <w:pStyle w:val="TextBody"/>
        <w:spacing w:lineRule="auto" w:line="417" w:before="0" w:after="180"/>
        <w:jc w:val="both"/>
        <w:rPr/>
      </w:pPr>
      <w:r>
        <w:rPr>
          <w:rFonts w:ascii="Times New Roman;sans-serif" w:hAnsi="Times New Roman;sans-serif"/>
          <w:b/>
          <w:color w:val="000000"/>
          <w:sz w:val="20"/>
        </w:rPr>
        <w:t>8.    </w:t>
      </w:r>
      <w:r>
        <w:rPr>
          <w:rFonts w:ascii="Times New Roman;sans-serif" w:hAnsi="Times New Roman;sans-serif"/>
          <w:b/>
          <w:color w:val="000000"/>
          <w:sz w:val="20"/>
          <w:u w:val="single"/>
        </w:rPr>
        <w:t>Notice.</w:t>
      </w:r>
    </w:p>
    <w:p>
      <w:pPr>
        <w:pStyle w:val="TextBody"/>
        <w:spacing w:lineRule="auto" w:line="417"/>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a.For the purpose of this Agreement, notices and all other communications provided for in the Agreement shall be in writing and shall be deemed to have been duly given when personally delivered or sent by registered mail, postage prepaid, addressed to the respective addresses set forth below or last </w:t>
      </w:r>
      <w:r>
        <w:br w:type="page"/>
      </w:r>
    </w:p>
    <w:p>
      <w:pPr>
        <w:pStyle w:val="TextBody"/>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w:t>
      </w:r>
      <w:r>
        <w:rPr>
          <w:rFonts w:ascii="Times New Roman;sans-serif" w:hAnsi="Times New Roman;sans-serif"/>
          <w:b w:val="false"/>
          <w:color w:val="000000"/>
          <w:sz w:val="20"/>
        </w:rPr>
        <w:t>iven by each party to the other, except that notice of change of address shall be effective only upon receipt. The initial addresses of the parties for purposes of this Agreement shall be as follows:</w:t>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260"/>
                <wp:effectExtent l="0" t="0" r="0" b="0"/>
                <wp:wrapNone/>
                <wp:docPr id="517" name="Frame5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Kaltura LTD</w:t>
      </w:r>
    </w:p>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13 Tuval Street, Ramat Gan</w:t>
      </w:r>
    </w:p>
    <w:p>
      <w:pPr>
        <w:pStyle w:val="TextBody"/>
        <w:spacing w:lineRule="auto" w:line="417" w:before="0" w:after="180"/>
        <w:rPr>
          <w:rFonts w:ascii="Times New Roman;sans-serif" w:hAnsi="Times New Roman;sans-serif"/>
          <w:b w:val="false"/>
          <w:color w:val="000000"/>
          <w:sz w:val="20"/>
        </w:rPr>
      </w:pPr>
      <w:r>
        <w:rPr>
          <w:rFonts w:ascii="Times New Roman;sans-serif" w:hAnsi="Times New Roman;sans-serif"/>
          <w:b w:val="false"/>
          <w:color w:val="000000"/>
          <w:sz w:val="20"/>
        </w:rPr>
        <w:t>Attn: CFO</w:t>
      </w:r>
    </w:p>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The Executive:    Ron Yekutiel</w:t>
      </w:r>
    </w:p>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417" w:before="0" w:after="180"/>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Miscellaneous.</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b.This Agreement shall be governed by and construed and enforced in accordance with the laws of the State of Israel, without giving effect to the rules respecting conflicts-of-law</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c.The provisions of this Agreement shall be deemed severable and the invalidity or unenforceability of any provision shall not affect the validity or enforceability of the other provisions hereof.</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either party which are not expressly set forth in this Agreement.</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e.This Agreement shall be binding upon and shall inure to the benefit of the Company, its successors and assigns, and the Company shall require such successor or assign to expressly assume and agree to perform this Agreement in the same manner and to the same extent that the Company would be required to perform it if no such succession or assignment had taken place. The term "successors and assigns" as used herein shall mean a corporation or other entity acquiring all or substantially all the assets and business of the Company (including this Agreement) whether by operation of law or otherwise.</w:t>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f.Neither this Agreement nor any right or interest hereunder shall be assignable or transferable by the Executive, his beneficiaries or legal representatives, except by will or by the laws of descent and distribution. This Agreement shall inure to the benefit of and be enforceable by the Executive's legal personal representative.</w:t>
      </w:r>
      <w:r>
        <w:br w:type="page"/>
      </w:r>
    </w:p>
    <w:p>
      <w:pPr>
        <w:pStyle w:val="TextBody"/>
        <w:spacing w:lineRule="auto" w:line="417"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w:t>
      </w:r>
      <w:r>
        <w:rPr>
          <w:rFonts w:ascii="Times New Roman;sans-serif" w:hAnsi="Times New Roman;sans-serif"/>
          <w:b w:val="false"/>
          <w:color w:val="000000"/>
          <w:sz w:val="20"/>
        </w:rPr>
        <w:t>.The section headings contained herein are for reference purposes only and shall not in any way affect the meaning or interpretation of this Agreement.</w:t>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260"/>
                <wp:effectExtent l="0" t="0" r="0" b="0"/>
                <wp:wrapNone/>
                <wp:docPr id="518" name="Frame5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260"/>
                <wp:effectExtent l="0" t="0" r="0" b="0"/>
                <wp:wrapNone/>
                <wp:docPr id="519" name="Frame5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08" w:before="0" w:after="180"/>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Agreement to be executed by its duly authorized officer and the Executive has executed this Agreement as of the day and year first above written.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Kaltura, Ltd.</w:t>
      </w:r>
    </w:p>
    <w:tbl>
      <w:tblPr>
        <w:tblW w:w="2457" w:type="dxa"/>
        <w:jc w:val="left"/>
        <w:tblInd w:w="0" w:type="dxa"/>
        <w:tblCellMar>
          <w:top w:w="28" w:type="dxa"/>
          <w:left w:w="28" w:type="dxa"/>
          <w:bottom w:w="28" w:type="dxa"/>
          <w:right w:w="28" w:type="dxa"/>
        </w:tblCellMar>
      </w:tblPr>
      <w:tblGrid>
        <w:gridCol w:w="232"/>
        <w:gridCol w:w="205"/>
        <w:gridCol w:w="208"/>
        <w:gridCol w:w="479"/>
        <w:gridCol w:w="479"/>
        <w:gridCol w:w="482"/>
        <w:gridCol w:w="109"/>
        <w:gridCol w:w="109"/>
        <w:gridCol w:w="154"/>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Michal Tsur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Michal Tsur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The Executive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Yekutiel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Yekutiel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260"/>
                <wp:effectExtent l="0" t="0" r="0" b="0"/>
                <wp:wrapNone/>
                <wp:docPr id="520" name="Frame5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Calibri;sans-serif" w:hAnsi="Calibri;sans-serif"/>
          <w:b/>
          <w:color w:val="000000"/>
          <w:sz w:val="22"/>
        </w:rPr>
      </w:pPr>
      <w:r>
        <w:rPr>
          <w:rFonts w:ascii="Calibri;sans-serif" w:hAnsi="Calibri;sans-serif"/>
          <w:b/>
          <w:color w:val="000000"/>
          <w:sz w:val="22"/>
        </w:rPr>
        <w:t>ADDENDUM TO PERSONAL EMPLOYMENT AGREEMENT</w:t>
      </w:r>
    </w:p>
    <w:p>
      <w:pPr>
        <w:pStyle w:val="TextBody"/>
        <w:spacing w:lineRule="auto" w:line="288" w:before="0" w:after="180"/>
        <w:jc w:val="both"/>
        <w:rPr/>
      </w:pPr>
      <w:r>
        <w:rPr>
          <w:rFonts w:ascii="Calibri;sans-serif" w:hAnsi="Calibri;sans-serif"/>
          <w:b w:val="false"/>
          <w:color w:val="000000"/>
          <w:sz w:val="22"/>
        </w:rPr>
        <w:t xml:space="preserve">THIS ADDENDUM TO EMPLOYMENT AGREEMENT (this </w:t>
      </w:r>
      <w:r>
        <w:rPr>
          <w:rFonts w:ascii="Calibri;sans-serif" w:hAnsi="Calibri;sans-serif"/>
          <w:b/>
          <w:color w:val="000000"/>
          <w:sz w:val="22"/>
        </w:rPr>
        <w:t>"Addendum"</w:t>
      </w:r>
      <w:r>
        <w:rPr>
          <w:rFonts w:ascii="Calibri;sans-serif" w:hAnsi="Calibri;sans-serif"/>
          <w:b w:val="false"/>
          <w:color w:val="000000"/>
          <w:sz w:val="22"/>
        </w:rPr>
        <w:t xml:space="preserve">) is made and entered this 4th day of November 2018 by and between Kaltura Ltd., (the </w:t>
      </w:r>
      <w:r>
        <w:rPr>
          <w:rFonts w:ascii="Calibri;sans-serif" w:hAnsi="Calibri;sans-serif"/>
          <w:b/>
          <w:color w:val="000000"/>
          <w:sz w:val="22"/>
        </w:rPr>
        <w:t>"Company"</w:t>
      </w:r>
      <w:r>
        <w:rPr>
          <w:rFonts w:ascii="Calibri;sans-serif" w:hAnsi="Calibri;sans-serif"/>
          <w:b w:val="false"/>
          <w:color w:val="000000"/>
          <w:sz w:val="22"/>
        </w:rPr>
        <w:t xml:space="preserve">), and Ron Yekutiel (the </w:t>
      </w:r>
      <w:r>
        <w:rPr>
          <w:rFonts w:ascii="Calibri;sans-serif" w:hAnsi="Calibri;sans-serif"/>
          <w:b/>
          <w:color w:val="000000"/>
          <w:sz w:val="22"/>
        </w:rPr>
        <w:t>"Employee"</w:t>
      </w:r>
      <w:r>
        <w:rPr>
          <w:rFonts w:ascii="Calibri;sans-serif" w:hAnsi="Calibri;sans-serif"/>
          <w:b w:val="false"/>
          <w:color w:val="000000"/>
          <w:sz w:val="22"/>
        </w:rPr>
        <w:t xml:space="preserve">). Company and Employee are sometimes referred to herein individually as a </w:t>
      </w:r>
      <w:r>
        <w:rPr>
          <w:rFonts w:ascii="Calibri;sans-serif" w:hAnsi="Calibri;sans-serif"/>
          <w:b/>
          <w:color w:val="000000"/>
          <w:sz w:val="22"/>
        </w:rPr>
        <w:t xml:space="preserve">"Party" </w:t>
      </w:r>
      <w:r>
        <w:rPr>
          <w:rFonts w:ascii="Calibri;sans-serif" w:hAnsi="Calibri;sans-serif"/>
          <w:b w:val="false"/>
          <w:color w:val="000000"/>
          <w:sz w:val="22"/>
        </w:rPr>
        <w:t xml:space="preserve">and collectively as the </w:t>
      </w:r>
      <w:r>
        <w:rPr>
          <w:rFonts w:ascii="Calibri;sans-serif" w:hAnsi="Calibri;sans-serif"/>
          <w:b/>
          <w:color w:val="000000"/>
          <w:sz w:val="22"/>
        </w:rPr>
        <w:t>"Parties."</w:t>
      </w:r>
    </w:p>
    <w:p>
      <w:pPr>
        <w:pStyle w:val="TextBody"/>
        <w:spacing w:lineRule="auto" w:line="288" w:before="0" w:after="18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xml:space="preserve">, the Parties entered into an Employment Agreement dated 1 May 2012 as was amended from time to time (the </w:t>
      </w:r>
      <w:r>
        <w:rPr>
          <w:rFonts w:ascii="Calibri;sans-serif" w:hAnsi="Calibri;sans-serif"/>
          <w:b/>
          <w:color w:val="000000"/>
          <w:sz w:val="22"/>
        </w:rPr>
        <w:t>"Employment Agreement"</w:t>
      </w:r>
      <w:r>
        <w:rPr>
          <w:rFonts w:ascii="Calibri;sans-serif" w:hAnsi="Calibri;sans-serif"/>
          <w:b w:val="false"/>
          <w:color w:val="000000"/>
          <w:sz w:val="22"/>
        </w:rPr>
        <w:t>);</w:t>
      </w:r>
    </w:p>
    <w:p>
      <w:pPr>
        <w:pStyle w:val="TextBody"/>
        <w:spacing w:lineRule="auto" w:line="288" w:before="0" w:after="18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the Parties wish to amend or add certain terms and provisions to the Employment Agreement as detailed below;</w:t>
      </w:r>
    </w:p>
    <w:p>
      <w:pPr>
        <w:pStyle w:val="TextBody"/>
        <w:spacing w:lineRule="auto" w:line="288" w:before="0" w:after="180"/>
        <w:ind w:left="0" w:right="0" w:firstLine="720"/>
        <w:jc w:val="both"/>
        <w:rPr/>
      </w:pPr>
      <w:r>
        <w:rPr>
          <w:rFonts w:ascii="Calibri;sans-serif" w:hAnsi="Calibri;sans-serif"/>
          <w:b/>
          <w:color w:val="000000"/>
          <w:sz w:val="22"/>
        </w:rPr>
        <w:t>NOW, THEREFORE</w:t>
      </w:r>
      <w:r>
        <w:rPr>
          <w:rFonts w:ascii="Calibri;sans-serif" w:hAnsi="Calibri;sans-serif"/>
          <w:b w:val="false"/>
          <w:color w:val="000000"/>
          <w:sz w:val="22"/>
        </w:rPr>
        <w:t>, in consideration of the premises and mutual covenants and conditions herein contained, the Parties agree as follows:</w:t>
      </w:r>
    </w:p>
    <w:p>
      <w:pPr>
        <w:pStyle w:val="TextBody"/>
        <w:spacing w:lineRule="auto" w:line="288" w:before="0" w:after="180"/>
        <w:ind w:left="0" w:right="0" w:firstLine="720"/>
        <w:jc w:val="both"/>
        <w:rPr>
          <w:rFonts w:ascii="Calibri;sans-serif" w:hAnsi="Calibri;sans-serif"/>
          <w:b w:val="false"/>
          <w:i/>
          <w:color w:val="000000"/>
          <w:sz w:val="22"/>
        </w:rPr>
      </w:pPr>
      <w:r>
        <w:rPr>
          <w:rFonts w:ascii="Calibri;sans-serif" w:hAnsi="Calibri;sans-serif"/>
          <w:b w:val="false"/>
          <w:i/>
          <w:color w:val="000000"/>
          <w:sz w:val="22"/>
        </w:rPr>
        <w:t>Capitalized terms used but not defined herein have the meanings assigned to them in the Employment Agreement.</w:t>
      </w:r>
    </w:p>
    <w:p>
      <w:pPr>
        <w:pStyle w:val="TextBody"/>
        <w:spacing w:lineRule="auto" w:line="288" w:before="0" w:after="0"/>
        <w:rPr/>
      </w:pPr>
      <w:r>
        <w:rPr>
          <w:rFonts w:ascii="Calibri;sans-serif" w:hAnsi="Calibri;sans-serif"/>
          <w:b w:val="false"/>
          <w:color w:val="000000"/>
          <w:sz w:val="22"/>
        </w:rPr>
        <w:t>1.    </w:t>
      </w:r>
      <w:r>
        <w:rPr>
          <w:rFonts w:ascii="Calibri;sans-serif" w:hAnsi="Calibri;sans-serif"/>
          <w:b w:val="false"/>
          <w:color w:val="000000"/>
          <w:sz w:val="22"/>
          <w:u w:val="single"/>
        </w:rPr>
        <w:t>Salary</w:t>
      </w:r>
    </w:p>
    <w:p>
      <w:pPr>
        <w:pStyle w:val="TextBody"/>
        <w:spacing w:lineRule="auto" w:line="288" w:before="0" w:after="0"/>
        <w:ind w:left="0" w:right="0" w:hanging="360"/>
        <w:jc w:val="both"/>
        <w:rPr/>
      </w:pPr>
      <w:r>
        <w:rPr>
          <w:rFonts w:ascii="Calibri;sans-serif" w:hAnsi="Calibri;sans-serif"/>
          <w:b w:val="false"/>
          <w:color w:val="000000"/>
          <w:sz w:val="22"/>
        </w:rPr>
        <w:t xml:space="preserve">a.Effective from 1 July 2018 (the </w:t>
      </w:r>
      <w:r>
        <w:rPr>
          <w:rFonts w:ascii="Calibri;sans-serif" w:hAnsi="Calibri;sans-serif"/>
          <w:b/>
          <w:color w:val="000000"/>
          <w:sz w:val="22"/>
        </w:rPr>
        <w:t>"Salary Increase Date"</w:t>
      </w:r>
      <w:r>
        <w:rPr>
          <w:rFonts w:ascii="Calibri;sans-serif" w:hAnsi="Calibri;sans-serif"/>
          <w:b w:val="false"/>
          <w:color w:val="000000"/>
          <w:sz w:val="22"/>
        </w:rPr>
        <w:t>) Employee's Monthly Salary shall be as follows: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    Base Salary shall be NIS 28,560 (gross)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ii.    Global Overtime Pay shall be NIS 7,140 (gross)</w:t>
      </w:r>
    </w:p>
    <w:p>
      <w:pPr>
        <w:pStyle w:val="TextBody"/>
        <w:spacing w:lineRule="auto" w:line="288" w:before="0" w:after="180"/>
        <w:jc w:val="both"/>
        <w:rPr>
          <w:rFonts w:ascii="Calibri;sans-serif" w:hAnsi="Calibri;sans-serif"/>
          <w:b w:val="false"/>
          <w:color w:val="000000"/>
          <w:sz w:val="22"/>
        </w:rPr>
      </w:pPr>
      <w:r>
        <w:rPr>
          <w:rFonts w:ascii="Calibri;sans-serif" w:hAnsi="Calibri;sans-serif"/>
          <w:b w:val="false"/>
          <w:color w:val="000000"/>
          <w:sz w:val="22"/>
        </w:rPr>
        <w:t>iii.    Monthly Salary (Base + Global Overtime Pay) shall be NIS 35,700 (gross)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b.The Monthly Salary from the Salary Increase Date to 31 December 2018 shall be paid as follows: (a) an amount equal to the Monthly Salary prior to the Salary Increase Date shall be payable at the end of each calendar month; and (b) the difference between the Monthly Salary payable prior to the Salary Increase Date and the Monthly Salary payable after the Salary Increase Date will be paid to the Employee in January 2019's salary payment. Beginning January 1, 2019, the full Monthly Salary will be payable at the end of each calendar month.</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c.Effective from the Salary Increase Date the amounts contributed by the Company to the Employee's Education Fund will not be subject to the limit recognized by the Income Tax Authority.</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d.It is explicitly acknowledged and agreed that the Monthly Salary includes mandatory travel expenses in accordance with applicable law and Employee shall not be entitled to receive any additional reimbursement of travel expenses.</w:t>
      </w:r>
    </w:p>
    <w:p>
      <w:pPr>
        <w:pStyle w:val="TextBody"/>
        <w:spacing w:lineRule="auto" w:line="288" w:before="0" w:after="180"/>
        <w:ind w:left="0" w:right="0" w:hanging="360"/>
        <w:jc w:val="both"/>
        <w:rPr/>
      </w:pPr>
      <w:r>
        <w:rPr>
          <w:rFonts w:ascii="Calibri;sans-serif" w:hAnsi="Calibri;sans-serif"/>
          <w:b w:val="false"/>
          <w:color w:val="000000"/>
          <w:sz w:val="22"/>
        </w:rPr>
        <w:t xml:space="preserve">e.The paragraph directly under the heading </w:t>
      </w:r>
      <w:r>
        <w:rPr>
          <w:rFonts w:ascii="Calibri;sans-serif" w:hAnsi="Calibri;sans-serif"/>
          <w:b/>
          <w:color w:val="000000"/>
          <w:sz w:val="22"/>
        </w:rPr>
        <w:t>"</w:t>
      </w:r>
      <w:r>
        <w:rPr>
          <w:rFonts w:ascii="Calibri;sans-serif" w:hAnsi="Calibri;sans-serif"/>
          <w:b/>
          <w:color w:val="000000"/>
          <w:sz w:val="22"/>
          <w:u w:val="single"/>
        </w:rPr>
        <w:t>Linkage to US Dollar</w:t>
      </w:r>
      <w:r>
        <w:rPr>
          <w:rFonts w:ascii="Calibri;sans-serif" w:hAnsi="Calibri;sans-serif"/>
          <w:b/>
          <w:color w:val="000000"/>
          <w:sz w:val="22"/>
        </w:rPr>
        <w:t xml:space="preserve">" </w:t>
      </w:r>
      <w:r>
        <w:rPr>
          <w:rFonts w:ascii="Calibri;sans-serif" w:hAnsi="Calibri;sans-serif"/>
          <w:b w:val="false"/>
          <w:color w:val="000000"/>
          <w:sz w:val="22"/>
        </w:rPr>
        <w:t>is hereby stricken from the Employment Agreement.</w:t>
      </w:r>
    </w:p>
    <w:p>
      <w:pPr>
        <w:pStyle w:val="TextBody"/>
        <w:spacing w:lineRule="auto" w:line="288" w:before="0" w:after="0"/>
        <w:rPr/>
      </w:pPr>
      <w:r>
        <w:rPr>
          <w:rFonts w:ascii="Calibri;sans-serif" w:hAnsi="Calibri;sans-serif"/>
          <w:b w:val="false"/>
          <w:color w:val="000000"/>
          <w:sz w:val="22"/>
        </w:rPr>
        <w:t>2.    </w:t>
      </w:r>
      <w:r>
        <w:rPr>
          <w:rFonts w:ascii="Calibri;sans-serif" w:hAnsi="Calibri;sans-serif"/>
          <w:b w:val="false"/>
          <w:color w:val="000000"/>
          <w:sz w:val="22"/>
          <w:u w:val="single"/>
        </w:rPr>
        <w:t>Bonus</w:t>
      </w:r>
    </w:p>
    <w:p>
      <w:pPr>
        <w:pStyle w:val="TextBody"/>
        <w:spacing w:lineRule="auto" w:line="288"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a.The applicable Bonus for the 2018 calendar year and any subsequent calendar years shall be as follows: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    The maximum Annual Bonus shall be 320,400 NIS (gross).</w:t>
      </w:r>
    </w:p>
    <w:p>
      <w:pPr>
        <w:pStyle w:val="TextBody"/>
        <w:spacing w:lineRule="auto" w:line="288" w:before="0" w:after="180"/>
        <w:jc w:val="both"/>
        <w:rPr>
          <w:rFonts w:ascii="Calibri;sans-serif" w:hAnsi="Calibri;sans-serif"/>
          <w:b w:val="false"/>
          <w:color w:val="000000"/>
          <w:sz w:val="22"/>
        </w:rPr>
      </w:pPr>
      <w:r>
        <w:rPr>
          <w:rFonts w:ascii="Calibri;sans-serif" w:hAnsi="Calibri;sans-serif"/>
          <w:b w:val="false"/>
          <w:color w:val="000000"/>
          <w:sz w:val="22"/>
        </w:rPr>
        <w:t>ii.    The maximum Annual Additional Stretch Bonus shall be 76,960 NIS (gross)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 xml:space="preserve">b.Employee's entitlement to the Annual Bonus and Additional Stretch Bonus shall be determined, for each calendar year, on the basis of Employee's (and the Company's) </w:t>
      </w:r>
      <w:r>
        <w:br w:type="page"/>
      </w:r>
    </w:p>
    <w:p>
      <w:pPr>
        <w:pStyle w:val="TextBody"/>
        <w:spacing w:before="0" w:after="0"/>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54940"/>
                <wp:effectExtent l="0" t="0" r="0" b="0"/>
                <wp:wrapNone/>
                <wp:docPr id="521" name="Frame514"/>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1</w:t>
                      </w:r>
                    </w:p>
                  </w:txbxContent>
                </v:textbox>
              </v:rect>
            </w:pict>
          </mc:Fallback>
        </mc:AlternateContent>
      </w:r>
    </w:p>
    <w:p>
      <w:pPr>
        <w:pStyle w:val="TextBody"/>
        <w:spacing w:lineRule="auto" w:line="288" w:before="0" w:after="180"/>
        <w:jc w:val="both"/>
        <w:rPr>
          <w:rFonts w:ascii="Calibri;sans-serif" w:hAnsi="Calibri;sans-serif"/>
          <w:b w:val="false"/>
          <w:color w:val="000000"/>
          <w:sz w:val="22"/>
        </w:rPr>
      </w:pPr>
      <w:r>
        <w:rPr>
          <w:rFonts w:ascii="Calibri;sans-serif" w:hAnsi="Calibri;sans-serif"/>
          <w:b w:val="false"/>
          <w:color w:val="000000"/>
          <w:sz w:val="22"/>
        </w:rPr>
        <w:t>attainment of certain goals and objectives defined by the Company. The goals and objectives for each calendar year will be established and approved by the Kaltura, Inc. Board of Directors (the "Qualifying Objectives" ). For the 2018 calendar year, the Qualifying Objectives shall be those set forth in Exhibit A hereto.</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c.As of January the Employee's Monthly Bonus Amount shall be 18,690 NIS (gross) (i.e., the equivalent of 70% of the pro-rated Annual Bonus).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d.At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 year, then such shortfall amount will be taken into account and deducted from Employee's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e.As of January 2018, Bonus payments shall not be taken into account in the calculation of any employment related payments or social benefits.</w:t>
      </w:r>
    </w:p>
    <w:p>
      <w:pPr>
        <w:pStyle w:val="TextBody"/>
        <w:spacing w:lineRule="auto" w:line="288"/>
        <w:ind w:left="0" w:right="0" w:hanging="720"/>
        <w:jc w:val="both"/>
        <w:rPr>
          <w:rFonts w:ascii="Calibri;sans-serif" w:hAnsi="Calibri;sans-serif"/>
          <w:b w:val="false"/>
          <w:color w:val="000000"/>
          <w:sz w:val="22"/>
        </w:rPr>
      </w:pPr>
      <w:r>
        <w:rPr>
          <w:rFonts w:ascii="Calibri;sans-serif" w:hAnsi="Calibri;sans-serif"/>
          <w:b w:val="false"/>
          <w:color w:val="000000"/>
          <w:sz w:val="22"/>
        </w:rPr>
        <w:t>3.    Except as expressly set forth herein, the terms and conditions of the Employment Agreement shall remain in full force and effect and each Party hereto agrees to be bound by the terms thereof.</w:t>
      </w:r>
      <w:r>
        <w:br w:type="page"/>
      </w:r>
    </w:p>
    <w:p>
      <w:pPr>
        <w:pStyle w:val="TextBody"/>
        <w:spacing w:before="0" w:after="0"/>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54940"/>
                <wp:effectExtent l="0" t="0" r="0" b="0"/>
                <wp:wrapNone/>
                <wp:docPr id="522" name="Frame515"/>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2</w:t>
                      </w:r>
                    </w:p>
                  </w:txbxContent>
                </v:textbox>
              </v:rect>
            </w:pict>
          </mc:Fallback>
        </mc:AlternateContent>
      </w:r>
    </w:p>
    <w:p>
      <w:pPr>
        <w:pStyle w:val="TextBody"/>
        <w:spacing w:lineRule="auto" w:line="288" w:before="0" w:after="180"/>
        <w:rPr>
          <w:rFonts w:ascii="Calibri;sans-serif" w:hAnsi="Calibri;sans-serif"/>
          <w:b w:val="false"/>
          <w:color w:val="000000"/>
          <w:sz w:val="22"/>
        </w:rPr>
      </w:pPr>
      <w:r>
        <w:rPr>
          <w:rFonts w:ascii="Calibri;sans-serif" w:hAnsi="Calibri;sans-serif"/>
          <w:b w:val="false"/>
          <w:color w:val="000000"/>
          <w:sz w:val="22"/>
        </w:rPr>
        <w:t>IN WITNESS WHEREOF, the Parties hereto have executed this Addendum as of the date set forth above.</w:t>
      </w:r>
    </w:p>
    <w:tbl>
      <w:tblPr>
        <w:tblW w:w="5605" w:type="dxa"/>
        <w:jc w:val="left"/>
        <w:tblInd w:w="0" w:type="dxa"/>
        <w:tblCellMar>
          <w:top w:w="28" w:type="dxa"/>
          <w:left w:w="28" w:type="dxa"/>
          <w:bottom w:w="28" w:type="dxa"/>
          <w:right w:w="28" w:type="dxa"/>
        </w:tblCellMar>
      </w:tblPr>
      <w:tblGrid>
        <w:gridCol w:w="375"/>
        <w:gridCol w:w="329"/>
        <w:gridCol w:w="331"/>
        <w:gridCol w:w="527"/>
        <w:gridCol w:w="527"/>
        <w:gridCol w:w="535"/>
        <w:gridCol w:w="109"/>
        <w:gridCol w:w="109"/>
        <w:gridCol w:w="109"/>
        <w:gridCol w:w="339"/>
        <w:gridCol w:w="339"/>
        <w:gridCol w:w="341"/>
        <w:gridCol w:w="474"/>
        <w:gridCol w:w="474"/>
        <w:gridCol w:w="687"/>
      </w:tblGrid>
      <w:tr>
        <w:trPr/>
        <w:tc>
          <w:tcPr>
            <w:tcW w:w="37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62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THE EMPLOYEE</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Signature:</w:t>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Signature:</w:t>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 Ron Yekutiel</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Name:</w:t>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Name:</w:t>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Ron Yekutiel</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Title:</w:t>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SVP 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Title:</w:t>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CEO</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November 4,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November 4, 2018</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54940"/>
                <wp:effectExtent l="0" t="0" r="0" b="0"/>
                <wp:wrapNone/>
                <wp:docPr id="523" name="Frame516"/>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3</w:t>
                      </w:r>
                    </w:p>
                  </w:txbxContent>
                </v:textbox>
              </v:rect>
            </w:pict>
          </mc:Fallback>
        </mc:AlternateContent>
      </w:r>
    </w:p>
    <w:p>
      <w:pPr>
        <w:pStyle w:val="TextBody"/>
        <w:spacing w:lineRule="auto" w:line="288" w:before="0" w:after="180"/>
        <w:jc w:val="center"/>
        <w:rPr>
          <w:rFonts w:ascii="Calibri;sans-serif" w:hAnsi="Calibri;sans-serif"/>
          <w:b/>
          <w:color w:val="000000"/>
          <w:sz w:val="22"/>
        </w:rPr>
      </w:pPr>
      <w:r>
        <w:rPr>
          <w:rFonts w:ascii="Calibri;sans-serif" w:hAnsi="Calibri;sans-serif"/>
          <w:b/>
          <w:color w:val="000000"/>
          <w:sz w:val="22"/>
        </w:rPr>
        <w:t>EXHIBIT A</w:t>
      </w:r>
    </w:p>
    <w:p>
      <w:pPr>
        <w:pStyle w:val="TextBody"/>
        <w:spacing w:lineRule="auto" w:line="288" w:before="0" w:after="180"/>
        <w:ind w:left="0" w:right="0" w:hanging="720"/>
        <w:jc w:val="both"/>
        <w:rPr/>
      </w:pPr>
      <w:r>
        <w:rPr>
          <w:rFonts w:ascii="Wingdings;sans-serif" w:hAnsi="Wingdings;sans-serif"/>
          <w:b w:val="false"/>
          <w:color w:val="000000"/>
          <w:sz w:val="22"/>
        </w:rPr>
        <w:t>l</w:t>
      </w:r>
      <w:r>
        <w:rPr>
          <w:color w:val="000000"/>
        </w:rPr>
        <w:t>    </w:t>
      </w:r>
      <w:r>
        <w:rPr>
          <w:rFonts w:ascii="Calibri;sans-serif" w:hAnsi="Calibri;sans-serif"/>
          <w:b w:val="false"/>
          <w:color w:val="000000"/>
          <w:sz w:val="22"/>
        </w:rPr>
        <w:t>18.5% of the on-target Annual Bonus shall be based on attainment of the New MRR Booking Goal ($2.163M)</w:t>
      </w:r>
    </w:p>
    <w:p>
      <w:pPr>
        <w:pStyle w:val="TextBody"/>
        <w:spacing w:lineRule="auto" w:line="288" w:before="0" w:after="180"/>
        <w:ind w:left="0" w:right="0" w:hanging="720"/>
        <w:jc w:val="both"/>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Linear from 75% to 100% of Annual New MRR Booking Goal; zero under 75% attainment (i.e., under $1.62M new MRR booking). Double rate north of 100% attainment up to a maximum of 150% attainment (which is attained at 125% of the Annual New MRR Booking Goal, i.e., at $2.7038M new MRR booking)</w:t>
      </w:r>
    </w:p>
    <w:p>
      <w:pPr>
        <w:pStyle w:val="TextBody"/>
        <w:spacing w:lineRule="auto" w:line="288" w:before="0" w:after="180"/>
        <w:ind w:left="0" w:right="0" w:hanging="720"/>
        <w:jc w:val="both"/>
        <w:rPr/>
      </w:pPr>
      <w:r>
        <w:rPr>
          <w:rFonts w:ascii="Wingdings;sans-serif" w:hAnsi="Wingdings;sans-serif"/>
          <w:b w:val="false"/>
          <w:color w:val="000000"/>
          <w:sz w:val="22"/>
        </w:rPr>
        <w:t>l</w:t>
      </w:r>
      <w:r>
        <w:rPr>
          <w:color w:val="000000"/>
        </w:rPr>
        <w:t>    </w:t>
      </w:r>
      <w:r>
        <w:rPr>
          <w:rFonts w:ascii="Calibri;sans-serif" w:hAnsi="Calibri;sans-serif"/>
          <w:b w:val="false"/>
          <w:color w:val="000000"/>
          <w:sz w:val="22"/>
        </w:rPr>
        <w:t>18.5% of the on-target Annual Bonus shall be based on attainment of the Average % Gross MRR Churn Goal (-9.8%)</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150% for better than 7.5% Gross MRR Churn</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140% for 7.5-8% Gross MRR Churn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130% for 8-8.5% Gross MRR Churn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120% for 8.5-9% Gross MRR Churn</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110% for 9-9.5% Gross MRR Churn</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100% for 9.5-10% Gross MRR Churn</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90% for 10-11% Gross MRR Churn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80% for 11-12% Gross MRR Churn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70% for 12-13% Gross MRR Churn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60% for 13-14% Gross MRR Churn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50% for 14-15% Gross MRR Churn</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No bonus for the churn component if over 15% Gross MRR Churn</w:t>
      </w:r>
    </w:p>
    <w:p>
      <w:pPr>
        <w:pStyle w:val="TextBody"/>
        <w:spacing w:lineRule="auto" w:line="288" w:before="0" w:after="180"/>
        <w:ind w:left="0" w:right="0" w:hanging="720"/>
        <w:rPr/>
      </w:pPr>
      <w:r>
        <w:rPr>
          <w:rFonts w:ascii="Wingdings;sans-serif" w:hAnsi="Wingdings;sans-serif"/>
          <w:b w:val="false"/>
          <w:color w:val="000000"/>
          <w:sz w:val="22"/>
        </w:rPr>
        <w:t>l</w:t>
      </w:r>
      <w:r>
        <w:rPr>
          <w:color w:val="000000"/>
        </w:rPr>
        <w:t>    </w:t>
      </w:r>
      <w:r>
        <w:rPr>
          <w:rFonts w:ascii="Calibri;sans-serif" w:hAnsi="Calibri;sans-serif"/>
          <w:b w:val="false"/>
          <w:color w:val="000000"/>
          <w:sz w:val="22"/>
        </w:rPr>
        <w:t>18.5% of the on-target Annual Bonus shall be based on attainment of the Free Cash Flow Annual Goal (</w:t>
      </w:r>
      <w:r>
        <w:rPr>
          <w:rFonts w:ascii="Calibri;sans-serif" w:hAnsi="Calibri;sans-serif"/>
          <w:b w:val="false"/>
          <w:color w:val="000000"/>
          <w:sz w:val="20"/>
        </w:rPr>
        <w:t>negative</w:t>
      </w:r>
      <w:r>
        <w:rPr>
          <w:color w:val="000000"/>
        </w:rPr>
        <w:t xml:space="preserve"> </w:t>
      </w:r>
      <w:r>
        <w:rPr>
          <w:rFonts w:ascii="Calibri;sans-serif" w:hAnsi="Calibri;sans-serif"/>
          <w:b w:val="false"/>
          <w:color w:val="000000"/>
          <w:sz w:val="22"/>
        </w:rPr>
        <w:t>$11.546M)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130% for better than ($7.0M)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120% for ($7.0M) ($8.5M)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110% for ($8.5M) ($10.0M)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100% for ($10.0M) ($11.5M)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90% for ($11.5M) ($12.0M)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80% for ($12.0M) ($12.5M)</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70% for ($12.5M) ($13.0M)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 xml:space="preserve">60% for ($13.0M) ($13.5M) </w: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50% for ($13.5M) ($14.0M)</w:t>
      </w:r>
      <w:r>
        <w:br w:type="page"/>
      </w:r>
    </w:p>
    <w:p>
      <w:pPr>
        <w:pStyle w:val="TextBody"/>
        <w:spacing w:before="0" w:after="0"/>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54940"/>
                <wp:effectExtent l="0" t="0" r="0" b="0"/>
                <wp:wrapNone/>
                <wp:docPr id="524" name="Frame517"/>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4</w:t>
                      </w:r>
                    </w:p>
                  </w:txbxContent>
                </v:textbox>
              </v:rect>
            </w:pict>
          </mc:Fallback>
        </mc:AlternateContent>
      </w:r>
    </w:p>
    <w:p>
      <w:pPr>
        <w:pStyle w:val="TextBody"/>
        <w:spacing w:lineRule="auto" w:line="288" w:before="0" w:after="180"/>
        <w:ind w:left="0" w:right="0" w:hanging="720"/>
        <w:rPr/>
      </w:pPr>
      <w:r>
        <w:rPr>
          <w:rFonts w:ascii="Wingdings;sans-serif" w:hAnsi="Wingdings;sans-serif"/>
          <w:b w:val="false"/>
          <w:color w:val="000000"/>
          <w:sz w:val="20"/>
        </w:rPr>
        <w:t>m</w:t>
      </w:r>
      <w:r>
        <w:rPr>
          <w:color w:val="000000"/>
        </w:rPr>
        <w:t>    </w:t>
      </w:r>
      <w:r>
        <w:rPr>
          <w:rFonts w:ascii="Calibri;sans-serif" w:hAnsi="Calibri;sans-serif"/>
          <w:b w:val="false"/>
          <w:color w:val="000000"/>
          <w:sz w:val="22"/>
        </w:rPr>
        <w:t>0% under ($14.0M)</w:t>
      </w:r>
    </w:p>
    <w:p>
      <w:pPr>
        <w:pStyle w:val="TextBody"/>
        <w:spacing w:lineRule="auto" w:line="288" w:before="0" w:after="180"/>
        <w:ind w:left="0" w:right="0" w:hanging="720"/>
        <w:rPr/>
      </w:pPr>
      <w:r>
        <w:rPr>
          <w:rFonts w:ascii="Wingdings;sans-serif" w:hAnsi="Wingdings;sans-serif"/>
          <w:b w:val="false"/>
          <w:color w:val="000000"/>
          <w:sz w:val="22"/>
        </w:rPr>
        <w:t>l</w:t>
      </w:r>
      <w:r>
        <w:rPr>
          <w:color w:val="000000"/>
        </w:rPr>
        <w:t>    </w:t>
      </w:r>
      <w:r>
        <w:rPr>
          <w:rFonts w:ascii="Calibri;sans-serif" w:hAnsi="Calibri;sans-serif"/>
          <w:b w:val="false"/>
          <w:color w:val="000000"/>
          <w:sz w:val="22"/>
        </w:rPr>
        <w:t>44.5% of the on-target Annual Bonus shall be based on the attainment of OKRs defined by Company (no attainment beyond 100%)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54940"/>
                <wp:effectExtent l="0" t="0" r="0" b="0"/>
                <wp:wrapNone/>
                <wp:docPr id="525" name="Frame518"/>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5</w:t>
                      </w:r>
                    </w:p>
                  </w:txbxContent>
                </v:textbox>
              </v:rect>
            </w:pict>
          </mc:Fallback>
        </mc:AlternateContent>
      </w:r>
    </w:p>
    <w:p>
      <w:pPr>
        <w:pStyle w:val="TextBody"/>
        <w:spacing w:lineRule="auto" w:line="288" w:before="0" w:after="180"/>
        <w:jc w:val="center"/>
        <w:rPr>
          <w:rFonts w:ascii="Calibri;sans-serif" w:hAnsi="Calibri;sans-serif"/>
          <w:b/>
          <w:color w:val="000000"/>
          <w:sz w:val="22"/>
        </w:rPr>
      </w:pPr>
      <w:r>
        <w:rPr>
          <w:rFonts w:ascii="Calibri;sans-serif" w:hAnsi="Calibri;sans-serif"/>
          <w:b/>
          <w:color w:val="000000"/>
          <w:sz w:val="22"/>
        </w:rPr>
        <w:t>ADDENDUM TO PERSONAL EMPLOYMENT AGREEMENT</w:t>
      </w:r>
    </w:p>
    <w:p>
      <w:pPr>
        <w:pStyle w:val="TextBody"/>
        <w:spacing w:lineRule="auto" w:line="288" w:before="0" w:after="180"/>
        <w:jc w:val="both"/>
        <w:rPr/>
      </w:pPr>
      <w:r>
        <w:rPr>
          <w:rFonts w:ascii="Calibri;sans-serif" w:hAnsi="Calibri;sans-serif"/>
          <w:b w:val="false"/>
          <w:color w:val="000000"/>
          <w:sz w:val="22"/>
        </w:rPr>
        <w:t xml:space="preserve">THIS ADDENDUM TO EMPLOYMENT AGREEMENT (this </w:t>
      </w:r>
      <w:r>
        <w:rPr>
          <w:rFonts w:ascii="Calibri;sans-serif" w:hAnsi="Calibri;sans-serif"/>
          <w:b/>
          <w:color w:val="000000"/>
          <w:sz w:val="22"/>
        </w:rPr>
        <w:t>"Addendum"</w:t>
      </w:r>
      <w:r>
        <w:rPr>
          <w:rFonts w:ascii="Calibri;sans-serif" w:hAnsi="Calibri;sans-serif"/>
          <w:b w:val="false"/>
          <w:color w:val="000000"/>
          <w:sz w:val="22"/>
        </w:rPr>
        <w:t xml:space="preserve">) is made and entered into this 30 day of December 2019 by and between Kaltura Ltd., (the </w:t>
      </w:r>
      <w:r>
        <w:rPr>
          <w:rFonts w:ascii="Calibri;sans-serif" w:hAnsi="Calibri;sans-serif"/>
          <w:b/>
          <w:color w:val="000000"/>
          <w:sz w:val="22"/>
        </w:rPr>
        <w:t>"Company"</w:t>
      </w:r>
      <w:r>
        <w:rPr>
          <w:rFonts w:ascii="Calibri;sans-serif" w:hAnsi="Calibri;sans-serif"/>
          <w:b w:val="false"/>
          <w:color w:val="000000"/>
          <w:sz w:val="22"/>
        </w:rPr>
        <w:t xml:space="preserve">),and Ron Yekutiel (the </w:t>
      </w:r>
      <w:r>
        <w:rPr>
          <w:rFonts w:ascii="Calibri;sans-serif" w:hAnsi="Calibri;sans-serif"/>
          <w:b/>
          <w:color w:val="000000"/>
          <w:sz w:val="22"/>
        </w:rPr>
        <w:t>"Employee"</w:t>
      </w:r>
      <w:r>
        <w:rPr>
          <w:rFonts w:ascii="Calibri;sans-serif" w:hAnsi="Calibri;sans-serif"/>
          <w:b w:val="false"/>
          <w:color w:val="000000"/>
          <w:sz w:val="22"/>
        </w:rPr>
        <w:t xml:space="preserve">). Company and Employee are sometimes referred to herein individually as a </w:t>
      </w:r>
      <w:r>
        <w:rPr>
          <w:rFonts w:ascii="Calibri;sans-serif" w:hAnsi="Calibri;sans-serif"/>
          <w:b/>
          <w:color w:val="000000"/>
          <w:sz w:val="22"/>
        </w:rPr>
        <w:t>"Party"</w:t>
      </w:r>
      <w:r>
        <w:rPr>
          <w:color w:val="000000"/>
        </w:rPr>
        <w:t xml:space="preserve"> </w:t>
      </w:r>
      <w:r>
        <w:rPr>
          <w:rFonts w:ascii="Calibri;sans-serif" w:hAnsi="Calibri;sans-serif"/>
          <w:b w:val="false"/>
          <w:color w:val="000000"/>
          <w:sz w:val="22"/>
        </w:rPr>
        <w:t xml:space="preserve">and collectively as the </w:t>
      </w:r>
      <w:r>
        <w:rPr>
          <w:rFonts w:ascii="Calibri;sans-serif" w:hAnsi="Calibri;sans-serif"/>
          <w:b/>
          <w:color w:val="000000"/>
          <w:sz w:val="22"/>
        </w:rPr>
        <w:t>"Parties"</w:t>
      </w:r>
      <w:r>
        <w:rPr>
          <w:rFonts w:ascii="Calibri;sans-serif" w:hAnsi="Calibri;sans-serif"/>
          <w:b w:val="false"/>
          <w:color w:val="000000"/>
          <w:sz w:val="22"/>
        </w:rPr>
        <w:t>.</w:t>
      </w:r>
    </w:p>
    <w:p>
      <w:pPr>
        <w:pStyle w:val="TextBody"/>
        <w:spacing w:lineRule="auto" w:line="288" w:before="0" w:after="180"/>
        <w:ind w:left="0" w:right="0" w:firstLine="720"/>
        <w:jc w:val="both"/>
        <w:rPr/>
      </w:pPr>
      <w:r>
        <w:rPr>
          <w:rFonts w:ascii="Calibri;sans-serif" w:hAnsi="Calibri;sans-serif"/>
          <w:b/>
          <w:color w:val="000000"/>
          <w:sz w:val="22"/>
        </w:rPr>
        <w:t>WHEREAS,</w:t>
      </w:r>
      <w:r>
        <w:rPr>
          <w:color w:val="000000"/>
        </w:rPr>
        <w:t xml:space="preserve"> </w:t>
      </w:r>
      <w:r>
        <w:rPr>
          <w:rFonts w:ascii="Calibri;sans-serif" w:hAnsi="Calibri;sans-serif"/>
          <w:b w:val="false"/>
          <w:color w:val="000000"/>
          <w:sz w:val="22"/>
        </w:rPr>
        <w:t xml:space="preserve">the Parties entered into an Employment Agreement dated 1 May 2012 as was amended from time to time (collectively, the </w:t>
      </w:r>
      <w:r>
        <w:rPr>
          <w:rFonts w:ascii="Calibri;sans-serif" w:hAnsi="Calibri;sans-serif"/>
          <w:b/>
          <w:color w:val="000000"/>
          <w:sz w:val="22"/>
        </w:rPr>
        <w:t>"Employment Agreement"</w:t>
      </w:r>
      <w:r>
        <w:rPr>
          <w:rFonts w:ascii="Calibri;sans-serif" w:hAnsi="Calibri;sans-serif"/>
          <w:b w:val="false"/>
          <w:color w:val="000000"/>
          <w:sz w:val="22"/>
        </w:rPr>
        <w:t>);</w:t>
      </w:r>
    </w:p>
    <w:p>
      <w:pPr>
        <w:pStyle w:val="TextBody"/>
        <w:spacing w:lineRule="auto" w:line="288" w:before="0" w:after="18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the Parties wish to amend or add certain terms and provisions to the Employment Agreement as detailed below;</w:t>
      </w:r>
    </w:p>
    <w:p>
      <w:pPr>
        <w:pStyle w:val="TextBody"/>
        <w:spacing w:lineRule="auto" w:line="288" w:before="0" w:after="180"/>
        <w:ind w:left="0" w:right="0" w:firstLine="720"/>
        <w:jc w:val="both"/>
        <w:rPr/>
      </w:pPr>
      <w:r>
        <w:rPr>
          <w:rFonts w:ascii="Calibri;sans-serif" w:hAnsi="Calibri;sans-serif"/>
          <w:b/>
          <w:color w:val="000000"/>
          <w:sz w:val="22"/>
        </w:rPr>
        <w:t>NOW, THEREFORE</w:t>
      </w:r>
      <w:r>
        <w:rPr>
          <w:rFonts w:ascii="Calibri;sans-serif" w:hAnsi="Calibri;sans-serif"/>
          <w:b w:val="false"/>
          <w:color w:val="000000"/>
          <w:sz w:val="22"/>
        </w:rPr>
        <w:t>, in consideration of the premises and mutual covenants and conditions herein contained, the Parties agree as follows:</w:t>
      </w:r>
    </w:p>
    <w:p>
      <w:pPr>
        <w:pStyle w:val="TextBody"/>
        <w:spacing w:lineRule="auto" w:line="288" w:before="0" w:after="180"/>
        <w:ind w:left="0" w:right="0" w:firstLine="720"/>
        <w:jc w:val="both"/>
        <w:rPr>
          <w:rFonts w:ascii="Calibri;sans-serif" w:hAnsi="Calibri;sans-serif"/>
          <w:b w:val="false"/>
          <w:i/>
          <w:color w:val="000000"/>
          <w:sz w:val="22"/>
        </w:rPr>
      </w:pPr>
      <w:r>
        <w:rPr>
          <w:rFonts w:ascii="Calibri;sans-serif" w:hAnsi="Calibri;sans-serif"/>
          <w:b w:val="false"/>
          <w:i/>
          <w:color w:val="000000"/>
          <w:sz w:val="22"/>
        </w:rPr>
        <w:t>Capitalized terms used but not defined herein have the meanings assigned to them in the Employment Agreement.</w:t>
      </w:r>
    </w:p>
    <w:p>
      <w:pPr>
        <w:pStyle w:val="TextBody"/>
        <w:spacing w:lineRule="auto" w:line="288" w:before="0" w:after="0"/>
        <w:jc w:val="both"/>
        <w:rPr/>
      </w:pPr>
      <w:r>
        <w:rPr>
          <w:rFonts w:ascii="Calibri;sans-serif" w:hAnsi="Calibri;sans-serif"/>
          <w:b w:val="false"/>
          <w:color w:val="000000"/>
          <w:sz w:val="22"/>
        </w:rPr>
        <w:t>1.    </w:t>
      </w:r>
      <w:r>
        <w:rPr>
          <w:rFonts w:ascii="Calibri;sans-serif" w:hAnsi="Calibri;sans-serif"/>
          <w:b w:val="false"/>
          <w:color w:val="000000"/>
          <w:sz w:val="22"/>
          <w:u w:val="single"/>
        </w:rPr>
        <w:t>Salary</w:t>
      </w:r>
    </w:p>
    <w:p>
      <w:pPr>
        <w:pStyle w:val="TextBody"/>
        <w:spacing w:lineRule="auto" w:line="288" w:before="0" w:after="0"/>
        <w:ind w:left="0" w:right="0" w:hanging="360"/>
        <w:jc w:val="both"/>
        <w:rPr/>
      </w:pPr>
      <w:r>
        <w:rPr>
          <w:rFonts w:ascii="Calibri;sans-serif" w:hAnsi="Calibri;sans-serif"/>
          <w:b w:val="false"/>
          <w:color w:val="000000"/>
          <w:sz w:val="22"/>
        </w:rPr>
        <w:t xml:space="preserve">a.    Effective from 1 January 2020 (the </w:t>
      </w:r>
      <w:r>
        <w:rPr>
          <w:rFonts w:ascii="Calibri;sans-serif" w:hAnsi="Calibri;sans-serif"/>
          <w:b/>
          <w:color w:val="000000"/>
          <w:sz w:val="22"/>
        </w:rPr>
        <w:t>"Salary Increase Date"</w:t>
      </w:r>
      <w:r>
        <w:rPr>
          <w:rFonts w:ascii="Calibri;sans-serif" w:hAnsi="Calibri;sans-serif"/>
          <w:b w:val="false"/>
          <w:color w:val="000000"/>
          <w:sz w:val="22"/>
        </w:rPr>
        <w:t>) Employee's Monthly Salary shall be as follows: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    Base Salary shall be NIS 32,800 (gross)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ii.    Global Overtime Pay shall be NIS 8,200 (gross)</w:t>
      </w:r>
    </w:p>
    <w:p>
      <w:pPr>
        <w:pStyle w:val="TextBody"/>
        <w:spacing w:lineRule="auto" w:line="288" w:before="0" w:after="180"/>
        <w:jc w:val="both"/>
        <w:rPr>
          <w:rFonts w:ascii="Calibri;sans-serif" w:hAnsi="Calibri;sans-serif"/>
          <w:b w:val="false"/>
          <w:color w:val="000000"/>
          <w:sz w:val="22"/>
        </w:rPr>
      </w:pPr>
      <w:r>
        <w:rPr>
          <w:rFonts w:ascii="Calibri;sans-serif" w:hAnsi="Calibri;sans-serif"/>
          <w:b w:val="false"/>
          <w:color w:val="000000"/>
          <w:sz w:val="22"/>
        </w:rPr>
        <w:t>iii.    Monthly Salary (Base + Global Overtime Pay) shall be NIS 41,000(gross)</w:t>
      </w:r>
    </w:p>
    <w:p>
      <w:pPr>
        <w:pStyle w:val="TextBody"/>
        <w:spacing w:lineRule="auto" w:line="288" w:before="0" w:after="0"/>
        <w:jc w:val="both"/>
        <w:rPr/>
      </w:pPr>
      <w:r>
        <w:rPr>
          <w:rFonts w:ascii="Calibri;sans-serif" w:hAnsi="Calibri;sans-serif"/>
          <w:b w:val="false"/>
          <w:color w:val="000000"/>
          <w:sz w:val="22"/>
        </w:rPr>
        <w:t>2.    </w:t>
      </w:r>
      <w:r>
        <w:rPr>
          <w:rFonts w:ascii="Calibri;sans-serif" w:hAnsi="Calibri;sans-serif"/>
          <w:b w:val="false"/>
          <w:color w:val="000000"/>
          <w:sz w:val="22"/>
          <w:u w:val="single"/>
        </w:rPr>
        <w:t>Bonus</w:t>
      </w:r>
    </w:p>
    <w:p>
      <w:pPr>
        <w:pStyle w:val="TextBody"/>
        <w:spacing w:lineRule="auto" w:line="288"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a.    The applicable Bonus for the 2020 calendar year shall be as follows: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    The maximum Annual Bonus shall be 369,600 NIS (gross).</w:t>
      </w:r>
    </w:p>
    <w:p>
      <w:pPr>
        <w:pStyle w:val="TextBody"/>
        <w:spacing w:lineRule="auto" w:line="288" w:before="0" w:after="180"/>
        <w:jc w:val="both"/>
        <w:rPr>
          <w:rFonts w:ascii="Calibri;sans-serif" w:hAnsi="Calibri;sans-serif"/>
          <w:b w:val="false"/>
          <w:color w:val="000000"/>
          <w:sz w:val="22"/>
        </w:rPr>
      </w:pPr>
      <w:r>
        <w:rPr>
          <w:rFonts w:ascii="Calibri;sans-serif" w:hAnsi="Calibri;sans-serif"/>
          <w:b w:val="false"/>
          <w:color w:val="000000"/>
          <w:sz w:val="22"/>
        </w:rPr>
        <w:t>ii.    The maximum Annual Additional Stretch Bonus shall be 88,920 NIS (gross)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b.    Employee's entitlement to the Annual Bonus and Additional Stretch Bonus shall be determined, for each calendar year, on the basis of Employee's (and the Company's) attainment of certain goals and objectives defined by the Company. The goals and objectives for calendar year 2020 will be set by the Compensation Committee that will be held on February 2020 ("Qualifying Objectives").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c.    As of January 2020, the Employee's Monthly Bonus Amount shall be 21,560 NIS (gross) (i.e., the equivalent of 70% of the pro-rated Annual Bonus).</w:t>
      </w:r>
    </w:p>
    <w:p>
      <w:pPr>
        <w:pStyle w:val="TextBody"/>
        <w:spacing w:lineRule="auto" w:line="288" w:before="0" w:after="0"/>
        <w:jc w:val="both"/>
        <w:rPr/>
      </w:pPr>
      <w:r>
        <w:rPr>
          <w:rFonts w:ascii="Calibri;sans-serif" w:hAnsi="Calibri;sans-serif"/>
          <w:b w:val="false"/>
          <w:color w:val="000000"/>
          <w:sz w:val="22"/>
        </w:rPr>
        <w:t>3.    </w:t>
      </w:r>
      <w:r>
        <w:rPr>
          <w:rFonts w:ascii="Calibri;sans-serif" w:hAnsi="Calibri;sans-serif"/>
          <w:b w:val="false"/>
          <w:color w:val="000000"/>
          <w:sz w:val="22"/>
          <w:u w:val="single"/>
        </w:rPr>
        <w:t>Car</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a.    Section 3(v) of the Employment Agreement dated 1 May 2012 shall be deleted and replaced with the following:</w:t>
      </w:r>
    </w:p>
    <w:p>
      <w:pPr>
        <w:pStyle w:val="TextBody"/>
        <w:spacing w:lineRule="auto" w:line="288" w:before="0" w:after="180"/>
        <w:jc w:val="both"/>
        <w:rPr>
          <w:rFonts w:ascii="Calibri;sans-serif" w:hAnsi="Calibri;sans-serif"/>
          <w:b w:val="false"/>
          <w:color w:val="000000"/>
          <w:sz w:val="22"/>
        </w:rPr>
      </w:pPr>
      <w:r>
        <w:rPr>
          <w:rFonts w:ascii="Calibri;sans-serif" w:hAnsi="Calibri;sans-serif"/>
          <w:b w:val="false"/>
          <w:color w:val="000000"/>
          <w:sz w:val="22"/>
        </w:rPr>
        <w:t>The Company shall provide the Employee with a leased or rented car, Group 3 as indicated in the car's license, (the "Car") and cover all the operating expenses of the Car(excluding parking expenses &amp; traffic, tickets, fines or any other expenses as result of unlawful conduct by the Employee, all which shall be the responsibility of, and paid for by the Employee). The applicable tax imposed with regards to the Car will be grossed up and borne by the Company ("Gilum").</w:t>
      </w:r>
      <w:r>
        <w:br w:type="page"/>
      </w:r>
    </w:p>
    <w:p>
      <w:pPr>
        <w:pStyle w:val="TextBody"/>
        <w:spacing w:before="0" w:after="0"/>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54940"/>
                <wp:effectExtent l="0" t="0" r="0" b="0"/>
                <wp:wrapNone/>
                <wp:docPr id="526" name="Frame519"/>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1</w:t>
                      </w:r>
                    </w:p>
                  </w:txbxContent>
                </v:textbox>
              </v:rect>
            </w:pict>
          </mc:Fallback>
        </mc:AlternateContent>
      </w:r>
    </w:p>
    <w:p>
      <w:pPr>
        <w:pStyle w:val="TextBody"/>
        <w:spacing w:lineRule="auto" w:line="288" w:before="0" w:after="180"/>
        <w:ind w:left="0" w:right="0" w:hanging="720"/>
        <w:jc w:val="both"/>
        <w:rPr>
          <w:rFonts w:ascii="Calibri;sans-serif" w:hAnsi="Calibri;sans-serif"/>
          <w:b w:val="false"/>
          <w:color w:val="000000"/>
          <w:sz w:val="22"/>
        </w:rPr>
      </w:pPr>
      <w:r>
        <w:rPr>
          <w:rFonts w:ascii="Calibri;sans-serif" w:hAnsi="Calibri;sans-serif"/>
          <w:b w:val="false"/>
          <w:color w:val="000000"/>
          <w:sz w:val="22"/>
        </w:rPr>
        <w:t>4.    Except as expressly set forth herein, the terms and conditions of the Employment Agreement shall remain in full force and effect and each Party hereto agrees to be bound by the terms thereof.</w:t>
      </w:r>
      <w:r>
        <w:br w:type="page"/>
      </w:r>
    </w:p>
    <w:p>
      <w:pPr>
        <w:pStyle w:val="TextBody"/>
        <w:spacing w:before="0" w:after="0"/>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54940"/>
                <wp:effectExtent l="0" t="0" r="0" b="0"/>
                <wp:wrapNone/>
                <wp:docPr id="527" name="Frame520"/>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2</w:t>
                      </w:r>
                    </w:p>
                  </w:txbxContent>
                </v:textbox>
              </v:rect>
            </w:pict>
          </mc:Fallback>
        </mc:AlternateContent>
      </w:r>
    </w:p>
    <w:p>
      <w:pPr>
        <w:pStyle w:val="TextBody"/>
        <w:spacing w:lineRule="auto" w:line="288" w:before="0" w:after="180"/>
        <w:rPr>
          <w:rFonts w:ascii="Calibri;sans-serif" w:hAnsi="Calibri;sans-serif"/>
          <w:b w:val="false"/>
          <w:color w:val="000000"/>
          <w:sz w:val="22"/>
        </w:rPr>
      </w:pPr>
      <w:r>
        <w:rPr>
          <w:rFonts w:ascii="Calibri;sans-serif" w:hAnsi="Calibri;sans-serif"/>
          <w:b w:val="false"/>
          <w:color w:val="000000"/>
          <w:sz w:val="22"/>
        </w:rPr>
        <w:t xml:space="preserve">IN WITNESS WHEREOF, the Parties hereto have executed this Addendum as of the date set forth above. </w:t>
      </w:r>
    </w:p>
    <w:tbl>
      <w:tblPr>
        <w:tblW w:w="4802" w:type="dxa"/>
        <w:jc w:val="left"/>
        <w:tblInd w:w="0" w:type="dxa"/>
        <w:tblCellMar>
          <w:top w:w="28" w:type="dxa"/>
          <w:left w:w="28" w:type="dxa"/>
          <w:bottom w:w="28" w:type="dxa"/>
          <w:right w:w="28" w:type="dxa"/>
        </w:tblCellMar>
      </w:tblPr>
      <w:tblGrid>
        <w:gridCol w:w="275"/>
        <w:gridCol w:w="241"/>
        <w:gridCol w:w="241"/>
        <w:gridCol w:w="492"/>
        <w:gridCol w:w="492"/>
        <w:gridCol w:w="501"/>
        <w:gridCol w:w="109"/>
        <w:gridCol w:w="109"/>
        <w:gridCol w:w="109"/>
        <w:gridCol w:w="234"/>
        <w:gridCol w:w="234"/>
        <w:gridCol w:w="236"/>
        <w:gridCol w:w="443"/>
        <w:gridCol w:w="443"/>
        <w:gridCol w:w="643"/>
      </w:tblGrid>
      <w:tr>
        <w:trPr/>
        <w:tc>
          <w:tcPr>
            <w:tcW w:w="27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224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THE EMPLOYEE</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By:</w:t>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 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By:</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 Ron Yekutiel</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Name:</w:t>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Name: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Ron Yekutiel</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Title:</w:t>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Title: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CEO</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January 20,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January 21,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Calibri;sans-serif" w:hAnsi="Calibri;sans-serif"/>
          <w:b/>
          <w:color w:val="000000"/>
          <w:sz w:val="22"/>
        </w:rPr>
      </w:pPr>
      <w:r>
        <w:rPr>
          <w:rFonts w:ascii="Calibri;sans-serif" w:hAnsi="Calibri;sans-serif"/>
          <w:b/>
          <w:color w:val="000000"/>
          <w:sz w:val="22"/>
        </w:rPr>
        <w:t>A</w:t>
      </w:r>
      <w:r>
        <w:rPr>
          <w:rFonts w:ascii="Calibri;sans-serif" w:hAnsi="Calibri;sans-serif"/>
          <w:b/>
          <w:color w:val="000000"/>
          <w:sz w:val="22"/>
        </w:rPr>
        <w:t>DDENDUM TO PERSONAL EMPLOYMENT AGREEMENT</w:t>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54940"/>
                <wp:effectExtent l="0" t="0" r="0" b="0"/>
                <wp:wrapNone/>
                <wp:docPr id="528" name="Frame521"/>
                <a:graphic xmlns:a="http://schemas.openxmlformats.org/drawingml/2006/main">
                  <a:graphicData uri="http://schemas.microsoft.com/office/word/2010/wordprocessingShape">
                    <wps:wsp>
                      <wps:cNvSpPr txBox="1"/>
                      <wps:spPr>
                        <a:xfrm>
                          <a:off x="0" y="0"/>
                          <a:ext cx="6480175" cy="154940"/>
                        </a:xfrm>
                        <a:prstGeom prst="rect"/>
                      </wps:spPr>
                      <wps:txb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100.4pt;mso-position-horizontal:left;mso-position-horizontal-relative:text">
                <v:textbox>
                  <w:txbxContent>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3</w:t>
                      </w:r>
                    </w:p>
                  </w:txbxContent>
                </v:textbox>
              </v:rect>
            </w:pict>
          </mc:Fallback>
        </mc:AlternateContent>
      </w:r>
    </w:p>
    <w:p>
      <w:pPr>
        <w:pStyle w:val="TextBody"/>
        <w:spacing w:lineRule="auto" w:line="288" w:before="0" w:after="240"/>
        <w:jc w:val="both"/>
        <w:rPr/>
      </w:pPr>
      <w:r>
        <w:rPr>
          <w:rFonts w:ascii="Calibri;sans-serif" w:hAnsi="Calibri;sans-serif"/>
          <w:b w:val="false"/>
          <w:color w:val="000000"/>
          <w:sz w:val="22"/>
        </w:rPr>
        <w:t>THIS ADDENDUM TO EMPLOYMENT AGREEMENT (this “</w:t>
      </w:r>
      <w:r>
        <w:rPr>
          <w:rFonts w:ascii="Calibri;sans-serif" w:hAnsi="Calibri;sans-serif"/>
          <w:b/>
          <w:color w:val="000000"/>
          <w:sz w:val="22"/>
        </w:rPr>
        <w:t>Addendum</w:t>
      </w:r>
      <w:r>
        <w:rPr>
          <w:color w:val="000000"/>
        </w:rPr>
        <w:t>”</w:t>
      </w:r>
      <w:r>
        <w:rPr>
          <w:rFonts w:ascii="Calibri;sans-serif" w:hAnsi="Calibri;sans-serif"/>
          <w:b w:val="false"/>
          <w:color w:val="000000"/>
          <w:sz w:val="22"/>
        </w:rPr>
        <w:t>) is made and entered into this 4 day of March 2021 by and between Kaltura Ltd., (the “</w:t>
      </w:r>
      <w:r>
        <w:rPr>
          <w:rFonts w:ascii="Calibri;sans-serif" w:hAnsi="Calibri;sans-serif"/>
          <w:b/>
          <w:color w:val="000000"/>
          <w:sz w:val="22"/>
        </w:rPr>
        <w:t>Company</w:t>
      </w:r>
      <w:r>
        <w:rPr>
          <w:color w:val="000000"/>
        </w:rPr>
        <w:t>”</w:t>
      </w:r>
      <w:r>
        <w:rPr>
          <w:rFonts w:ascii="Calibri;sans-serif" w:hAnsi="Calibri;sans-serif"/>
          <w:b w:val="false"/>
          <w:color w:val="000000"/>
          <w:sz w:val="22"/>
        </w:rPr>
        <w:t>), and Ron Yekutiel (the “</w:t>
      </w:r>
      <w:r>
        <w:rPr>
          <w:rFonts w:ascii="Calibri;sans-serif" w:hAnsi="Calibri;sans-serif"/>
          <w:b/>
          <w:color w:val="000000"/>
          <w:sz w:val="22"/>
        </w:rPr>
        <w:t>Employee</w:t>
      </w:r>
      <w:r>
        <w:rPr>
          <w:color w:val="000000"/>
        </w:rPr>
        <w:t>”</w:t>
      </w:r>
      <w:r>
        <w:rPr>
          <w:rFonts w:ascii="Calibri;sans-serif" w:hAnsi="Calibri;sans-serif"/>
          <w:b w:val="false"/>
          <w:color w:val="000000"/>
          <w:sz w:val="22"/>
        </w:rPr>
        <w:t>). The Company and the Employee are sometimes referred to herein individually as a “</w:t>
      </w:r>
      <w:r>
        <w:rPr>
          <w:rFonts w:ascii="Calibri;sans-serif" w:hAnsi="Calibri;sans-serif"/>
          <w:b/>
          <w:color w:val="000000"/>
          <w:sz w:val="22"/>
        </w:rPr>
        <w:t>Party</w:t>
      </w:r>
      <w:r>
        <w:rPr>
          <w:color w:val="000000"/>
        </w:rPr>
        <w:t xml:space="preserve">” </w:t>
      </w:r>
      <w:r>
        <w:rPr>
          <w:rFonts w:ascii="Calibri;sans-serif" w:hAnsi="Calibri;sans-serif"/>
          <w:b w:val="false"/>
          <w:color w:val="000000"/>
          <w:sz w:val="22"/>
        </w:rPr>
        <w:t>and collectively as the “</w:t>
      </w:r>
      <w:r>
        <w:rPr>
          <w:rFonts w:ascii="Calibri;sans-serif" w:hAnsi="Calibri;sans-serif"/>
          <w:b/>
          <w:color w:val="000000"/>
          <w:sz w:val="22"/>
        </w:rPr>
        <w:t>Parties</w:t>
      </w:r>
      <w:r>
        <w:rPr>
          <w:rFonts w:ascii="Calibri;sans-serif" w:hAnsi="Calibri;sans-serif"/>
          <w:b w:val="false"/>
          <w:color w:val="000000"/>
          <w:sz w:val="22"/>
        </w:rPr>
        <w:t>.”</w:t>
      </w:r>
    </w:p>
    <w:p>
      <w:pPr>
        <w:pStyle w:val="TextBody"/>
        <w:spacing w:lineRule="auto" w:line="288" w:before="0" w:after="24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the Parties entered into an Employment Agreement dated 1 May 2012 (as subsequently amended from time to time, the “</w:t>
      </w:r>
      <w:r>
        <w:rPr>
          <w:rFonts w:ascii="Calibri;sans-serif" w:hAnsi="Calibri;sans-serif"/>
          <w:b/>
          <w:color w:val="000000"/>
          <w:sz w:val="22"/>
        </w:rPr>
        <w:t>Employment</w:t>
      </w:r>
      <w:r>
        <w:rPr>
          <w:color w:val="000000"/>
        </w:rPr>
        <w:t xml:space="preserve"> </w:t>
      </w:r>
      <w:r>
        <w:rPr>
          <w:rFonts w:ascii="Calibri;sans-serif" w:hAnsi="Calibri;sans-serif"/>
          <w:b/>
          <w:color w:val="000000"/>
          <w:sz w:val="22"/>
        </w:rPr>
        <w:t>Agreement</w:t>
      </w:r>
      <w:r>
        <w:rPr>
          <w:color w:val="000000"/>
        </w:rPr>
        <w:t>”</w:t>
      </w:r>
      <w:r>
        <w:rPr>
          <w:rFonts w:ascii="Calibri;sans-serif" w:hAnsi="Calibri;sans-serif"/>
          <w:b w:val="false"/>
          <w:color w:val="000000"/>
          <w:sz w:val="22"/>
        </w:rPr>
        <w:t>);</w:t>
      </w:r>
    </w:p>
    <w:p>
      <w:pPr>
        <w:pStyle w:val="TextBody"/>
        <w:spacing w:lineRule="auto" w:line="288" w:before="0" w:after="24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xml:space="preserve">, the Parties wish to amend or add certain terms and provisions to the Employment Agreement as detailed below; </w:t>
      </w:r>
    </w:p>
    <w:p>
      <w:pPr>
        <w:pStyle w:val="TextBody"/>
        <w:spacing w:lineRule="auto" w:line="288" w:before="0" w:after="240"/>
        <w:ind w:left="0" w:right="0" w:firstLine="720"/>
        <w:jc w:val="both"/>
        <w:rPr/>
      </w:pPr>
      <w:r>
        <w:rPr>
          <w:rFonts w:ascii="Calibri;sans-serif" w:hAnsi="Calibri;sans-serif"/>
          <w:b/>
          <w:color w:val="000000"/>
          <w:sz w:val="22"/>
        </w:rPr>
        <w:t>NOW, THEREFORE</w:t>
      </w:r>
      <w:r>
        <w:rPr>
          <w:rFonts w:ascii="Calibri;sans-serif" w:hAnsi="Calibri;sans-serif"/>
          <w:b w:val="false"/>
          <w:color w:val="000000"/>
          <w:sz w:val="22"/>
        </w:rPr>
        <w:t>, in consideration of the premises and mutual covenants and conditions herein contained, the Parties agree as follows:</w:t>
      </w:r>
    </w:p>
    <w:p>
      <w:pPr>
        <w:pStyle w:val="TextBody"/>
        <w:spacing w:lineRule="auto" w:line="288" w:before="0" w:after="240"/>
        <w:ind w:left="0" w:right="0" w:firstLine="720"/>
        <w:jc w:val="both"/>
        <w:rPr>
          <w:rFonts w:ascii="Calibri;sans-serif" w:hAnsi="Calibri;sans-serif"/>
          <w:b w:val="false"/>
          <w:i/>
          <w:color w:val="000000"/>
          <w:sz w:val="22"/>
        </w:rPr>
      </w:pPr>
      <w:r>
        <w:rPr>
          <w:rFonts w:ascii="Calibri;sans-serif" w:hAnsi="Calibri;sans-serif"/>
          <w:b w:val="false"/>
          <w:i/>
          <w:color w:val="000000"/>
          <w:sz w:val="22"/>
        </w:rPr>
        <w:t>Capitalized terms used but not defined herein have the meanings assigned to them in the Employment Agreement.</w:t>
      </w:r>
    </w:p>
    <w:p>
      <w:pPr>
        <w:pStyle w:val="TextBody"/>
        <w:spacing w:lineRule="auto" w:line="288" w:before="0" w:after="0"/>
        <w:ind w:left="0" w:right="0" w:hanging="720"/>
        <w:jc w:val="both"/>
        <w:rPr/>
      </w:pPr>
      <w:r>
        <w:rPr>
          <w:rFonts w:ascii="Calibri;sans-serif" w:hAnsi="Calibri;sans-serif"/>
          <w:b w:val="false"/>
          <w:color w:val="000000"/>
          <w:sz w:val="22"/>
        </w:rPr>
        <w:t>1.</w:t>
      </w:r>
      <w:r>
        <w:rPr>
          <w:rFonts w:ascii="Calibri;sans-serif" w:hAnsi="Calibri;sans-serif"/>
          <w:b w:val="false"/>
          <w:color w:val="000000"/>
          <w:sz w:val="22"/>
          <w:u w:val="single"/>
        </w:rPr>
        <w:t>Salary</w:t>
      </w:r>
    </w:p>
    <w:p>
      <w:pPr>
        <w:pStyle w:val="TextBody"/>
        <w:spacing w:lineRule="auto" w:line="288" w:before="0" w:after="0"/>
        <w:ind w:left="0" w:right="0" w:hanging="360"/>
        <w:jc w:val="both"/>
        <w:rPr/>
      </w:pPr>
      <w:r>
        <w:rPr>
          <w:rFonts w:ascii="Calibri;sans-serif" w:hAnsi="Calibri;sans-serif"/>
          <w:b w:val="false"/>
          <w:color w:val="000000"/>
          <w:sz w:val="22"/>
        </w:rPr>
        <w:t>a.Effective from 1 January 2021 (the “</w:t>
      </w:r>
      <w:r>
        <w:rPr>
          <w:rFonts w:ascii="Calibri;sans-serif" w:hAnsi="Calibri;sans-serif"/>
          <w:b/>
          <w:color w:val="000000"/>
          <w:sz w:val="22"/>
        </w:rPr>
        <w:t>Salary Increase Date</w:t>
      </w:r>
      <w:r>
        <w:rPr>
          <w:color w:val="000000"/>
        </w:rPr>
        <w:t>”</w:t>
      </w:r>
      <w:r>
        <w:rPr>
          <w:rFonts w:ascii="Calibri;sans-serif" w:hAnsi="Calibri;sans-serif"/>
          <w:b w:val="false"/>
          <w:color w:val="000000"/>
          <w:sz w:val="22"/>
        </w:rPr>
        <w:t>), the Employee’s Monthly Salary shall be as follows:</w:t>
      </w:r>
    </w:p>
    <w:p>
      <w:pPr>
        <w:pStyle w:val="TextBody"/>
        <w:spacing w:lineRule="auto" w:line="288" w:before="0" w:after="0"/>
        <w:ind w:left="0" w:right="0" w:hanging="283"/>
        <w:jc w:val="both"/>
        <w:rPr>
          <w:rFonts w:ascii="Calibri;sans-serif" w:hAnsi="Calibri;sans-serif"/>
          <w:b w:val="false"/>
          <w:color w:val="000000"/>
          <w:sz w:val="22"/>
        </w:rPr>
      </w:pPr>
      <w:r>
        <w:rPr>
          <w:rFonts w:ascii="Calibri;sans-serif" w:hAnsi="Calibri;sans-serif"/>
          <w:b w:val="false"/>
          <w:color w:val="000000"/>
          <w:sz w:val="22"/>
        </w:rPr>
        <w:t>i.Base Salary shall be NIS 33,040 (gross)</w:t>
      </w:r>
    </w:p>
    <w:p>
      <w:pPr>
        <w:pStyle w:val="TextBody"/>
        <w:spacing w:lineRule="auto" w:line="288" w:before="0" w:after="0"/>
        <w:ind w:left="0" w:right="0" w:hanging="283"/>
        <w:jc w:val="both"/>
        <w:rPr>
          <w:rFonts w:ascii="Calibri;sans-serif" w:hAnsi="Calibri;sans-serif"/>
          <w:b w:val="false"/>
          <w:color w:val="000000"/>
          <w:sz w:val="22"/>
        </w:rPr>
      </w:pPr>
      <w:r>
        <w:rPr>
          <w:rFonts w:ascii="Calibri;sans-serif" w:hAnsi="Calibri;sans-serif"/>
          <w:b w:val="false"/>
          <w:color w:val="000000"/>
          <w:sz w:val="22"/>
        </w:rPr>
        <w:t>ii.Global Overtime Pay shall be NIS 8,260 (gross)</w:t>
      </w:r>
    </w:p>
    <w:p>
      <w:pPr>
        <w:pStyle w:val="TextBody"/>
        <w:spacing w:lineRule="auto" w:line="288" w:before="0" w:after="480"/>
        <w:ind w:left="0" w:right="0" w:hanging="283"/>
        <w:jc w:val="both"/>
        <w:rPr>
          <w:rFonts w:ascii="Calibri;sans-serif" w:hAnsi="Calibri;sans-serif"/>
          <w:b w:val="false"/>
          <w:color w:val="000000"/>
          <w:sz w:val="22"/>
        </w:rPr>
      </w:pPr>
      <w:r>
        <w:rPr>
          <w:rFonts w:ascii="Calibri;sans-serif" w:hAnsi="Calibri;sans-serif"/>
          <w:b w:val="false"/>
          <w:color w:val="000000"/>
          <w:sz w:val="22"/>
        </w:rPr>
        <w:t xml:space="preserve">iii.Monthly Salary (Base + Global Overtime Pay) shall be NIS 41,300 (gross) </w:t>
      </w:r>
    </w:p>
    <w:p>
      <w:pPr>
        <w:pStyle w:val="TextBody"/>
        <w:spacing w:lineRule="auto" w:line="288" w:before="0" w:after="0"/>
        <w:ind w:left="0" w:right="0" w:hanging="720"/>
        <w:jc w:val="both"/>
        <w:rPr/>
      </w:pPr>
      <w:r>
        <w:rPr>
          <w:rFonts w:ascii="Calibri;sans-serif" w:hAnsi="Calibri;sans-serif"/>
          <w:b w:val="false"/>
          <w:color w:val="000000"/>
          <w:sz w:val="22"/>
        </w:rPr>
        <w:t>2.</w:t>
      </w:r>
      <w:r>
        <w:rPr>
          <w:rFonts w:ascii="Calibri;sans-serif" w:hAnsi="Calibri;sans-serif"/>
          <w:b w:val="false"/>
          <w:color w:val="000000"/>
          <w:sz w:val="22"/>
          <w:u w:val="single"/>
        </w:rPr>
        <w:t>Bonus</w:t>
      </w:r>
    </w:p>
    <w:p>
      <w:pPr>
        <w:pStyle w:val="TextBody"/>
        <w:spacing w:lineRule="auto" w:line="288" w:before="0" w:after="0"/>
        <w:ind w:left="0" w:right="0" w:hanging="284"/>
        <w:jc w:val="both"/>
        <w:rPr>
          <w:rFonts w:ascii="Calibri;sans-serif" w:hAnsi="Calibri;sans-serif"/>
          <w:b w:val="false"/>
          <w:color w:val="000000"/>
          <w:sz w:val="22"/>
        </w:rPr>
      </w:pPr>
      <w:r>
        <w:rPr>
          <w:rFonts w:ascii="Calibri;sans-serif" w:hAnsi="Calibri;sans-serif"/>
          <w:b w:val="false"/>
          <w:color w:val="000000"/>
          <w:sz w:val="22"/>
        </w:rPr>
        <w:t>a.The applicable Bonus for the 2021 calendar year shall be as follows:</w:t>
      </w:r>
    </w:p>
    <w:p>
      <w:pPr>
        <w:pStyle w:val="TextBody"/>
        <w:spacing w:lineRule="auto" w:line="288" w:before="0" w:after="0"/>
        <w:ind w:left="0" w:right="0" w:hanging="283"/>
        <w:jc w:val="both"/>
        <w:rPr/>
      </w:pPr>
      <w:r>
        <w:rPr>
          <w:rFonts w:ascii="Calibri;sans-serif" w:hAnsi="Calibri;sans-serif"/>
          <w:b w:val="false"/>
          <w:color w:val="000000"/>
          <w:sz w:val="22"/>
        </w:rPr>
        <w:t>i.The maximum Annual Bonus shall be</w:t>
      </w:r>
      <w:r>
        <w:rPr>
          <w:color w:val="000000"/>
        </w:rPr>
        <w:t xml:space="preserve"> </w:t>
      </w:r>
      <w:r>
        <w:rPr>
          <w:rFonts w:ascii="Calibri;sans-serif" w:hAnsi="Calibri;sans-serif"/>
          <w:b w:val="false"/>
          <w:color w:val="000000"/>
          <w:sz w:val="22"/>
        </w:rPr>
        <w:t xml:space="preserve">NIS 434,400 (gross). </w:t>
      </w:r>
    </w:p>
    <w:p>
      <w:pPr>
        <w:pStyle w:val="TextBody"/>
        <w:spacing w:lineRule="auto" w:line="288" w:before="0" w:after="0"/>
        <w:ind w:left="0" w:right="0" w:hanging="283"/>
        <w:jc w:val="both"/>
        <w:rPr/>
      </w:pPr>
      <w:r>
        <w:rPr>
          <w:rFonts w:ascii="Calibri;sans-serif" w:hAnsi="Calibri;sans-serif"/>
          <w:b w:val="false"/>
          <w:color w:val="000000"/>
          <w:sz w:val="22"/>
        </w:rPr>
        <w:t>ii.The maximum Annual Additional Stretch Bonus shall be</w:t>
      </w:r>
      <w:r>
        <w:rPr>
          <w:color w:val="000000"/>
        </w:rPr>
        <w:t xml:space="preserve"> </w:t>
      </w:r>
      <w:r>
        <w:rPr>
          <w:rFonts w:ascii="Calibri;sans-serif" w:hAnsi="Calibri;sans-serif"/>
          <w:b w:val="false"/>
          <w:color w:val="000000"/>
          <w:sz w:val="22"/>
        </w:rPr>
        <w:t>NIS 141,600 (gross)</w:t>
      </w:r>
    </w:p>
    <w:p>
      <w:pPr>
        <w:pStyle w:val="TextBody"/>
        <w:spacing w:before="0" w:after="0"/>
        <w:jc w:val="both"/>
        <w:rPr/>
      </w:pPr>
      <w:r>
        <w:rPr/>
      </w:r>
    </w:p>
    <w:p>
      <w:pPr>
        <w:pStyle w:val="TextBody"/>
        <w:spacing w:lineRule="auto" w:line="288" w:before="0" w:after="240"/>
        <w:ind w:left="0" w:right="0" w:hanging="284"/>
        <w:jc w:val="both"/>
        <w:rPr>
          <w:rFonts w:ascii="Calibri;sans-serif" w:hAnsi="Calibri;sans-serif"/>
          <w:b w:val="false"/>
          <w:color w:val="000000"/>
          <w:sz w:val="22"/>
        </w:rPr>
      </w:pPr>
      <w:r>
        <w:rPr>
          <w:rFonts w:ascii="Calibri;sans-serif" w:hAnsi="Calibri;sans-serif"/>
          <w:b w:val="false"/>
          <w:color w:val="000000"/>
          <w:sz w:val="22"/>
        </w:rPr>
        <w:t>b.The Employee’s entitlement to the Annual Bonus and Additional Stretch Bonus shall be determined, for each calendar year, on the basis of the attainment of certain financial and operational metrics set by Kaltura Inc.’s board of directors.</w:t>
      </w:r>
    </w:p>
    <w:p>
      <w:pPr>
        <w:pStyle w:val="TextBody"/>
        <w:spacing w:lineRule="auto" w:line="288" w:before="0" w:after="240"/>
        <w:ind w:left="0" w:right="0" w:hanging="284"/>
        <w:jc w:val="both"/>
        <w:rPr/>
      </w:pPr>
      <w:r>
        <w:rPr>
          <w:rFonts w:ascii="Calibri;sans-serif" w:hAnsi="Calibri;sans-serif"/>
          <w:b w:val="false"/>
          <w:color w:val="000000"/>
          <w:sz w:val="22"/>
        </w:rPr>
        <w:t>c.As of January 2021, the Employee’s Monthly Bonus Amount shall be</w:t>
      </w:r>
      <w:r>
        <w:rPr>
          <w:color w:val="000000"/>
        </w:rPr>
        <w:t xml:space="preserve"> </w:t>
      </w:r>
      <w:r>
        <w:rPr>
          <w:rFonts w:ascii="Calibri;sans-serif" w:hAnsi="Calibri;sans-serif"/>
          <w:b w:val="false"/>
          <w:color w:val="000000"/>
          <w:sz w:val="22"/>
        </w:rPr>
        <w:t>NIS 25,340 (gross) (i.e., the equivalent of 70% of the pro-rated Annual Bonus) on account of the Annual Bonus (section 2.a.i above).</w:t>
      </w:r>
    </w:p>
    <w:p>
      <w:pPr>
        <w:pStyle w:val="TextBody"/>
        <w:spacing w:lineRule="auto" w:line="288" w:before="0" w:after="0"/>
        <w:ind w:left="0" w:right="0" w:hanging="720"/>
        <w:jc w:val="both"/>
        <w:rPr/>
      </w:pPr>
      <w:r>
        <w:rPr>
          <w:rFonts w:ascii="Calibri;sans-serif" w:hAnsi="Calibri;sans-serif"/>
          <w:b w:val="false"/>
          <w:color w:val="000000"/>
          <w:sz w:val="22"/>
        </w:rPr>
        <w:t>3.</w:t>
      </w:r>
      <w:r>
        <w:rPr>
          <w:rFonts w:ascii="Calibri;sans-serif" w:hAnsi="Calibri;sans-serif"/>
          <w:b w:val="false"/>
          <w:color w:val="000000"/>
          <w:sz w:val="22"/>
          <w:u w:val="single"/>
        </w:rPr>
        <w:t>Pension Plan and Severance Pay</w:t>
      </w:r>
    </w:p>
    <w:p>
      <w:pPr>
        <w:pStyle w:val="TextBody"/>
        <w:spacing w:lineRule="auto" w:line="288" w:before="0" w:after="240"/>
        <w:jc w:val="both"/>
        <w:rPr>
          <w:rFonts w:ascii="Calibri;sans-serif" w:hAnsi="Calibri;sans-serif"/>
          <w:b w:val="false"/>
          <w:color w:val="000000"/>
          <w:sz w:val="22"/>
        </w:rPr>
      </w:pPr>
      <w:r>
        <w:rPr>
          <w:rFonts w:ascii="Calibri;sans-serif" w:hAnsi="Calibri;sans-serif"/>
          <w:b w:val="false"/>
          <w:color w:val="000000"/>
          <w:sz w:val="22"/>
        </w:rPr>
        <w:t>Section d of the Addendum to Personal Employment Agreement dated 28 May 2015 will be replaced with the following:</w:t>
      </w:r>
    </w:p>
    <w:p>
      <w:pPr>
        <w:pStyle w:val="TextBody"/>
        <w:spacing w:lineRule="auto" w:line="288"/>
        <w:ind w:left="0" w:right="0" w:hanging="284"/>
        <w:jc w:val="both"/>
        <w:rPr/>
      </w:pPr>
      <w:r>
        <w:rPr>
          <w:rFonts w:ascii="Calibri;sans-serif" w:hAnsi="Calibri;sans-serif"/>
          <w:b w:val="false"/>
          <w:color w:val="000000"/>
          <w:sz w:val="22"/>
        </w:rPr>
        <w:t>a.In the event that the Pension Insurance is Managers Insurance: the Company shall contribute 14.833% of the Monthly Salary (of which 8.33% will go towards severance, at least 6.5% are designated for premium payments and an additional percentage will go towards disability insurance, at a rate necessary to insure 75% of the Monthly Salary - “</w:t>
      </w:r>
      <w:r>
        <w:rPr>
          <w:rFonts w:ascii="Calibri;sans-serif" w:hAnsi="Calibri;sans-serif"/>
          <w:b/>
          <w:color w:val="000000"/>
          <w:sz w:val="22"/>
        </w:rPr>
        <w:t>Company Contribution</w:t>
      </w:r>
      <w:r>
        <w:rPr>
          <w:color w:val="000000"/>
        </w:rPr>
        <w:t>”</w:t>
      </w:r>
      <w:r>
        <w:rPr>
          <w:rFonts w:ascii="Calibri;sans-serif" w:hAnsi="Calibri;sans-serif"/>
          <w:b w:val="false"/>
          <w:color w:val="000000"/>
          <w:sz w:val="22"/>
        </w:rPr>
        <w:t xml:space="preserve">) and the Employee shall contribute 6% of the Monthly Salary </w:t>
      </w:r>
      <w:r>
        <w:br w:type="page"/>
      </w:r>
    </w:p>
    <w:p>
      <w:pPr>
        <w:pStyle w:val="TextBody"/>
        <w:spacing w:lineRule="auto" w:line="288" w:before="0" w:after="0"/>
        <w:jc w:val="both"/>
        <w:rPr/>
      </w:pPr>
      <w:r>
        <w:rPr>
          <w:rFonts w:ascii="Calibri;sans-serif" w:hAnsi="Calibri;sans-serif"/>
          <w:b w:val="false"/>
          <w:color w:val="000000"/>
          <w:sz w:val="22"/>
        </w:rPr>
        <w:t>p</w:t>
      </w:r>
      <w:r>
        <w:rPr>
          <w:rFonts w:ascii="Calibri;sans-serif" w:hAnsi="Calibri;sans-serif"/>
          <w:b w:val="false"/>
          <w:color w:val="000000"/>
          <w:sz w:val="22"/>
        </w:rPr>
        <w:t>ayment (“</w:t>
      </w:r>
      <w:r>
        <w:rPr>
          <w:rFonts w:ascii="Calibri;sans-serif" w:hAnsi="Calibri;sans-serif"/>
          <w:b/>
          <w:color w:val="000000"/>
          <w:sz w:val="22"/>
        </w:rPr>
        <w:t>Employee’s Contribution</w:t>
      </w:r>
      <w:r>
        <w:rPr>
          <w:color w:val="000000"/>
        </w:rPr>
        <w:t>”</w:t>
      </w:r>
      <w:r>
        <w:rPr>
          <w:rFonts w:ascii="Calibri;sans-serif" w:hAnsi="Calibri;sans-serif"/>
          <w:b w:val="false"/>
          <w:color w:val="000000"/>
          <w:sz w:val="22"/>
        </w:rPr>
        <w:t>) toward the premiums payable in respect of such insurance (the “</w:t>
      </w:r>
      <w:r>
        <w:rPr>
          <w:rFonts w:ascii="Calibri;sans-serif" w:hAnsi="Calibri;sans-serif"/>
          <w:b/>
          <w:color w:val="000000"/>
          <w:sz w:val="22"/>
        </w:rPr>
        <w:t>Pension Insurance Policy</w:t>
      </w:r>
      <w:r>
        <w:rPr>
          <w:color w:val="000000"/>
        </w:rPr>
        <w:t>”</w:t>
      </w:r>
      <w:r>
        <w:rPr>
          <w:rFonts w:ascii="Calibri;sans-serif" w:hAnsi="Calibri;sans-serif"/>
          <w:b w:val="false"/>
          <w:color w:val="000000"/>
          <w:sz w:val="22"/>
        </w:rPr>
        <w:t xml:space="preserve">). </w:t>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350520"/>
                <wp:effectExtent l="0" t="0" r="0" b="0"/>
                <wp:wrapNone/>
                <wp:docPr id="529" name="Frame52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spacing w:before="0" w:after="0"/>
                        <w:rPr/>
                      </w:pPr>
                      <w:r>
                        <w:rPr/>
                      </w:r>
                    </w:p>
                  </w:txbxContent>
                </v:textbox>
              </v:rect>
            </w:pict>
          </mc:Fallback>
        </mc:AlternateContent>
      </w:r>
    </w:p>
    <w:p>
      <w:pPr>
        <w:pStyle w:val="TextBody"/>
        <w:spacing w:lineRule="auto" w:line="288" w:before="0" w:after="0"/>
        <w:ind w:left="0" w:right="0" w:hanging="284"/>
        <w:jc w:val="both"/>
        <w:rPr/>
      </w:pPr>
      <w:r>
        <w:rPr>
          <w:rFonts w:ascii="Calibri;sans-serif" w:hAnsi="Calibri;sans-serif"/>
          <w:b w:val="false"/>
          <w:color w:val="000000"/>
          <w:sz w:val="22"/>
        </w:rPr>
        <w:t>b.In the event that the Pension Insurance is a Pension Fund: The Company shall contribute 14.833% of the Monthly Salary (of which 8.33% will be towards severance - “</w:t>
      </w:r>
      <w:r>
        <w:rPr>
          <w:rFonts w:ascii="Calibri;sans-serif" w:hAnsi="Calibri;sans-serif"/>
          <w:b/>
          <w:color w:val="000000"/>
          <w:sz w:val="22"/>
        </w:rPr>
        <w:t>Company Contribution</w:t>
      </w:r>
      <w:r>
        <w:rPr>
          <w:color w:val="000000"/>
        </w:rPr>
        <w:t>”</w:t>
      </w:r>
      <w:r>
        <w:rPr>
          <w:rFonts w:ascii="Calibri;sans-serif" w:hAnsi="Calibri;sans-serif"/>
          <w:b w:val="false"/>
          <w:color w:val="000000"/>
          <w:sz w:val="22"/>
        </w:rPr>
        <w:t>) and the Employee shall contribute 6% of the Monthly Salary payment (“</w:t>
      </w:r>
      <w:r>
        <w:rPr>
          <w:rFonts w:ascii="Calibri;sans-serif" w:hAnsi="Calibri;sans-serif"/>
          <w:b/>
          <w:color w:val="000000"/>
          <w:sz w:val="22"/>
        </w:rPr>
        <w:t>Employee’s Contribution</w:t>
      </w:r>
      <w:r>
        <w:rPr>
          <w:color w:val="000000"/>
        </w:rPr>
        <w:t>”</w:t>
      </w:r>
      <w:r>
        <w:rPr>
          <w:rFonts w:ascii="Calibri;sans-serif" w:hAnsi="Calibri;sans-serif"/>
          <w:b w:val="false"/>
          <w:color w:val="000000"/>
          <w:sz w:val="22"/>
        </w:rPr>
        <w:t>) toward the premiums payable in respect of such fund (the "</w:t>
      </w:r>
      <w:r>
        <w:rPr>
          <w:rFonts w:ascii="Calibri;sans-serif" w:hAnsi="Calibri;sans-serif"/>
          <w:b/>
          <w:color w:val="000000"/>
          <w:sz w:val="22"/>
        </w:rPr>
        <w:t>Pension Insurance Policy</w:t>
      </w:r>
      <w:r>
        <w:rPr>
          <w:color w:val="000000"/>
        </w:rPr>
        <w:t>”</w:t>
      </w:r>
      <w:r>
        <w:rPr>
          <w:rFonts w:ascii="Calibri;sans-serif" w:hAnsi="Calibri;sans-serif"/>
          <w:b w:val="false"/>
          <w:color w:val="000000"/>
          <w:sz w:val="22"/>
        </w:rPr>
        <w:t xml:space="preserve">). </w:t>
      </w:r>
    </w:p>
    <w:p>
      <w:pPr>
        <w:pStyle w:val="TextBody"/>
        <w:spacing w:lineRule="auto" w:line="288" w:before="0" w:after="240"/>
        <w:ind w:left="0" w:right="0" w:hanging="284"/>
        <w:jc w:val="both"/>
        <w:rPr>
          <w:rFonts w:ascii="Calibri;sans-serif" w:hAnsi="Calibri;sans-serif"/>
          <w:b w:val="false"/>
          <w:color w:val="000000"/>
          <w:sz w:val="22"/>
        </w:rPr>
      </w:pPr>
      <w:r>
        <w:rPr>
          <w:rFonts w:ascii="Calibri;sans-serif" w:hAnsi="Calibri;sans-serif"/>
          <w:b w:val="false"/>
          <w:color w:val="000000"/>
          <w:sz w:val="22"/>
        </w:rPr>
        <w:t xml:space="preserve">c.For clarity’s sake, the abovementioned contributions to the Employee’s Pension Insurance may be changed from time to time according to applicable law. </w:t>
      </w:r>
    </w:p>
    <w:p>
      <w:pPr>
        <w:pStyle w:val="TextBody"/>
        <w:spacing w:lineRule="auto" w:line="288" w:before="0" w:after="240"/>
        <w:ind w:left="0" w:right="0" w:hanging="720"/>
        <w:jc w:val="both"/>
        <w:rPr>
          <w:rFonts w:ascii="Calibri;sans-serif" w:hAnsi="Calibri;sans-serif"/>
          <w:b w:val="false"/>
          <w:color w:val="000000"/>
          <w:sz w:val="22"/>
        </w:rPr>
      </w:pPr>
      <w:r>
        <w:rPr>
          <w:rFonts w:ascii="Calibri;sans-serif" w:hAnsi="Calibri;sans-serif"/>
          <w:b w:val="false"/>
          <w:color w:val="000000"/>
          <w:sz w:val="22"/>
        </w:rPr>
        <w:t xml:space="preserve">4.The following is hereby stricken from Section 2 of the Employment Agreement: </w:t>
      </w:r>
    </w:p>
    <w:p>
      <w:pPr>
        <w:pStyle w:val="TextBody"/>
        <w:spacing w:lineRule="auto" w:line="288" w:before="0" w:after="240"/>
        <w:jc w:val="both"/>
        <w:rPr>
          <w:color w:val="000000"/>
        </w:rPr>
      </w:pPr>
      <w:r>
        <w:rPr>
          <w:color w:val="000000"/>
        </w:rPr>
        <w:t>“</w:t>
      </w:r>
      <w:r>
        <w:rPr>
          <w:rFonts w:ascii="Calibri;sans-serif" w:hAnsi="Calibri;sans-serif"/>
          <w:b w:val="false"/>
          <w:color w:val="000000"/>
          <w:sz w:val="22"/>
        </w:rPr>
        <w:t xml:space="preserve">In addition to the Base Salary, Company agrees to pay the Executive a gross monthly amount of 12,380 NIS to cover housing expenses.” </w:t>
      </w:r>
    </w:p>
    <w:p>
      <w:pPr>
        <w:pStyle w:val="TextBody"/>
        <w:spacing w:lineRule="auto" w:line="288" w:before="0" w:after="1600"/>
        <w:ind w:left="0" w:right="0" w:hanging="720"/>
        <w:jc w:val="both"/>
        <w:rPr>
          <w:rFonts w:ascii="Calibri;sans-serif" w:hAnsi="Calibri;sans-serif"/>
          <w:b w:val="false"/>
          <w:color w:val="000000"/>
          <w:sz w:val="22"/>
        </w:rPr>
      </w:pPr>
      <w:r>
        <w:rPr>
          <w:rFonts w:ascii="Calibri;sans-serif" w:hAnsi="Calibri;sans-serif"/>
          <w:b w:val="false"/>
          <w:color w:val="000000"/>
          <w:sz w:val="22"/>
        </w:rPr>
        <w:t>5.Except as expressly set forth herein, the terms and conditions of the Employment Agreement shall remain in full force and effect and each Party hereto agrees to be bound by the terms thereof.</w:t>
      </w:r>
    </w:p>
    <w:p>
      <w:pPr>
        <w:pStyle w:val="TextBody"/>
        <w:spacing w:lineRule="auto" w:line="288" w:before="0" w:after="480"/>
        <w:jc w:val="both"/>
        <w:rPr>
          <w:rFonts w:ascii="Calibri;sans-serif" w:hAnsi="Calibri;sans-serif"/>
          <w:b w:val="false"/>
          <w:color w:val="000000"/>
          <w:sz w:val="22"/>
        </w:rPr>
      </w:pPr>
      <w:r>
        <w:rPr>
          <w:rFonts w:ascii="Calibri;sans-serif" w:hAnsi="Calibri;sans-serif"/>
          <w:b w:val="false"/>
          <w:color w:val="000000"/>
          <w:sz w:val="22"/>
        </w:rPr>
        <w:t xml:space="preserve">IN WITNESS WHEREOF, the Parties hereto have executed this Addendum as of the date set forth above. </w:t>
      </w:r>
    </w:p>
    <w:tbl>
      <w:tblPr>
        <w:tblW w:w="5049" w:type="dxa"/>
        <w:jc w:val="left"/>
        <w:tblInd w:w="0" w:type="dxa"/>
        <w:tblCellMar>
          <w:top w:w="28" w:type="dxa"/>
          <w:left w:w="28" w:type="dxa"/>
          <w:bottom w:w="28" w:type="dxa"/>
          <w:right w:w="28" w:type="dxa"/>
        </w:tblCellMar>
      </w:tblPr>
      <w:tblGrid>
        <w:gridCol w:w="375"/>
        <w:gridCol w:w="329"/>
        <w:gridCol w:w="331"/>
        <w:gridCol w:w="422"/>
        <w:gridCol w:w="422"/>
        <w:gridCol w:w="430"/>
        <w:gridCol w:w="109"/>
        <w:gridCol w:w="109"/>
        <w:gridCol w:w="109"/>
        <w:gridCol w:w="339"/>
        <w:gridCol w:w="339"/>
        <w:gridCol w:w="341"/>
        <w:gridCol w:w="404"/>
        <w:gridCol w:w="404"/>
        <w:gridCol w:w="586"/>
      </w:tblGrid>
      <w:tr>
        <w:trPr/>
        <w:tc>
          <w:tcPr>
            <w:tcW w:w="37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230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THE EMPLOYEE</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Signature:</w:t>
            </w:r>
          </w:p>
        </w:tc>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 S.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Signature:</w:t>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 Ron Yekutiel</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Name:</w:t>
            </w:r>
          </w:p>
        </w:tc>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Name:</w:t>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Ron Yekutiel</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Title:</w:t>
            </w:r>
          </w:p>
        </w:tc>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Title:</w:t>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CEO</w:t>
            </w:r>
          </w:p>
        </w:tc>
      </w:tr>
      <w:tr>
        <w:trPr/>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March 7,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March 7, 2021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350520"/>
                <wp:effectExtent l="0" t="0" r="0" b="0"/>
                <wp:wrapNone/>
                <wp:docPr id="530" name="Frame52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CONSULTING AGREEMENT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CONSULTING AGREEMENT (this "Agreement") is entered into as of November 1, 2006, by and between Kaltura, Inc., a corporation organized under the laws of the State of Delaware (the "Company"), and Ron Yekutiel (the "Consultant").</w:t>
      </w:r>
    </w:p>
    <w:p>
      <w:pPr>
        <w:pStyle w:val="TextBody"/>
        <w:spacing w:lineRule="auto" w:line="288" w:before="0" w:after="240"/>
        <w:ind w:left="0" w:right="0" w:firstLine="720"/>
        <w:jc w:val="both"/>
        <w:rPr/>
      </w:pPr>
      <w:r>
        <w:rPr>
          <w:rFonts w:ascii="Times New Roman;sans-serif" w:hAnsi="Times New Roman;sans-serif"/>
          <w:b w:val="false"/>
          <w:color w:val="000000"/>
          <w:sz w:val="20"/>
        </w:rPr>
        <w:t>WHEREAS</w:t>
      </w:r>
      <w:r>
        <w:rPr>
          <w:rFonts w:ascii="Times New Roman;sans-serif" w:hAnsi="Times New Roman;sans-serif"/>
          <w:b/>
          <w:color w:val="000000"/>
          <w:sz w:val="20"/>
        </w:rPr>
        <w:t xml:space="preserve">, </w:t>
      </w:r>
      <w:r>
        <w:rPr>
          <w:rFonts w:ascii="Times New Roman;sans-serif" w:hAnsi="Times New Roman;sans-serif"/>
          <w:b w:val="false"/>
          <w:color w:val="000000"/>
          <w:sz w:val="20"/>
        </w:rPr>
        <w:t>the Company desires to retain the services of the Consultant, as an independent contractor, to provide certain consulting services (collectively, "Services"), and the Consultant wishes to furnish such Services, on the terms and conditions set forth herein.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mutual covenants and conditions herein contained, the parties agree as follows:</w:t>
      </w:r>
    </w:p>
    <w:p>
      <w:pPr>
        <w:pStyle w:val="TextBody"/>
        <w:spacing w:lineRule="auto" w:line="288"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Term and Termination</w:t>
      </w:r>
      <w:r>
        <w:rPr>
          <w:rFonts w:ascii="Times New Roman;sans-serif" w:hAnsi="Times New Roman;sans-serif"/>
          <w:b w:val="false"/>
          <w:color w:val="000000"/>
          <w:sz w:val="20"/>
        </w:rPr>
        <w:t>. This Agreement shall commence on November 1, 2006 and shall continue in force for a period of two (2) years. Thereafter, the term of this Agreement may be renewed upon the mutual agreement of the parties.</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this agreement shall be terminated upon the first to occur of the following:</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(i)By the Company: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(A)For Cause (as defined herein);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(B)Without Cause upon ninety (90) days' written notice.</w:t>
      </w:r>
    </w:p>
    <w:p>
      <w:pPr>
        <w:pStyle w:val="TextBody"/>
        <w:spacing w:lineRule="auto" w:line="288" w:before="0" w:after="240"/>
        <w:ind w:left="0" w:right="0" w:hanging="360"/>
        <w:jc w:val="both"/>
        <w:rPr/>
      </w:pPr>
      <w:r>
        <w:rPr>
          <w:rFonts w:ascii="Times New Roman;sans-serif" w:hAnsi="Times New Roman;sans-serif"/>
          <w:b w:val="false"/>
          <w:color w:val="000000"/>
          <w:sz w:val="20"/>
        </w:rPr>
        <w:t xml:space="preserve">(ii)By the consultant, upon notice to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Consultant will give at least sixty (60) days' prior written notice of his intention to terminate his services hereunder.</w:t>
      </w:r>
    </w:p>
    <w:p>
      <w:pPr>
        <w:pStyle w:val="TextBody"/>
        <w:spacing w:lineRule="auto" w:line="288" w:before="0" w:after="240"/>
        <w:jc w:val="both"/>
        <w:rPr/>
      </w:pPr>
      <w:r>
        <w:rPr>
          <w:rFonts w:ascii="Times New Roman;sans-serif" w:hAnsi="Times New Roman;sans-serif"/>
          <w:b w:val="false"/>
          <w:color w:val="000000"/>
          <w:sz w:val="20"/>
          <w:u w:val="single"/>
        </w:rPr>
        <w:t>Definition of "Cause"</w:t>
      </w:r>
      <w:r>
        <w:rPr>
          <w:rFonts w:ascii="Times New Roman;sans-serif" w:hAnsi="Times New Roman;sans-serif"/>
          <w:b w:val="false"/>
          <w:color w:val="000000"/>
          <w:sz w:val="20"/>
        </w:rPr>
        <w:t>. For purposes of this Agreement, "Cause" shall include (i) a continuing failure by the Consultant to render services to the Company in accordance with his herein designated duties, and such failure of performance continuing for a period of more than sixty (60) days after written notice thereof has been provided to Consultant by the Board of Directors; (ii) court judgment declaring willful misconduct or gross negligence by Consultant; (iii) Consultant's conviction of a felony, either in connection with the performance of his obligations to the Company, or otherwise, which shall have adversely affected his ability to perform the obligations defined herein, or which shall have material adverse effect on the business activities, reputation, goodwill or image of the Company; (iv) willful disloyalty, deliberate dishonesty, breach of fiduciary duty or material breach of the terms of this Agreement; (v) a court judgment finding the Consultant guilty of an act of fraud, embezzlement; or (vi) deliberate disregard of the rules or policies of the Company which results in material loss, damage or injury to the Company; or (vii) the breach by Consultant of any of the provisions of Section 5, 6 or 7 hereof.</w:t>
      </w:r>
    </w:p>
    <w:p>
      <w:pPr>
        <w:pStyle w:val="TextBody"/>
        <w:spacing w:lineRule="auto" w:line="288" w:before="0" w:after="240"/>
        <w:ind w:left="0" w:right="0" w:hanging="720"/>
        <w:rPr/>
      </w:pPr>
      <w:r>
        <w:rPr>
          <w:rFonts w:ascii="Times New Roman;sans-serif" w:hAnsi="Times New Roman;sans-serif"/>
          <w:b w:val="false"/>
          <w:color w:val="000000"/>
          <w:sz w:val="20"/>
        </w:rPr>
        <w:t>2.</w:t>
      </w:r>
      <w:r>
        <w:rPr>
          <w:rFonts w:ascii="Times New Roman;sans-serif" w:hAnsi="Times New Roman;sans-serif"/>
          <w:b/>
          <w:color w:val="000000"/>
          <w:sz w:val="20"/>
          <w:u w:val="single"/>
        </w:rPr>
        <w:t>Scope of Services</w:t>
      </w:r>
    </w:p>
    <w:p>
      <w:pPr>
        <w:pStyle w:val="TextBody"/>
        <w:spacing w:lineRule="auto" w:line="288" w:before="0" w:after="240"/>
        <w:ind w:left="0" w:right="0" w:hanging="72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The Services</w:t>
      </w:r>
      <w:r>
        <w:rPr>
          <w:rFonts w:ascii="Times New Roman;sans-serif" w:hAnsi="Times New Roman;sans-serif"/>
          <w:b w:val="false"/>
          <w:color w:val="000000"/>
          <w:sz w:val="20"/>
        </w:rPr>
        <w:t>. The Consultant shall act as the chief executive officer of the Company and shall provide such Services to the Company and/or any subsidiary as shall be directed by the Company's board of directors. The Consultant shall be employed on a full-time basis, and shall devote all his work time in order to discharge the responsibilities assigned to the Consultant hereunder..</w:t>
      </w:r>
    </w:p>
    <w:p>
      <w:pPr>
        <w:pStyle w:val="TextBody"/>
        <w:spacing w:lineRule="auto" w:line="288" w:before="0" w:after="240"/>
        <w:ind w:left="0" w:right="0" w:hanging="72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Independent Contractor Status</w:t>
      </w:r>
      <w:r>
        <w:rPr>
          <w:rFonts w:ascii="Times New Roman;sans-serif" w:hAnsi="Times New Roman;sans-serif"/>
          <w:b w:val="false"/>
          <w:color w:val="000000"/>
          <w:sz w:val="20"/>
        </w:rPr>
        <w:t xml:space="preserve">. The Company and the Consultant agree that the Consultant is an "independent contractor." This Agreement shall not be construed to create any relationship of employment, association, partnership or joint venture between the Company and the Consultant, nor shall it be construed to create any relationship other than that of principal and independent contractor between the Company and the Consultant. The Consultant is not an employee of the Company, and the Company shall not be obligated to treat the Consultant as an employee. This agreement does not require exclusivity 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75260"/>
                <wp:effectExtent l="0" t="0" r="0" b="0"/>
                <wp:wrapNone/>
                <wp:docPr id="531" name="Frame5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behalf of the Consultant, and the consultant may advise other companies, as long as those companies are not in direct competition with the Company, and as long as the Consultant is not in conflict of interest during his work with the Company.</w:t>
      </w:r>
    </w:p>
    <w:p>
      <w:pPr>
        <w:pStyle w:val="TextBody"/>
        <w:spacing w:lineRule="auto" w:line="288" w:before="0" w:after="240"/>
        <w:ind w:left="0" w:right="0" w:hanging="72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Remuneration</w:t>
      </w:r>
    </w:p>
    <w:p>
      <w:pPr>
        <w:pStyle w:val="TextBody"/>
        <w:spacing w:lineRule="auto" w:line="288" w:before="0" w:after="240"/>
        <w:ind w:left="0" w:right="0" w:hanging="720"/>
        <w:jc w:val="both"/>
        <w:rPr/>
      </w:pPr>
      <w:r>
        <w:rPr>
          <w:rFonts w:ascii="Times New Roman;sans-serif" w:hAnsi="Times New Roman;sans-serif"/>
          <w:b w:val="false"/>
          <w:color w:val="000000"/>
          <w:sz w:val="20"/>
        </w:rPr>
        <w:t>3.1.1</w:t>
      </w:r>
      <w:r>
        <w:rPr>
          <w:rFonts w:ascii="Times New Roman;sans-serif" w:hAnsi="Times New Roman;sans-serif"/>
          <w:b w:val="false"/>
          <w:color w:val="000000"/>
          <w:sz w:val="20"/>
          <w:u w:val="single"/>
        </w:rPr>
        <w:t>Consulting Fee</w:t>
      </w:r>
      <w:r>
        <w:rPr>
          <w:rFonts w:ascii="Times New Roman;sans-serif" w:hAnsi="Times New Roman;sans-serif"/>
          <w:b w:val="false"/>
          <w:color w:val="000000"/>
          <w:sz w:val="20"/>
        </w:rPr>
        <w:t>. The consulting fee will be $6,000 per month for the term of this Agreement. In addition the Consultant shall receive the cash value of monetary benefits allocated to Michal Tsur and Eran Etam, employed by the Company's subsidiary (such as manager's insurance and Education Fund). Consultant shall be entitled to such fee only following the closing of a round of financing equal to, or greater than $500,000 by the Company. There shall not be any fees accrued prior to this date.</w:t>
      </w:r>
    </w:p>
    <w:p>
      <w:pPr>
        <w:pStyle w:val="TextBody"/>
        <w:spacing w:lineRule="auto" w:line="288" w:before="0" w:after="240"/>
        <w:ind w:left="0" w:right="0" w:hanging="720"/>
        <w:jc w:val="both"/>
        <w:rPr/>
      </w:pPr>
      <w:r>
        <w:rPr>
          <w:rFonts w:ascii="Times New Roman;sans-serif" w:hAnsi="Times New Roman;sans-serif"/>
          <w:b w:val="false"/>
          <w:color w:val="000000"/>
          <w:sz w:val="20"/>
        </w:rPr>
        <w:t>3.1.2</w:t>
      </w:r>
      <w:r>
        <w:rPr>
          <w:rFonts w:ascii="Times New Roman;sans-serif" w:hAnsi="Times New Roman;sans-serif"/>
          <w:b w:val="false"/>
          <w:color w:val="000000"/>
          <w:sz w:val="20"/>
          <w:u w:val="single"/>
        </w:rPr>
        <w:t>Benefits.</w:t>
      </w:r>
      <w:r>
        <w:rPr>
          <w:color w:val="000000"/>
        </w:rPr>
        <w:t xml:space="preserve"> </w:t>
      </w:r>
      <w:r>
        <w:rPr>
          <w:rFonts w:ascii="Times New Roman;sans-serif" w:hAnsi="Times New Roman;sans-serif"/>
          <w:b w:val="false"/>
          <w:color w:val="000000"/>
          <w:sz w:val="20"/>
        </w:rPr>
        <w:t>Company shall reimburse Consultant's medical and dental insurance, cellphone expenses, and costs relating to immigration to the US.</w:t>
      </w:r>
    </w:p>
    <w:p>
      <w:pPr>
        <w:pStyle w:val="TextBody"/>
        <w:spacing w:lineRule="auto" w:line="288" w:before="0" w:after="240"/>
        <w:ind w:left="0" w:right="0" w:hanging="720"/>
        <w:jc w:val="both"/>
        <w:rPr/>
      </w:pPr>
      <w:r>
        <w:rPr>
          <w:rFonts w:ascii="Times New Roman;sans-serif" w:hAnsi="Times New Roman;sans-serif"/>
          <w:b w:val="false"/>
          <w:color w:val="000000"/>
          <w:sz w:val="20"/>
        </w:rPr>
        <w:t>3.1.3</w:t>
      </w:r>
      <w:r>
        <w:rPr>
          <w:rFonts w:ascii="Times New Roman;sans-serif" w:hAnsi="Times New Roman;sans-serif"/>
          <w:b w:val="false"/>
          <w:color w:val="000000"/>
          <w:sz w:val="20"/>
          <w:u w:val="single"/>
        </w:rPr>
        <w:t>Vacation</w:t>
      </w:r>
      <w:r>
        <w:rPr>
          <w:rFonts w:ascii="Times New Roman;sans-serif" w:hAnsi="Times New Roman;sans-serif"/>
          <w:b w:val="false"/>
          <w:color w:val="000000"/>
          <w:sz w:val="20"/>
        </w:rPr>
        <w:t>. Consultant shall be entitled to an annual vacation of twenty (20) working days per year. A "working day" shall mean Monday to Friday inclusive. Up to one year's equivalent of vacation days may be accumulated and may, at the Consultant's option, upon thirty (30) days written notice to the Company, be converted into cash payments in an amount equal to the proportionate part of the Consulting Fee for such days to the extent provided by law.</w:t>
      </w:r>
    </w:p>
    <w:p>
      <w:pPr>
        <w:pStyle w:val="TextBody"/>
        <w:spacing w:lineRule="auto" w:line="288" w:before="0" w:after="240"/>
        <w:ind w:left="0" w:right="0" w:hanging="720"/>
        <w:jc w:val="both"/>
        <w:rPr/>
      </w:pPr>
      <w:r>
        <w:rPr>
          <w:rFonts w:ascii="Times New Roman;sans-serif" w:hAnsi="Times New Roman;sans-serif"/>
          <w:b/>
          <w:color w:val="000000"/>
          <w:sz w:val="20"/>
        </w:rPr>
        <w:t>4.</w:t>
      </w:r>
      <w:r>
        <w:rPr>
          <w:rFonts w:ascii="Times New Roman;sans-serif" w:hAnsi="Times New Roman;sans-serif"/>
          <w:b/>
          <w:color w:val="000000"/>
          <w:sz w:val="20"/>
          <w:u w:val="single"/>
        </w:rPr>
        <w:t>Expenses.</w:t>
      </w:r>
      <w:r>
        <w:rPr>
          <w:color w:val="000000"/>
        </w:rPr>
        <w:t xml:space="preserve"> </w:t>
      </w:r>
      <w:r>
        <w:rPr>
          <w:rFonts w:ascii="Times New Roman;sans-serif" w:hAnsi="Times New Roman;sans-serif"/>
          <w:b w:val="false"/>
          <w:color w:val="000000"/>
          <w:sz w:val="20"/>
        </w:rPr>
        <w:t>The Consultant shall be entitled to reimbursement by the Company, in accordance with the Company's policies then applicable to employees. Notwithstanding the foregoing, the Consultant shall be entitled to a monthly reimbursement of $1,600 for apartment rent in New York.</w:t>
      </w:r>
    </w:p>
    <w:p>
      <w:pPr>
        <w:pStyle w:val="TextBody"/>
        <w:spacing w:lineRule="auto" w:line="288" w:before="0" w:after="240"/>
        <w:ind w:left="0" w:right="0" w:hanging="720"/>
        <w:jc w:val="both"/>
        <w:rPr/>
      </w:pPr>
      <w:r>
        <w:rPr>
          <w:rFonts w:ascii="Times New Roman;sans-serif" w:hAnsi="Times New Roman;sans-serif"/>
          <w:b/>
          <w:color w:val="000000"/>
          <w:sz w:val="20"/>
        </w:rPr>
        <w:t>5.</w:t>
      </w:r>
      <w:r>
        <w:rPr>
          <w:rFonts w:ascii="Times New Roman;sans-serif" w:hAnsi="Times New Roman;sans-serif"/>
          <w:b/>
          <w:color w:val="000000"/>
          <w:sz w:val="20"/>
          <w:u w:val="single"/>
        </w:rPr>
        <w:t>Confidentiality</w:t>
      </w:r>
    </w:p>
    <w:p>
      <w:pPr>
        <w:pStyle w:val="TextBody"/>
        <w:spacing w:lineRule="auto" w:line="288" w:before="0" w:after="240"/>
        <w:ind w:left="0" w:right="0" w:hanging="720"/>
        <w:rPr/>
      </w:pPr>
      <w:r>
        <w:rPr>
          <w:rFonts w:ascii="Times New Roman;sans-serif" w:hAnsi="Times New Roman;sans-serif"/>
          <w:b w:val="false"/>
          <w:color w:val="000000"/>
          <w:sz w:val="20"/>
        </w:rPr>
        <w:t>5.1</w:t>
      </w:r>
      <w:r>
        <w:rPr>
          <w:rFonts w:ascii="Times New Roman;sans-serif" w:hAnsi="Times New Roman;sans-serif"/>
          <w:b w:val="false"/>
          <w:color w:val="000000"/>
          <w:sz w:val="20"/>
          <w:u w:val="single"/>
        </w:rPr>
        <w:t>Proprietary Information</w:t>
      </w:r>
      <w:r>
        <w:rPr>
          <w:rFonts w:ascii="Times New Roman;sans-serif" w:hAnsi="Times New Roman;sans-serif"/>
          <w:b w:val="false"/>
          <w:color w:val="000000"/>
          <w:sz w:val="20"/>
        </w:rPr>
        <w:t>. The Consultant recognizes and acknowledges that the designs, inventions, improvements, business information, customer lists, business strategy, financial information, trade secrets, formulae, algorithms, software systems (including specifications, programs and documentation), the methods and data, and the developments, and works of authorship, which the Company or any of its subsidiaries uses, owns, plans or develops (whether for its own use or for use by its clients or customers), and to which the Consultant shall have access to, receive, and learn during his service with the Company, are confidential and are the property of the Company. All of these materials and information and all Intellectual Property will be referred to herein as "Proprietary Information."</w:t>
      </w:r>
    </w:p>
    <w:p>
      <w:pPr>
        <w:pStyle w:val="TextBody"/>
        <w:spacing w:lineRule="auto" w:line="288" w:before="0" w:after="240"/>
        <w:ind w:left="0" w:right="0" w:hanging="720"/>
        <w:rPr/>
      </w:pPr>
      <w:r>
        <w:rPr>
          <w:rFonts w:ascii="Times New Roman;sans-serif" w:hAnsi="Times New Roman;sans-serif"/>
          <w:b w:val="false"/>
          <w:color w:val="000000"/>
          <w:sz w:val="20"/>
        </w:rPr>
        <w:t>5.2</w:t>
      </w:r>
      <w:r>
        <w:rPr>
          <w:rFonts w:ascii="Times New Roman;sans-serif" w:hAnsi="Times New Roman;sans-serif"/>
          <w:b w:val="false"/>
          <w:color w:val="000000"/>
          <w:sz w:val="20"/>
          <w:u w:val="single"/>
        </w:rPr>
        <w:t>Non-Disclosure</w:t>
      </w:r>
      <w:r>
        <w:rPr>
          <w:rFonts w:ascii="Times New Roman;sans-serif" w:hAnsi="Times New Roman;sans-serif"/>
          <w:b w:val="false"/>
          <w:color w:val="000000"/>
          <w:sz w:val="20"/>
        </w:rPr>
        <w:t>. The Consultant agrees that, except as directed by the Company, and in the ordinary course of the business of the Company or its subsidiaries, the Consultant will not during or after the Consultant's service with the Company disclose to any third party (person or entity) or use, directly or indirectly for Consultant's own benefit or the benefit of others, any Proprietary Information, or permit any third party to examine or make copies of any documents which may contain or be derived from Proprietary Information.</w:t>
      </w:r>
    </w:p>
    <w:p>
      <w:pPr>
        <w:pStyle w:val="TextBody"/>
        <w:spacing w:lineRule="auto" w:line="288" w:before="0" w:after="240"/>
        <w:ind w:left="0" w:right="0" w:hanging="720"/>
        <w:rPr/>
      </w:pPr>
      <w:r>
        <w:rPr>
          <w:rFonts w:ascii="Times New Roman;sans-serif" w:hAnsi="Times New Roman;sans-serif"/>
          <w:b w:val="false"/>
          <w:color w:val="000000"/>
          <w:sz w:val="20"/>
        </w:rPr>
        <w:t>5.3</w:t>
      </w:r>
      <w:r>
        <w:rPr>
          <w:rFonts w:ascii="Times New Roman;sans-serif" w:hAnsi="Times New Roman;sans-serif"/>
          <w:b w:val="false"/>
          <w:color w:val="000000"/>
          <w:sz w:val="20"/>
          <w:u w:val="single"/>
        </w:rPr>
        <w:t>Confidential Information of Others</w:t>
      </w:r>
      <w:r>
        <w:rPr>
          <w:rFonts w:ascii="Times New Roman;sans-serif" w:hAnsi="Times New Roman;sans-serif"/>
          <w:b w:val="false"/>
          <w:color w:val="000000"/>
          <w:sz w:val="20"/>
        </w:rPr>
        <w:t>. The Consultant agrees not to use, disclose to the Company, or induce the Company to use, during his service with the Company, any confidential information or documents belonging to others.</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5.4This obligation shall be binding on all affiliates or successors of the Consultant and shall continue for a period of three (3) years from the date that the Proprietary Information is provided to the Consultant, regardless of whether this Agreement has been terminated.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526415"/>
                <wp:effectExtent l="0" t="0" r="0" b="0"/>
                <wp:wrapNone/>
                <wp:docPr id="532" name="Frame52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240"/>
        <w:ind w:left="0" w:right="0" w:hanging="720"/>
        <w:rPr/>
      </w:pPr>
      <w:r>
        <w:rPr>
          <w:rFonts w:ascii="Times New Roman;sans-serif" w:hAnsi="Times New Roman;sans-serif"/>
          <w:b/>
          <w:color w:val="000000"/>
          <w:sz w:val="20"/>
        </w:rPr>
        <w:t>6.</w:t>
      </w:r>
      <w:r>
        <w:rPr>
          <w:rFonts w:ascii="Times New Roman;sans-serif" w:hAnsi="Times New Roman;sans-serif"/>
          <w:b/>
          <w:color w:val="000000"/>
          <w:sz w:val="20"/>
          <w:u w:val="single"/>
        </w:rPr>
        <w:t>Intellectual Property Rights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6.1For purposes of this Agreement, "Intellectual Property" means the following items of intangible and tangible property:</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(i)Patents, whether in the form of utility patents or design patents and all pending applications for such patents;</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(ii)Trademarks, trade names, service marks, designs, logos, trade dress, and trade styles, whether or not registered, and all pending applications for registration of the same;</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(iii)Copyrights or copyrightable material, including but not limited to books, articles and publications, whether or not registered, and all pending applications for registration of the same;</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(iv)Invention disclosures, research records, trade secrets, confidential information, product designs, engineering specifications and drawings, technical information, formulae, customer lists, supplier lists and market analyses;</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(v)Computer programs and related flow-charts, programmer notes, updates and data, whether in object or source code form; and</w:t>
      </w:r>
    </w:p>
    <w:p>
      <w:pPr>
        <w:pStyle w:val="TextBody"/>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(vi)any idea, concept, improvement, invention, technique, process, method, product, device, system, etc., conceived or first reduced to practice during Consultant's service with the Company, and which was the result of the consultant's services to the company.</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6.2The Consultant hereby agrees to assign to the Company all right, title, and interest to Intellectual Property, originated, conceived, written or made by the Consultant during the term of his service with the Company, which is developed by the Consultant in the course of the performance of his services for the Company or in any way connected to the products or services of the Company or its subsidiaries, including those products or services contemplated in a plan adopted by the Board of Directors of the Company or its subsidiaries.</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6.3In furtherance of the foregoing Sections 6.1 and 6.2, the Consultant agrees that all fruits of the Consultant's work in connection with the business of the Company or its subsidiaries, including all Intellectual Property, which are invented or developed by the Consultant as a result of providing services under this agreement during the term of his service with the Company shall be wholly- owned by the Company, and the Company shall be entitled to deal therewith as it desires and register the Intellectual Property in its name or in the name of its subsidiaries.</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6.4Upon request, the Consultant will execute any instrument required to vest in the Company or its subsidiaries complete title and ownership to any Intellectual Property. The Consultant will, at the request of the Company, execute any necessary instrument to obtain legal protection in Israel and foreign countries for any Intellectual Property and for the purposes of vesting title thereto in the Company or its subsidiaries, all at the Company's expense and without any additional compensation of any kind to the Consultant. The Consultant agrees to appoint the Company or the Company's designee as his attorney in his name and on his behalf to execute all documents and do all things required in order to give full affect to the provisions of this Section.</w:t>
      </w:r>
    </w:p>
    <w:p>
      <w:pPr>
        <w:pStyle w:val="TextBody"/>
        <w:spacing w:lineRule="auto" w:line="288" w:before="0" w:after="240"/>
        <w:ind w:left="0" w:right="0" w:hanging="720"/>
        <w:rPr/>
      </w:pPr>
      <w:r>
        <w:rPr>
          <w:rFonts w:ascii="Times New Roman;sans-serif" w:hAnsi="Times New Roman;sans-serif"/>
          <w:b/>
          <w:color w:val="000000"/>
          <w:sz w:val="20"/>
        </w:rPr>
        <w:t>7.</w:t>
      </w:r>
      <w:r>
        <w:rPr>
          <w:rFonts w:ascii="Times New Roman;sans-serif" w:hAnsi="Times New Roman;sans-serif"/>
          <w:b/>
          <w:color w:val="000000"/>
          <w:sz w:val="20"/>
          <w:u w:val="single"/>
        </w:rPr>
        <w:t>Competitive Activity</w:t>
      </w:r>
    </w:p>
    <w:p>
      <w:pPr>
        <w:pStyle w:val="TextBody"/>
        <w:spacing w:lineRule="auto" w:line="288" w:before="0" w:after="240"/>
        <w:ind w:left="0" w:right="0" w:hanging="720"/>
        <w:rPr/>
      </w:pPr>
      <w:r>
        <w:rPr>
          <w:rFonts w:ascii="Times New Roman;sans-serif" w:hAnsi="Times New Roman;sans-serif"/>
          <w:b w:val="false"/>
          <w:color w:val="000000"/>
          <w:sz w:val="20"/>
        </w:rPr>
        <w:t>7.1</w:t>
      </w:r>
      <w:r>
        <w:rPr>
          <w:rFonts w:ascii="Times New Roman;sans-serif" w:hAnsi="Times New Roman;sans-serif"/>
          <w:b w:val="false"/>
          <w:color w:val="000000"/>
          <w:sz w:val="20"/>
          <w:u w:val="single"/>
        </w:rPr>
        <w:t>Non-Competition</w:t>
      </w:r>
      <w:r>
        <w:rPr>
          <w:rFonts w:ascii="Times New Roman;sans-serif" w:hAnsi="Times New Roman;sans-serif"/>
          <w:b w:val="false"/>
          <w:color w:val="000000"/>
          <w:sz w:val="20"/>
        </w:rPr>
        <w:t>. For a period of twelve (12) months from and after the termination of this Agreement, the Consultant will not directly compete with the products or services of the Company, or act as a consultant to or employee of, venture, entity or other business which directly competes with the products or services of the Company.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526415"/>
                <wp:effectExtent l="0" t="0" r="0" b="0"/>
                <wp:wrapNone/>
                <wp:docPr id="533" name="Frame52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240"/>
        <w:ind w:left="0" w:right="0" w:hanging="720"/>
        <w:rPr/>
      </w:pPr>
      <w:r>
        <w:rPr>
          <w:rFonts w:ascii="Times New Roman;sans-serif" w:hAnsi="Times New Roman;sans-serif"/>
          <w:b w:val="false"/>
          <w:color w:val="000000"/>
          <w:sz w:val="20"/>
        </w:rPr>
        <w:t>7.2</w:t>
      </w:r>
      <w:r>
        <w:rPr>
          <w:rFonts w:ascii="Times New Roman;sans-serif" w:hAnsi="Times New Roman;sans-serif"/>
          <w:b w:val="false"/>
          <w:color w:val="000000"/>
          <w:sz w:val="20"/>
          <w:u w:val="single"/>
        </w:rPr>
        <w:t>No Solicitation</w:t>
      </w:r>
      <w:r>
        <w:rPr>
          <w:rFonts w:ascii="Times New Roman;sans-serif" w:hAnsi="Times New Roman;sans-serif"/>
          <w:b w:val="false"/>
          <w:color w:val="000000"/>
          <w:sz w:val="20"/>
        </w:rPr>
        <w:t>. For a period of twelve (12) months from and after the termination of this Agreement, neither the Consultant nor any affiliate of his shall, directly or indirectly, (i) retain, or employ (either for himself or as agent for another) or induce persuade or encourage any person to leave the Company's employ who, prior to the date hereof was, or during the term of this Agreement will be, employed or retained by the Company as a consultant, independent contractor, reporter, agent, employee or otherwise or (ii) divert or attempt to divert from the Company any business whatsoever by influencing or attempting to influence any client or supplier of the Company.</w:t>
      </w:r>
    </w:p>
    <w:p>
      <w:pPr>
        <w:pStyle w:val="TextBody"/>
        <w:spacing w:lineRule="auto" w:line="288" w:before="0" w:after="240"/>
        <w:ind w:left="0" w:right="0" w:hanging="720"/>
        <w:rPr/>
      </w:pPr>
      <w:r>
        <w:rPr>
          <w:rFonts w:ascii="Times New Roman;sans-serif" w:hAnsi="Times New Roman;sans-serif"/>
          <w:b w:val="false"/>
          <w:color w:val="000000"/>
          <w:sz w:val="20"/>
        </w:rPr>
        <w:t>7.3</w:t>
      </w:r>
      <w:r>
        <w:rPr>
          <w:rFonts w:ascii="Times New Roman;sans-serif" w:hAnsi="Times New Roman;sans-serif"/>
          <w:b w:val="false"/>
          <w:color w:val="000000"/>
          <w:sz w:val="20"/>
          <w:u w:val="single"/>
        </w:rPr>
        <w:t>No Breach of Previous Obligations; Disclosure Obligation</w:t>
      </w:r>
      <w:r>
        <w:rPr>
          <w:rFonts w:ascii="Times New Roman;sans-serif" w:hAnsi="Times New Roman;sans-serif"/>
          <w:b w:val="false"/>
          <w:color w:val="000000"/>
          <w:sz w:val="20"/>
        </w:rPr>
        <w:t>. The Consultant represents that his service with the Company will not, to his knowledge, require him to violate or breach any obligation to or agreement or confidence with any previous or current employer or third party. The Consultant further represents that no legal impediment exists to his entry into this Agreement and the performance by him of the Services. The Consultant shall disclose the existence of this Agreement to any previous or current employer or third party in connection with any transaction between the Company and such previous or current employer or third party, to the extent required by applicable law.</w:t>
      </w:r>
    </w:p>
    <w:p>
      <w:pPr>
        <w:pStyle w:val="TextBody"/>
        <w:spacing w:lineRule="auto" w:line="288" w:before="0" w:after="240"/>
        <w:ind w:left="0" w:right="0" w:hanging="720"/>
        <w:rPr/>
      </w:pPr>
      <w:r>
        <w:rPr>
          <w:rFonts w:ascii="Times New Roman;sans-serif" w:hAnsi="Times New Roman;sans-serif"/>
          <w:b/>
          <w:color w:val="000000"/>
          <w:sz w:val="20"/>
        </w:rPr>
        <w:t>8.</w:t>
      </w:r>
      <w:r>
        <w:rPr>
          <w:rFonts w:ascii="Times New Roman;sans-serif" w:hAnsi="Times New Roman;sans-serif"/>
          <w:b/>
          <w:color w:val="000000"/>
          <w:sz w:val="20"/>
          <w:u w:val="single"/>
        </w:rPr>
        <w:t>Specific Performance</w:t>
      </w:r>
      <w:r>
        <w:rPr>
          <w:rFonts w:ascii="Times New Roman;sans-serif" w:hAnsi="Times New Roman;sans-serif"/>
          <w:b w:val="false"/>
          <w:color w:val="000000"/>
          <w:sz w:val="20"/>
        </w:rPr>
        <w:t>. The Consultant acknowledges and agrees that any breach of Sections 5, 6 or 7 of this Agreement is likely to result in irreparable injury to the Company, that monetary damages will be an inadequate remedy of such breach and that, accordingly, in addition to any other remedy that the Company may have, the Company shall be entitled to enforce the specific performance of such Sections. The parties acknowledge that the time, scope and other provisions of Section 7 have been specifically negotiated by sophisticated commercial parties and agree that all such provisions are reasonable under the circumstances of the transactions contemplated by this Agreement. If any portion of Section 7 shall be determined to be invalid and unenforceable as written, each such portion shall be enforced to the extent reasonable under the circumstances and such determination shall not affect the validity or enforceability of the balance thereof, and such balance shall remain in full force and effect.</w:t>
      </w:r>
    </w:p>
    <w:p>
      <w:pPr>
        <w:pStyle w:val="TextBody"/>
        <w:spacing w:lineRule="auto" w:line="288" w:before="0" w:after="240"/>
        <w:ind w:left="0" w:right="0" w:hanging="720"/>
        <w:rPr/>
      </w:pPr>
      <w:r>
        <w:rPr>
          <w:rFonts w:ascii="Times New Roman;sans-serif" w:hAnsi="Times New Roman;sans-serif"/>
          <w:b/>
          <w:color w:val="000000"/>
          <w:sz w:val="20"/>
        </w:rPr>
        <w:t>9.</w:t>
      </w:r>
      <w:r>
        <w:rPr>
          <w:rFonts w:ascii="Times New Roman;sans-serif" w:hAnsi="Times New Roman;sans-serif"/>
          <w:b/>
          <w:color w:val="000000"/>
          <w:sz w:val="20"/>
          <w:u w:val="single"/>
        </w:rPr>
        <w:t>Miscellaneous</w:t>
      </w:r>
      <w:r>
        <w:rPr>
          <w:rFonts w:ascii="Times New Roman;sans-serif" w:hAnsi="Times New Roman;sans-serif"/>
          <w:b w:val="false"/>
          <w:color w:val="000000"/>
          <w:sz w:val="20"/>
        </w:rPr>
        <w:t>.</w:t>
      </w:r>
    </w:p>
    <w:p>
      <w:pPr>
        <w:pStyle w:val="TextBody"/>
        <w:spacing w:lineRule="auto" w:line="288" w:before="0" w:after="240"/>
        <w:ind w:left="0" w:right="0" w:hanging="720"/>
        <w:rPr/>
      </w:pPr>
      <w:r>
        <w:rPr>
          <w:rFonts w:ascii="Times New Roman;sans-serif" w:hAnsi="Times New Roman;sans-serif"/>
          <w:b w:val="false"/>
          <w:color w:val="000000"/>
          <w:sz w:val="20"/>
        </w:rPr>
        <w:t>9.1</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For the purpose of this Agreement, notices and all other communications provided for in this Agreement shall be in writing and shall be deemed to have been duly given when personally delivered or sent by registered mail, postage prepaid, addressed to the respective addresses set forth below or last given by each party to the other, except that notice of change of address shall be effective only upon receipt.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initial addresses of the parties for purposes of this Agreement shall be as follows: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Kaltura,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Attention: General Counsel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Consultant: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Ron Yekutiel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240"/>
        <w:ind w:left="0" w:right="0" w:hanging="720"/>
        <w:jc w:val="both"/>
        <w:rPr/>
      </w:pPr>
      <w:r>
        <w:rPr>
          <w:rFonts w:ascii="Times New Roman;sans-serif" w:hAnsi="Times New Roman;sans-serif"/>
          <w:b w:val="false"/>
          <w:color w:val="000000"/>
          <w:sz w:val="20"/>
        </w:rPr>
        <w:t>9.2</w:t>
      </w:r>
      <w:r>
        <w:rPr>
          <w:rFonts w:ascii="Times New Roman;sans-serif" w:hAnsi="Times New Roman;sans-serif"/>
          <w:b w:val="false"/>
          <w:color w:val="000000"/>
          <w:sz w:val="20"/>
          <w:u w:val="single"/>
        </w:rPr>
        <w:t>No Waiver</w:t>
      </w:r>
      <w:r>
        <w:rPr>
          <w:rFonts w:ascii="Times New Roman;sans-serif" w:hAnsi="Times New Roman;sans-serif"/>
          <w:b w:val="false"/>
          <w:color w:val="000000"/>
          <w:sz w:val="20"/>
        </w:rPr>
        <w:t>. No provision of this Agreement may be modified, waived or discharged unless such waiver, modification or discharge is agreed to in writing and signed by the Consultant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288"/>
        <w:ind w:left="0" w:right="0" w:hanging="720"/>
        <w:jc w:val="both"/>
        <w:rPr/>
      </w:pPr>
      <w:r>
        <w:rPr>
          <w:rFonts w:ascii="Times New Roman;sans-serif" w:hAnsi="Times New Roman;sans-serif"/>
          <w:b w:val="false"/>
          <w:color w:val="000000"/>
          <w:sz w:val="20"/>
        </w:rPr>
        <w:t>9.3</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will be governed by and construed in accordance with the laws of the State of New York without giving effect to its choice of law rules</w:t>
      </w:r>
      <w:r>
        <w:rPr>
          <w:rFonts w:ascii="Times New Roman;sans-serif" w:hAnsi="Times New Roman;sans-serif"/>
          <w:b/>
          <w:color w:val="000000"/>
          <w:sz w:val="20"/>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526415"/>
                <wp:effectExtent l="0" t="0" r="0" b="0"/>
                <wp:wrapNone/>
                <wp:docPr id="534" name="Frame52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240"/>
        <w:ind w:left="0" w:right="0" w:hanging="720"/>
        <w:jc w:val="both"/>
        <w:rPr/>
      </w:pPr>
      <w:r>
        <w:rPr>
          <w:rFonts w:ascii="Times New Roman;sans-serif" w:hAnsi="Times New Roman;sans-serif"/>
          <w:b w:val="false"/>
          <w:color w:val="000000"/>
          <w:sz w:val="20"/>
        </w:rPr>
        <w:t>9.4</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provisions of this Agreement shall be deemed severable and the invalidity or unenforceability of any provision shall not affect the validity or enforceability of the other provisions hereof.</w:t>
      </w:r>
    </w:p>
    <w:p>
      <w:pPr>
        <w:pStyle w:val="TextBody"/>
        <w:spacing w:lineRule="auto" w:line="288" w:before="0" w:after="240"/>
        <w:ind w:left="0" w:right="0" w:hanging="720"/>
        <w:jc w:val="both"/>
        <w:rPr/>
      </w:pPr>
      <w:r>
        <w:rPr>
          <w:rFonts w:ascii="Times New Roman;sans-serif" w:hAnsi="Times New Roman;sans-serif"/>
          <w:b w:val="false"/>
          <w:color w:val="000000"/>
          <w:sz w:val="20"/>
        </w:rPr>
        <w:t>9.5</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either party which are not expressly set forth in this Agreement.</w:t>
      </w:r>
    </w:p>
    <w:p>
      <w:pPr>
        <w:pStyle w:val="TextBody"/>
        <w:spacing w:lineRule="auto" w:line="288" w:before="0" w:after="240"/>
        <w:ind w:left="0" w:right="0" w:hanging="720"/>
        <w:jc w:val="both"/>
        <w:rPr/>
      </w:pPr>
      <w:r>
        <w:rPr>
          <w:rFonts w:ascii="Times New Roman;sans-serif" w:hAnsi="Times New Roman;sans-serif"/>
          <w:b w:val="false"/>
          <w:color w:val="000000"/>
          <w:sz w:val="20"/>
        </w:rPr>
        <w:t>9.6</w:t>
      </w:r>
      <w:r>
        <w:rPr>
          <w:rFonts w:ascii="Times New Roman;sans-serif" w:hAnsi="Times New Roman;sans-serif"/>
          <w:b w:val="false"/>
          <w:color w:val="000000"/>
          <w:sz w:val="20"/>
          <w:u w:val="single"/>
        </w:rPr>
        <w:t>Assignment</w:t>
      </w:r>
      <w:r>
        <w:rPr>
          <w:rFonts w:ascii="Times New Roman;sans-serif" w:hAnsi="Times New Roman;sans-serif"/>
          <w:b w:val="false"/>
          <w:color w:val="000000"/>
          <w:sz w:val="20"/>
        </w:rPr>
        <w:t>. The Company shall have the right to assign this Agreement to any affiliate or subsidiary of the Company or any corporation or other entity acquiring all or substantially all the assets and business of the Company (including this Agreement), whether by operation of law or otherwise. Neither this Agreement nor any right or interest hereunder shall be assignable or transferable by the Consultant, his beneficiaries or legal representatives.</w:t>
      </w:r>
    </w:p>
    <w:p>
      <w:pPr>
        <w:pStyle w:val="TextBody"/>
        <w:spacing w:lineRule="auto" w:line="288" w:before="0" w:after="240"/>
        <w:ind w:left="0" w:right="0" w:hanging="720"/>
        <w:jc w:val="both"/>
        <w:rPr/>
      </w:pPr>
      <w:r>
        <w:rPr>
          <w:rFonts w:ascii="Times New Roman;sans-serif" w:hAnsi="Times New Roman;sans-serif"/>
          <w:b w:val="false"/>
          <w:color w:val="000000"/>
          <w:sz w:val="20"/>
        </w:rPr>
        <w:t>9.7</w:t>
      </w:r>
      <w:r>
        <w:rPr>
          <w:rFonts w:ascii="Times New Roman;sans-serif" w:hAnsi="Times New Roman;sans-serif"/>
          <w:b w:val="false"/>
          <w:color w:val="000000"/>
          <w:sz w:val="20"/>
          <w:u w:val="single"/>
        </w:rPr>
        <w:t>Survival</w:t>
      </w:r>
      <w:r>
        <w:rPr>
          <w:rFonts w:ascii="Times New Roman;sans-serif" w:hAnsi="Times New Roman;sans-serif"/>
          <w:b w:val="false"/>
          <w:color w:val="000000"/>
          <w:sz w:val="20"/>
        </w:rPr>
        <w:t>. The provisions of Sections 5 through 8 of this Agreement shall survive the rescission or termination, for any reason, of this Agreement.</w:t>
      </w:r>
    </w:p>
    <w:p>
      <w:pPr>
        <w:pStyle w:val="TextBody"/>
        <w:spacing w:lineRule="auto" w:line="288" w:before="0" w:after="240"/>
        <w:ind w:left="0" w:right="0" w:hanging="720"/>
        <w:jc w:val="both"/>
        <w:rPr/>
      </w:pPr>
      <w:r>
        <w:rPr>
          <w:rFonts w:ascii="Times New Roman;sans-serif" w:hAnsi="Times New Roman;sans-serif"/>
          <w:b w:val="false"/>
          <w:color w:val="000000"/>
          <w:sz w:val="20"/>
        </w:rPr>
        <w:t>9.8I</w:t>
      </w:r>
      <w:r>
        <w:rPr>
          <w:rFonts w:ascii="Times New Roman;sans-serif" w:hAnsi="Times New Roman;sans-serif"/>
          <w:b w:val="false"/>
          <w:color w:val="000000"/>
          <w:sz w:val="20"/>
          <w:u w:val="single"/>
        </w:rPr>
        <w:t>nterpretation</w:t>
      </w:r>
      <w:r>
        <w:rPr>
          <w:rFonts w:ascii="Times New Roman;sans-serif" w:hAnsi="Times New Roman;sans-serif"/>
          <w:b w:val="false"/>
          <w:color w:val="000000"/>
          <w:sz w:val="20"/>
        </w:rPr>
        <w:t>. The section headings contained herein are for reference purposes only and shall not in any way affect the meaning or interpretation of this Agreement.</w:t>
      </w:r>
    </w:p>
    <w:p>
      <w:pPr>
        <w:pStyle w:val="TextBody"/>
        <w:spacing w:lineRule="auto" w:line="288" w:before="0" w:after="240"/>
        <w:ind w:left="0" w:right="0" w:hanging="720"/>
        <w:jc w:val="both"/>
        <w:rPr/>
      </w:pPr>
      <w:r>
        <w:rPr>
          <w:rFonts w:ascii="Times New Roman;sans-serif" w:hAnsi="Times New Roman;sans-serif"/>
          <w:b w:val="false"/>
          <w:color w:val="000000"/>
          <w:sz w:val="20"/>
        </w:rPr>
        <w:t>9.9</w:t>
      </w:r>
      <w:r>
        <w:rPr>
          <w:rFonts w:ascii="Times New Roman;sans-serif" w:hAnsi="Times New Roman;sans-serif"/>
          <w:b w:val="false"/>
          <w:color w:val="000000"/>
          <w:sz w:val="20"/>
          <w:u w:val="single"/>
        </w:rPr>
        <w:t>Indemnification.</w:t>
      </w:r>
      <w:r>
        <w:rPr>
          <w:color w:val="000000"/>
        </w:rPr>
        <w:t xml:space="preserve"> </w:t>
      </w:r>
      <w:r>
        <w:rPr>
          <w:rFonts w:ascii="Times New Roman;sans-serif" w:hAnsi="Times New Roman;sans-serif"/>
          <w:b w:val="false"/>
          <w:color w:val="000000"/>
          <w:sz w:val="20"/>
        </w:rPr>
        <w:t>The Company will indemnify the Consultant for any liabilities resulting from the Services provided by Consultant to the Company hereunder, except for any liability resulting from the breach of sections 5,6,7 by the Consultant.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526415"/>
                <wp:effectExtent l="0" t="0" r="0" b="0"/>
                <wp:wrapNone/>
                <wp:docPr id="535" name="Frame52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4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Agreement to be executed by its duly authorized officers and the Consultant has executed this Agreement as of the day and year first above written.</w:t>
      </w:r>
    </w:p>
    <w:tbl>
      <w:tblPr>
        <w:tblW w:w="3261" w:type="dxa"/>
        <w:jc w:val="center"/>
        <w:tblInd w:w="0" w:type="dxa"/>
        <w:tblCellMar>
          <w:top w:w="28" w:type="dxa"/>
          <w:left w:w="28" w:type="dxa"/>
          <w:bottom w:w="28" w:type="dxa"/>
          <w:right w:w="28" w:type="dxa"/>
        </w:tblCellMar>
      </w:tblPr>
      <w:tblGrid>
        <w:gridCol w:w="523"/>
        <w:gridCol w:w="462"/>
        <w:gridCol w:w="462"/>
        <w:gridCol w:w="530"/>
        <w:gridCol w:w="530"/>
        <w:gridCol w:w="754"/>
      </w:tblGrid>
      <w:tr>
        <w:trPr/>
        <w:tc>
          <w:tcPr>
            <w:tcW w:w="52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r>
      <w:tr>
        <w:trPr/>
        <w:tc>
          <w:tcPr>
            <w:tcW w:w="326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KALTURA, INC.</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Michal Tsur</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Michal Tsur</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CONSULTANT: Ron Yekutiel</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Yekutiel</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Ron Yekutiel</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526415"/>
                <wp:effectExtent l="0" t="0" r="0" b="0"/>
                <wp:wrapNone/>
                <wp:docPr id="536" name="Frame52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CONSULTING AGREEMENT</w:t>
      </w:r>
    </w:p>
    <w:p>
      <w:pPr>
        <w:pStyle w:val="TextBody"/>
        <w:spacing w:lineRule="auto" w:line="288" w:before="0" w:after="180"/>
        <w:jc w:val="center"/>
        <w:rPr/>
      </w:pPr>
      <w:r>
        <w:rPr>
          <w:rFonts w:ascii="Times New Roman;sans-serif" w:hAnsi="Times New Roman;sans-serif"/>
          <w:b/>
          <w:color w:val="000000"/>
          <w:sz w:val="22"/>
        </w:rPr>
        <w:t>E</w:t>
      </w:r>
      <w:r>
        <w:rPr>
          <w:rFonts w:ascii="Times New Roman;sans-serif" w:hAnsi="Times New Roman;sans-serif"/>
          <w:b/>
          <w:color w:val="000000"/>
          <w:sz w:val="18"/>
        </w:rPr>
        <w:t xml:space="preserve">FFECTIVE </w:t>
      </w:r>
      <w:r>
        <w:rPr>
          <w:rFonts w:ascii="Times New Roman;sans-serif" w:hAnsi="Times New Roman;sans-serif"/>
          <w:b/>
          <w:color w:val="000000"/>
          <w:sz w:val="22"/>
        </w:rPr>
        <w:t>D</w:t>
      </w:r>
      <w:r>
        <w:rPr>
          <w:rFonts w:ascii="Times New Roman;sans-serif" w:hAnsi="Times New Roman;sans-serif"/>
          <w:b/>
          <w:color w:val="000000"/>
          <w:sz w:val="18"/>
        </w:rPr>
        <w:t>ATE</w:t>
      </w:r>
      <w:r>
        <w:rPr>
          <w:rFonts w:ascii="Times New Roman;sans-serif" w:hAnsi="Times New Roman;sans-serif"/>
          <w:b/>
          <w:color w:val="000000"/>
          <w:sz w:val="22"/>
        </w:rPr>
        <w:t>: January 1, 2018</w:t>
      </w:r>
    </w:p>
    <w:p>
      <w:pPr>
        <w:pStyle w:val="TextBody"/>
        <w:spacing w:lineRule="auto" w:line="288" w:before="0" w:after="180"/>
        <w:ind w:left="0" w:right="0" w:firstLine="720"/>
        <w:jc w:val="both"/>
        <w:rPr/>
      </w:pPr>
      <w:r>
        <w:rPr>
          <w:rFonts w:ascii="Times New Roman;sans-serif" w:hAnsi="Times New Roman;sans-serif"/>
          <w:b/>
          <w:color w:val="000000"/>
          <w:sz w:val="22"/>
        </w:rPr>
        <w:t>T</w:t>
      </w:r>
      <w:r>
        <w:rPr>
          <w:rFonts w:ascii="Times New Roman;sans-serif" w:hAnsi="Times New Roman;sans-serif"/>
          <w:b/>
          <w:color w:val="000000"/>
          <w:sz w:val="18"/>
        </w:rPr>
        <w:t>HIS</w:t>
      </w:r>
      <w:r>
        <w:rPr>
          <w:color w:val="000000"/>
        </w:rPr>
        <w:t xml:space="preserve"> </w:t>
      </w:r>
      <w:r>
        <w:rPr>
          <w:rFonts w:ascii="Times New Roman;sans-serif" w:hAnsi="Times New Roman;sans-serif"/>
          <w:b/>
          <w:color w:val="000000"/>
          <w:sz w:val="22"/>
        </w:rPr>
        <w:t>C</w:t>
      </w:r>
      <w:r>
        <w:rPr>
          <w:rFonts w:ascii="Times New Roman;sans-serif" w:hAnsi="Times New Roman;sans-serif"/>
          <w:b/>
          <w:color w:val="000000"/>
          <w:sz w:val="18"/>
        </w:rPr>
        <w:t xml:space="preserve">ONSULTING </w:t>
      </w:r>
      <w:r>
        <w:rPr>
          <w:rFonts w:ascii="Times New Roman;sans-serif" w:hAnsi="Times New Roman;sans-serif"/>
          <w:b/>
          <w:color w:val="000000"/>
          <w:sz w:val="22"/>
        </w:rPr>
        <w:t>A</w:t>
      </w:r>
      <w:r>
        <w:rPr>
          <w:rFonts w:ascii="Times New Roman;sans-serif" w:hAnsi="Times New Roman;sans-serif"/>
          <w:b/>
          <w:color w:val="000000"/>
          <w:sz w:val="18"/>
        </w:rPr>
        <w:t>GREEMENT</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Agreement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made as of the effective date set forth above by and between Kaltura Inc., a Delaware corporation ("</w:t>
      </w:r>
      <w:r>
        <w:rPr>
          <w:rFonts w:ascii="Times New Roman;sans-serif" w:hAnsi="Times New Roman;sans-serif"/>
          <w:b/>
          <w:i/>
          <w:color w:val="000000"/>
          <w:sz w:val="22"/>
        </w:rPr>
        <w:t>Client</w:t>
      </w:r>
      <w:r>
        <w:rPr>
          <w:rFonts w:ascii="Times New Roman;sans-serif" w:hAnsi="Times New Roman;sans-serif"/>
          <w:b w:val="false"/>
          <w:color w:val="000000"/>
          <w:sz w:val="22"/>
        </w:rPr>
        <w:t>") and the consultant named on the signature page hereto</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Consultant</w:t>
      </w:r>
      <w:r>
        <w:rPr>
          <w:rFonts w:ascii="Times New Roman;sans-serif" w:hAnsi="Times New Roman;sans-serif"/>
          <w:b w:val="false"/>
          <w:color w:val="000000"/>
          <w:sz w:val="22"/>
        </w:rPr>
        <w:t>")</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The Client desires to retain Consultant for the provision of chairman</w:t>
      </w:r>
      <w:r>
        <w:rPr>
          <w:color w:val="000000"/>
        </w:rPr>
        <w:t xml:space="preserve"> </w:t>
      </w:r>
      <w:r>
        <w:rPr>
          <w:rFonts w:ascii="Times New Roman;sans-serif" w:hAnsi="Times New Roman;sans-serif"/>
          <w:b w:val="false"/>
          <w:color w:val="000000"/>
          <w:sz w:val="22"/>
        </w:rPr>
        <w:t>services in Consultant's capacity as Chairman of the Board of Directors of Client (the</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Services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This Agreement replaces and supersedes any previous consulting agreement entered into between Consultant and Client. </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    Engagement of Services. </w:t>
      </w:r>
      <w:r>
        <w:rPr>
          <w:rFonts w:ascii="Times New Roman;sans-serif" w:hAnsi="Times New Roman;sans-serif"/>
          <w:b w:val="false"/>
          <w:color w:val="000000"/>
          <w:sz w:val="22"/>
        </w:rPr>
        <w:t>Subject to the terms of this Agreement, Consultant will</w:t>
      </w:r>
      <w:r>
        <w:rPr>
          <w:color w:val="000000"/>
        </w:rPr>
        <w:t xml:space="preserve"> </w:t>
      </w:r>
      <w:r>
        <w:rPr>
          <w:rFonts w:ascii="Times New Roman;sans-serif" w:hAnsi="Times New Roman;sans-serif"/>
          <w:b w:val="false"/>
          <w:color w:val="000000"/>
          <w:sz w:val="22"/>
        </w:rPr>
        <w:t>render the Services as directed by Client's Board of Directors. Except as otherwise provided herein, Consultant will have exclusive control over the manner and means of performing the Services, including the choice of place and time. Consultant will provide, at Consultant's own expense, a place of work and all equipment, tools and other materials necessary to complete the Services; however, to the extent necessary to facilitate performance of the Services, Client may, in its discretion, make its equipment or facilities available to Consultant at Consultant's request. While on the Client's premises, Consultant agrees to comply with Client's then-current access rules and procedures, including those related to safety, security and confidentially.</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2.    Compensation. </w:t>
      </w:r>
      <w:r>
        <w:rPr>
          <w:rFonts w:ascii="Times New Roman;sans-serif" w:hAnsi="Times New Roman;sans-serif"/>
          <w:b w:val="false"/>
          <w:color w:val="000000"/>
          <w:sz w:val="22"/>
        </w:rPr>
        <w:t>For all Services provided commencing July 1, 2018 and until termination of the Agreement, Client shall pay Consultant a monthly fee of USD $8,333 (the "</w:t>
      </w:r>
      <w:r>
        <w:rPr>
          <w:rFonts w:ascii="Times New Roman;sans-serif" w:hAnsi="Times New Roman;sans-serif"/>
          <w:b/>
          <w:i/>
          <w:color w:val="000000"/>
          <w:sz w:val="22"/>
        </w:rPr>
        <w:t>Monthly Fee</w:t>
      </w:r>
      <w:r>
        <w:rPr>
          <w:rFonts w:ascii="Times New Roman;sans-serif" w:hAnsi="Times New Roman;sans-serif"/>
          <w:b w:val="false"/>
          <w:color w:val="000000"/>
          <w:sz w:val="22"/>
        </w:rPr>
        <w:t>").The Monthly Fees for the second half of the 2018 calendar year (i.e., July 1, 2018 through December 31, 2018) shall be paid as follows: (a) USD $9,722 shall be payable at the end of each calendar month; and (b) a USD $8,332 overpayment will be offset by the end of January 2019. From January 1, 2019 until the termination of the Agreement, the full Monthly Fee (USD $8,333) shall be payable on a monthly basis.</w:t>
      </w:r>
    </w:p>
    <w:p>
      <w:pPr>
        <w:pStyle w:val="TextBody"/>
        <w:spacing w:lineRule="auto" w:line="288" w:before="0" w:after="180"/>
        <w:ind w:left="0" w:right="0" w:firstLine="720"/>
        <w:jc w:val="both"/>
        <w:rPr/>
      </w:pPr>
      <w:r>
        <w:rPr>
          <w:rFonts w:ascii="Times New Roman;sans-serif" w:hAnsi="Times New Roman;sans-serif"/>
          <w:b w:val="false"/>
          <w:color w:val="000000"/>
          <w:sz w:val="22"/>
        </w:rPr>
        <w:t>Consultant is also eligible for additional performance-based compensation and incentives (the "</w:t>
      </w:r>
      <w:r>
        <w:rPr>
          <w:rFonts w:ascii="Times New Roman;sans-serif" w:hAnsi="Times New Roman;sans-serif"/>
          <w:b/>
          <w:i/>
          <w:color w:val="000000"/>
          <w:sz w:val="22"/>
        </w:rPr>
        <w:t>Bonus</w:t>
      </w:r>
      <w:r>
        <w:rPr>
          <w:rFonts w:ascii="Times New Roman;sans-serif" w:hAnsi="Times New Roman;sans-serif"/>
          <w:b w:val="false"/>
          <w:color w:val="000000"/>
          <w:sz w:val="22"/>
        </w:rPr>
        <w:t>") as follows: The maximum amount of the Bonus per calender year (12 months) shall be:(a) a maximum Annual Bonus of USD $62,300; and (b) a maximum Additional Annual Stretch Bonus of USD $26,997. Consultant's entitlement to the bonus shall be determined, for each calender year, on the basis of the attainment of certain goals and objectives defined by Client Board of Directors (the "</w:t>
      </w:r>
      <w:r>
        <w:rPr>
          <w:rFonts w:ascii="Times New Roman;sans-serif" w:hAnsi="Times New Roman;sans-serif"/>
          <w:b/>
          <w:i/>
          <w:color w:val="000000"/>
          <w:sz w:val="22"/>
        </w:rPr>
        <w:t>Qualifying Objectives</w:t>
      </w:r>
      <w:r>
        <w:rPr>
          <w:rFonts w:ascii="Times New Roman;sans-serif" w:hAnsi="Times New Roman;sans-serif"/>
          <w:b w:val="false"/>
          <w:color w:val="000000"/>
          <w:sz w:val="22"/>
        </w:rPr>
        <w:t>").</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Qualifying Objectives for the 2018 calendar year, the Qualifying Objectives shall be as follows:</w:t>
      </w:r>
    </w:p>
    <w:p>
      <w:pPr>
        <w:pStyle w:val="TextBody"/>
        <w:spacing w:lineRule="auto" w:line="288" w:before="0" w:after="180"/>
        <w:ind w:left="0" w:right="0" w:hanging="720"/>
        <w:jc w:val="both"/>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2"/>
        </w:rPr>
        <w:t>One-third (1/3) of the on-target Annual Bonus shall be based on attainment of the New MRR Booking Goal ($2.163M)</w:t>
      </w:r>
    </w:p>
    <w:p>
      <w:pPr>
        <w:pStyle w:val="TextBody"/>
        <w:spacing w:lineRule="auto" w:line="288" w:before="0" w:after="180"/>
        <w:ind w:left="0" w:right="0" w:hanging="18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Linear from 75% to 100% of Annual New MRR Booking Goal; zero under 75% attainment (i.e., under $1.62M new MRR booking). Double rate north of 100% attainment up to a maximum of 150% attainment (which is attained at 125% of the Annual New MRR Booking Goal, i.e., at $2.7038M new MRR booking)</w:t>
      </w:r>
    </w:p>
    <w:p>
      <w:pPr>
        <w:pStyle w:val="TextBody"/>
        <w:spacing w:lineRule="auto" w:line="288" w:before="0" w:after="180"/>
        <w:ind w:left="0" w:right="0" w:hanging="720"/>
        <w:jc w:val="both"/>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2"/>
        </w:rPr>
        <w:t>One-third (1/3) of the on-target Annual Bonus shall be based on attainment of the Average % Gross MRR Churn Goal (-9.8%)</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150% for better than 7.5%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140% for 7.5-8% Gross MRR Churn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785495"/>
                <wp:effectExtent l="0" t="0" r="0" b="0"/>
                <wp:wrapNone/>
                <wp:docPr id="537" name="Frame530"/>
                <a:graphic xmlns:a="http://schemas.openxmlformats.org/drawingml/2006/main">
                  <a:graphicData uri="http://schemas.microsoft.com/office/word/2010/wordprocessingShape">
                    <wps:wsp>
                      <wps:cNvSpPr txBox="1"/>
                      <wps:spPr>
                        <a:xfrm>
                          <a:off x="0" y="0"/>
                          <a:ext cx="6480175" cy="785495"/>
                        </a:xfrm>
                        <a:prstGeom prst="rect"/>
                      </wps:spPr>
                      <wps:txbx>
                        <w:txbxContent>
                          <w:tbl>
                            <w:tblPr>
                              <w:tblW w:w="1990" w:type="dxa"/>
                              <w:jc w:val="center"/>
                              <w:tblInd w:w="0" w:type="dxa"/>
                              <w:tblCellMar>
                                <w:top w:w="28" w:type="dxa"/>
                                <w:left w:w="28" w:type="dxa"/>
                                <w:bottom w:w="28" w:type="dxa"/>
                                <w:right w:w="28" w:type="dxa"/>
                              </w:tblCellMar>
                            </w:tblPr>
                            <w:tblGrid>
                              <w:gridCol w:w="468"/>
                              <w:gridCol w:w="411"/>
                              <w:gridCol w:w="412"/>
                              <w:gridCol w:w="109"/>
                              <w:gridCol w:w="109"/>
                              <w:gridCol w:w="109"/>
                              <w:gridCol w:w="109"/>
                              <w:gridCol w:w="109"/>
                              <w:gridCol w:w="154"/>
                            </w:tblGrid>
                            <w:tr>
                              <w:trPr/>
                              <w:tc>
                                <w:tcPr>
                                  <w:tcW w:w="4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000000"/>
                                      <w:sz w:val="24"/>
                                    </w:rPr>
                                  </w:pPr>
                                  <w:r>
                                    <w:rPr>
                                      <w:rFonts w:ascii="Calibri;sans-serif" w:hAnsi="Calibri;sans-serif"/>
                                      <w:b w:val="false"/>
                                      <w:color w:val="000000"/>
                                      <w:sz w:val="24"/>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481.35pt;mso-position-horizontal:left;mso-position-horizontal-relative:text">
                <v:textbox>
                  <w:txbxContent>
                    <w:tbl>
                      <w:tblPr>
                        <w:tblW w:w="1990" w:type="dxa"/>
                        <w:jc w:val="center"/>
                        <w:tblInd w:w="0" w:type="dxa"/>
                        <w:tblCellMar>
                          <w:top w:w="28" w:type="dxa"/>
                          <w:left w:w="28" w:type="dxa"/>
                          <w:bottom w:w="28" w:type="dxa"/>
                          <w:right w:w="28" w:type="dxa"/>
                        </w:tblCellMar>
                      </w:tblPr>
                      <w:tblGrid>
                        <w:gridCol w:w="468"/>
                        <w:gridCol w:w="411"/>
                        <w:gridCol w:w="412"/>
                        <w:gridCol w:w="109"/>
                        <w:gridCol w:w="109"/>
                        <w:gridCol w:w="109"/>
                        <w:gridCol w:w="109"/>
                        <w:gridCol w:w="109"/>
                        <w:gridCol w:w="154"/>
                      </w:tblGrid>
                      <w:tr>
                        <w:trPr/>
                        <w:tc>
                          <w:tcPr>
                            <w:tcW w:w="4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Calibri;sans-serif" w:hAnsi="Calibri;sans-serif"/>
                                <w:b w:val="false"/>
                                <w:color w:val="000000"/>
                                <w:sz w:val="24"/>
                              </w:rPr>
                            </w:pPr>
                            <w:r>
                              <w:rPr>
                                <w:rFonts w:ascii="Calibri;sans-serif" w:hAnsi="Calibri;sans-serif"/>
                                <w:b w:val="false"/>
                                <w:color w:val="000000"/>
                                <w:sz w:val="24"/>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130% for 8-8.5%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120% for 8.5-9%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110% for 9-9.5%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100% for 9.5-10%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90% for 10-11%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80% for 11-12%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70% for 12-13%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60% for 13-14%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50% for 14-15% Gross MRR Churn</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No bonus for the churn component if over 15% Gross MRR Churn</w:t>
      </w:r>
    </w:p>
    <w:p>
      <w:pPr>
        <w:pStyle w:val="TextBody"/>
        <w:spacing w:lineRule="auto" w:line="288" w:before="0" w:after="180"/>
        <w:ind w:left="0" w:right="0" w:hanging="720"/>
        <w:jc w:val="both"/>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2"/>
        </w:rPr>
        <w:t>One-third (1/3) of the on-target Annual Bonus shall be based on attainment of the Free Cash Flow Annual Goal (negative $11.546M)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130% for better than ($7.0M)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120% for ($7.0M)    ($8.5M)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110% for ($8.5M)    ($10.0M)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100% for ($10.0M)    ($11.5M)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90% for ($11.5M)    ($12.0M)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80% for ($12.0M)    ($12.5M)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70% for ($12.5M)    ($13.0M)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60% for ($13.0M)    ($13.5M)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50% for ($13.5M)    ($14.0M)</w:t>
      </w:r>
    </w:p>
    <w:p>
      <w:pPr>
        <w:pStyle w:val="TextBody"/>
        <w:spacing w:lineRule="auto" w:line="288" w:before="0" w:after="180"/>
        <w:ind w:left="0" w:right="0" w:firstLine="1800"/>
        <w:rPr/>
      </w:pPr>
      <w:r>
        <w:rPr>
          <w:rFonts w:ascii="Courier New;monospace" w:hAnsi="Courier New;monospace"/>
          <w:b w:val="false"/>
          <w:color w:val="000000"/>
          <w:sz w:val="22"/>
        </w:rPr>
        <w:t xml:space="preserve">o </w:t>
      </w:r>
      <w:r>
        <w:rPr>
          <w:rFonts w:ascii="Times New Roman;sans-serif" w:hAnsi="Times New Roman;sans-serif"/>
          <w:b w:val="false"/>
          <w:color w:val="000000"/>
          <w:sz w:val="22"/>
        </w:rPr>
        <w:t>0% under ($14.0M)</w:t>
      </w:r>
    </w:p>
    <w:p>
      <w:pPr>
        <w:pStyle w:val="TextBody"/>
        <w:spacing w:lineRule="auto" w:line="288" w:before="0" w:after="180"/>
        <w:ind w:left="0" w:right="0" w:firstLine="720"/>
        <w:jc w:val="both"/>
        <w:rPr/>
      </w:pPr>
      <w:r>
        <w:rPr>
          <w:rFonts w:ascii="Times New Roman;sans-serif" w:hAnsi="Times New Roman;sans-serif"/>
          <w:b w:val="false"/>
          <w:color w:val="000000"/>
          <w:sz w:val="22"/>
        </w:rPr>
        <w:t>From September 2018 through the end of December 2018, Client shall pay Consultant USD $2,083 per month on account of the Bonus (the "</w:t>
      </w:r>
      <w:r>
        <w:rPr>
          <w:rFonts w:ascii="Times New Roman;sans-serif" w:hAnsi="Times New Roman;sans-serif"/>
          <w:b/>
          <w:i/>
          <w:color w:val="000000"/>
          <w:sz w:val="22"/>
        </w:rPr>
        <w:t>Monthly Bonus Amount</w:t>
      </w:r>
      <w:r>
        <w:rPr>
          <w:rFonts w:ascii="Times New Roman;sans-serif" w:hAnsi="Times New Roman;sans-serif"/>
          <w:b w:val="false"/>
          <w:color w:val="000000"/>
          <w:sz w:val="22"/>
        </w:rPr>
        <w:t>") Beginning from January 2019, the Monthly Bonus Amount shall increase to a total of USD $3,634 per month (i.e., the equivalent of 70% of the pro-rated Annual Bonus). The Monthly Bonus Amount shall be payable on a monthly basis, within 10 days of Client's receipt of an invoice submitted in accordance with the terms of this Agreement.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the end of Q2 of each calendar year, and again at the end of the calendar year, Client will assess attainment of the Qualifying Objectives, and will calculate Consultant's entitlement to the Bonus (or any portion thereof). In the event that Annual Bonus and Annual Additional Stretch Bonus attainment amounts exceed the aggregate Monthly Bonus Amounts paid during the applicable calendar year, then Consultant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75260"/>
                <wp:effectExtent l="0" t="0" r="0" b="0"/>
                <wp:wrapNone/>
                <wp:docPr id="538" name="Frame5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ind w:left="0" w:right="0" w:firstLine="720"/>
                        <w:jc w:val="center"/>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Annual Additional Stretch Bonus attainment amounts are lower than the aggregate Bonus amounts paid during the applicable calendar year, then such shortfall amount will be taken into account and deducted from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 For the avoidance of doubt, Client shall have exclusive discretion in determining whether or not any Bonus payment is paid to Consultant.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Client's Finance Department agrees in writing to an alternative arrangement,payment to Consultant of undisputed fees will be due 10 days following Clients"s receipt of an invoice that contains accurate records of the work performed sufficient to document the invoiced fees. Client will reimburse Consultant for pre-approved expenses against receipts, pursuant to Client's standard expense policies.</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3.    Ownership of Work Product. </w:t>
      </w:r>
      <w:r>
        <w:rPr>
          <w:rFonts w:ascii="Times New Roman;sans-serif" w:hAnsi="Times New Roman;sans-serif"/>
          <w:b w:val="false"/>
          <w:color w:val="000000"/>
          <w:sz w:val="22"/>
        </w:rPr>
        <w:t>Consultant agrees that any and all Work Product (as defined below) shall be the sole and exclusive property of Client. Consultant hereby irrevocably assigns to Client all right, title and interest worldwide in and to any ideas, concepts, processes, discoveries, developments, formulae, information, materials, improvements, designs, artwork, content, software programs, other copyrightable works, and any other work product created, conceived or developed by Consultant (whether alone or jointly with others) for Client during or before the term of this Agreement, including all copyrights, patents, trademarks, trade secrets, and other intellectual property rights therein ("</w:t>
      </w:r>
      <w:r>
        <w:rPr>
          <w:rFonts w:ascii="Times New Roman;sans-serif" w:hAnsi="Times New Roman;sans-serif"/>
          <w:b/>
          <w:i/>
          <w:color w:val="000000"/>
          <w:sz w:val="22"/>
        </w:rPr>
        <w:t>Work Product</w:t>
      </w:r>
      <w:r>
        <w:rPr>
          <w:rFonts w:ascii="Times New Roman;sans-serif" w:hAnsi="Times New Roman;sans-serif"/>
          <w:b w:val="false"/>
          <w:color w:val="000000"/>
          <w:sz w:val="22"/>
        </w:rPr>
        <w:t xml:space="preserve">"). Consultant retains no rights to use the Work Product and agrees not to challenge the validity of Client's ownership of the Work Product. Consultant agrees to execute, at Client's request and expense, all documents and other instruments necessary or desirable to confirm such assignment, including without limitation, the copyright assignment set forth as </w:t>
      </w:r>
      <w:r>
        <w:rPr>
          <w:rFonts w:ascii="Times New Roman;sans-serif" w:hAnsi="Times New Roman;sans-serif"/>
          <w:b/>
          <w:color w:val="000000"/>
          <w:sz w:val="22"/>
        </w:rPr>
        <w:t>E</w:t>
      </w:r>
      <w:r>
        <w:rPr>
          <w:rFonts w:ascii="Times New Roman;sans-serif" w:hAnsi="Times New Roman;sans-serif"/>
          <w:b/>
          <w:color w:val="000000"/>
          <w:sz w:val="18"/>
        </w:rPr>
        <w:t xml:space="preserve">XHIBIT </w:t>
      </w:r>
      <w:r>
        <w:rPr>
          <w:rFonts w:ascii="Times New Roman;sans-serif" w:hAnsi="Times New Roman;sans-serif"/>
          <w:b/>
          <w:color w:val="000000"/>
          <w:sz w:val="22"/>
        </w:rPr>
        <w:t xml:space="preserve">A </w:t>
      </w:r>
      <w:r>
        <w:rPr>
          <w:rFonts w:ascii="Times New Roman;sans-serif" w:hAnsi="Times New Roman;sans-serif"/>
          <w:b w:val="false"/>
          <w:color w:val="000000"/>
          <w:sz w:val="22"/>
        </w:rPr>
        <w:t>("</w:t>
      </w:r>
      <w:r>
        <w:rPr>
          <w:rFonts w:ascii="Times New Roman;sans-serif" w:hAnsi="Times New Roman;sans-serif"/>
          <w:b/>
          <w:i/>
          <w:color w:val="000000"/>
          <w:sz w:val="22"/>
        </w:rPr>
        <w:t xml:space="preserve">Assignment of Copyright </w:t>
      </w:r>
      <w:r>
        <w:rPr>
          <w:rFonts w:ascii="Times New Roman;sans-serif" w:hAnsi="Times New Roman;sans-serif"/>
          <w:b w:val="false"/>
          <w:color w:val="000000"/>
          <w:sz w:val="22"/>
        </w:rPr>
        <w:t xml:space="preserve">")and the patent assignment set forth as </w:t>
      </w:r>
      <w:r>
        <w:rPr>
          <w:rFonts w:ascii="Times New Roman;sans-serif" w:hAnsi="Times New Roman;sans-serif"/>
          <w:b/>
          <w:color w:val="000000"/>
          <w:sz w:val="22"/>
        </w:rPr>
        <w:t>E</w:t>
      </w:r>
      <w:r>
        <w:rPr>
          <w:rFonts w:ascii="Times New Roman;sans-serif" w:hAnsi="Times New Roman;sans-serif"/>
          <w:b/>
          <w:color w:val="000000"/>
          <w:sz w:val="18"/>
        </w:rPr>
        <w:t xml:space="preserve">XHIBIT </w:t>
      </w:r>
      <w:r>
        <w:rPr>
          <w:rFonts w:ascii="Times New Roman;sans-serif" w:hAnsi="Times New Roman;sans-serif"/>
          <w:b/>
          <w:color w:val="000000"/>
          <w:sz w:val="22"/>
        </w:rPr>
        <w:t xml:space="preserve">B </w:t>
      </w:r>
      <w:r>
        <w:rPr>
          <w:rFonts w:ascii="Times New Roman;sans-serif" w:hAnsi="Times New Roman;sans-serif"/>
          <w:b w:val="false"/>
          <w:color w:val="000000"/>
          <w:sz w:val="22"/>
        </w:rPr>
        <w:t>("</w:t>
      </w:r>
      <w:r>
        <w:rPr>
          <w:rFonts w:ascii="Times New Roman;sans-serif" w:hAnsi="Times New Roman;sans-serif"/>
          <w:b/>
          <w:i/>
          <w:color w:val="000000"/>
          <w:sz w:val="22"/>
        </w:rPr>
        <w:t>Assignment of Patent Application</w:t>
      </w:r>
      <w:r>
        <w:rPr>
          <w:rFonts w:ascii="Times New Roman;sans-serif" w:hAnsi="Times New Roman;sans-serif"/>
          <w:b w:val="false"/>
          <w:color w:val="000000"/>
          <w:sz w:val="22"/>
        </w:rPr>
        <w:t>"). Consultant hereby irrevocable appoints Client as Consultant's attorney-in- fact for the purpose of executing such documents on Consultant's behalf, which appointment is coupled with an interest.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4.    Other Rights. </w:t>
      </w:r>
      <w:r>
        <w:rPr>
          <w:rFonts w:ascii="Times New Roman;sans-serif" w:hAnsi="Times New Roman;sans-serif"/>
          <w:b w:val="false"/>
          <w:color w:val="000000"/>
          <w:sz w:val="22"/>
        </w:rPr>
        <w:t>If Consultant has any rights, including without limitation "artist's rights" or "moral rights," in the Work Product that cannot</w:t>
      </w:r>
      <w:r>
        <w:rPr>
          <w:color w:val="000000"/>
        </w:rPr>
        <w:t xml:space="preserve"> </w:t>
      </w:r>
      <w:r>
        <w:rPr>
          <w:rFonts w:ascii="Times New Roman;sans-serif" w:hAnsi="Times New Roman;sans-serif"/>
          <w:b w:val="false"/>
          <w:color w:val="000000"/>
          <w:sz w:val="22"/>
        </w:rPr>
        <w:t>be assigned, Consultant hereby unconditionally and irrevocably grants to Client an exclusive (even as to Consultant), worldwide, fully paid and royalty-free, irrevocable, perpetual license, with rights to sublicense through multiple tiers of sublicensees, to use, use, reproduce, distribute, create derivative works of, publicly perform and publicly display the Work Product in any medium or format, whether now known or later developed. In the event that Consultant has any rights in the Work Product that cannot be assigned or licensed, Consultant unconditionally and irrevocably waives the enforcement of such rights, and all claims and causes of action of any kind against Client or Client's customers.</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5.    License to Preexisting IP. </w:t>
      </w:r>
      <w:r>
        <w:rPr>
          <w:rFonts w:ascii="Times New Roman;sans-serif" w:hAnsi="Times New Roman;sans-serif"/>
          <w:b w:val="false"/>
          <w:color w:val="000000"/>
          <w:sz w:val="22"/>
        </w:rPr>
        <w:t>Consultant agrees not to use or incorporate into Work Product any intellectual property developed by any third party or by Consultant other than in the course of performing services for Client ("</w:t>
      </w:r>
      <w:r>
        <w:rPr>
          <w:rFonts w:ascii="Times New Roman;sans-serif" w:hAnsi="Times New Roman;sans-serif"/>
          <w:b/>
          <w:i/>
          <w:color w:val="000000"/>
          <w:sz w:val="22"/>
        </w:rPr>
        <w:t>Preexisting</w:t>
      </w:r>
      <w:r>
        <w:rPr>
          <w:rFonts w:ascii="Times New Roman;sans-serif" w:hAnsi="Times New Roman;sans-serif"/>
          <w:b w:val="false"/>
          <w:color w:val="000000"/>
          <w:sz w:val="22"/>
        </w:rPr>
        <w:t>"). In the event Consultant uses or incorporates Preexisting IP into Work Product, Consultant hereby grants to Client a non-exclusive, perpetual, fully-paid and royalty- free, irrevocable and worldwide right, with the right to sublicense through multiple levels of sublicensees, to use, reproduce, distribute, create derivative works of, publicly perform and publicly display in any medium or format, whether now known or later developed, such Preexisting IP incorporated or used in Work Product. Consultant represents and warrants that Consultant has an unqualified right to license to Client all Preexisting IP as provided in this section.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75260"/>
                <wp:effectExtent l="0" t="0" r="0" b="0"/>
                <wp:wrapNone/>
                <wp:docPr id="539" name="Frame5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ind w:left="0" w:right="0" w:firstLine="720"/>
                        <w:jc w:val="center"/>
                        <w:rPr/>
                      </w:pPr>
                      <w:r>
                        <w:rPr/>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2"/>
        </w:rPr>
        <w:t xml:space="preserve">6.    Representations and Warranties. </w:t>
      </w:r>
      <w:r>
        <w:rPr>
          <w:rFonts w:ascii="Times New Roman;sans-serif" w:hAnsi="Times New Roman;sans-serif"/>
          <w:b w:val="false"/>
          <w:color w:val="000000"/>
          <w:sz w:val="22"/>
        </w:rPr>
        <w:t>Consultant represents and warrants that: (a) the Services shall be performed in a professional manner and in accordance with the industry standards, (b) Work Product will be an original work of Consultant, (c) Consultant has the right and unrestricted ability to assign the ownership of Work Product to Client as set forth in Section 3 (including without limitation the right to assign the ownership of any Work Product created by Consultant's employees or contractors),(d) neither the Work Product nor any element thereof will infringe upon or misappropriate any copyright, patent, trademark, trade secret, right of publicity or privacy, or any other proprietary right of any person, whether contractual, statutory or common law, (e) Consultant has an unqualified right to grant to Client the license to Preexisting IP set forth in Section 5, (f) Consultant will comply with all applicable federal, state, local and foreign laws governing self-employed individuals, including laws requiring the payment of taxes, such as income and employment taxes, and social security, disability, and other contributions, and (g) Consultant will comply with all applicable laws and regulations relating to anti-bribery and anti-corruption, including but not limited to the U.S. Foreign Corrupt Practices Act, and will comply at all times with Anti-Corruption Compliance Policy, as may be updated from time to time ( Client's Anti- Corruption Compliance Policy is available here: http://corp.kaltura.com/content/anti-corruption compliance-policy-kaltura-inc, and is incorporated herein and made a part of the Agreement by reference). Consultant agrees to indemnify and hold Client harmless from any and all damages, costs, claims, expenses or other liability (including reasonable attorneys' fees) arising from or relating to the breach or alleged breach by Consultant of the representations and warranties set forth in this Section 6.</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7.    Independent Contractor Relationship. </w:t>
      </w:r>
      <w:r>
        <w:rPr>
          <w:rFonts w:ascii="Times New Roman;sans-serif" w:hAnsi="Times New Roman;sans-serif"/>
          <w:b w:val="false"/>
          <w:color w:val="000000"/>
          <w:sz w:val="22"/>
        </w:rPr>
        <w:t>Consultant's relationship with Client is that of an independent contractor, and nothing in this Agreement is intended to, or should be construed to, create a partnership, agency, joint venture or employment relationship between Client any of Consultant's employees or agents. Consultant is not authorized to make any representation, contract or commitment on behalf of Client.Consultant (if Consultant is an individual) and Consultant's employees will not be entitled to any of the benefits that Client may make available to its employees, including, but not limited to, group health or life insurance, profit-sharing or retirement benefits. Because Consultant is an independent contractor, Client will not withhold or make payments for social security, make unemployment insurance or disability insurance contributions, or obtain workers' compensation insurance on behalf of Consultant. Consultant is solely responsible for, and will file, on a timely basis, all tax returns and payments required to be filed with, or made to, any federal, state or local tax authority with respect to the performance of Services and receipt of fees under this Agreement. Consultant is solely responsible for, and must maintain adequate records of, expenses incurred in the course of performing Services under this Agreement. No part of Consultant's compensation will be subject to withholding by Client for the payment of any social security, federal, state or any other employee payroll taxes. Client will regularly report amounts paid to Consultant by filing Form 1099-MISC with the Internal Revenue Service as required by law. If, notwithstanding the foregoing, Consultant is reclassified as an employee of Client, or any affiliate of Client, by the U.S. Internal Revenue Service, the U.S. Department of Labor, or any other federal or state or foreign agency as the result of any administrative or judicial proceeding, Consultant agrees that Consultant will not, as the result of such reclassification, be entitled to or eligible for, on either a prospective or retrospective basis, any employee benefits under any plans or programs established or maintained by Client.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8.    Confidential Information. </w:t>
      </w:r>
      <w:r>
        <w:rPr>
          <w:rFonts w:ascii="Times New Roman;sans-serif" w:hAnsi="Times New Roman;sans-serif"/>
          <w:b w:val="false"/>
          <w:color w:val="000000"/>
          <w:sz w:val="22"/>
        </w:rPr>
        <w:t>Consultant agrees that during the term of this Agreement and thereafter it will not use or permit the use of Client's Confidential Information in any manner or for any purpose not expressly set forth in this Agreement, will hold such Confidential Information in confidence and protect it from unauthorized use and disclosure, and will not disclose such Confidential Information to any third parties. "</w:t>
      </w:r>
      <w:r>
        <w:rPr>
          <w:rFonts w:ascii="Times New Roman;sans-serif" w:hAnsi="Times New Roman;sans-serif"/>
          <w:b/>
          <w:i/>
          <w:color w:val="000000"/>
          <w:sz w:val="22"/>
        </w:rPr>
        <w:t>Confidential Information</w:t>
      </w:r>
      <w:r>
        <w:rPr>
          <w:rFonts w:ascii="Times New Roman;sans-serif" w:hAnsi="Times New Roman;sans-serif"/>
          <w:b w:val="false"/>
          <w:color w:val="000000"/>
          <w:sz w:val="22"/>
        </w:rPr>
        <w:t xml:space="preserve">" as used in this Agreement shall mean all information disclosed by Client to Consultant, whether during or before the term of this Agreement, that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75260"/>
                <wp:effectExtent l="0" t="0" r="0" b="0"/>
                <wp:wrapNone/>
                <wp:docPr id="540" name="Frame5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ind w:left="0" w:right="0" w:firstLine="720"/>
                        <w:jc w:val="center"/>
                        <w:rPr/>
                      </w:pPr>
                      <w:r>
                        <w:rPr/>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2"/>
        </w:rPr>
        <w:t xml:space="preserve">is not generally known in the Client's trade or industry and shall include,without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between the parties; and (e) any information regarding the skills and compensation of employees, contractors or other agents of Client or its subsidiaries or affiliates. Confidential Information also includes proprietary or confidential information of any third party who may disclose such information to Client or Consultant in the course of Client's business Confidential Information does not include information that (x) is or becomes a part of the public domain through no act or omission of Consultant, (y) is disclosed to Consultant by a third party without restrictions on disclosure, or (z) was in Consultant's lawful possession prior to the disclosure and was not obtained by Consultant either directly or indirectly from Client. In addition, this section will not be construed to prohibit disclosure of Confidential Information to the extent that such disclosure is required by law or valid order of a court or other governmental authority;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Consultant shall first have given notice to Client and shall have made a reasonable effort to obtain a protective order requiring that the Confidential Information so disclosed be used only for the purposes for which the order was issued. All Confidential Information furnished to Consultant by Client is the sole and exclusive property of Client or its suppliers or customers. Upon request by Client, Consultant agrees to promptly deliver to Client the original and any copies of the Confidential Information. Notwithstanding the foregoing nondisclosure obligations, pursuant to 18 U.S.C. Section 1833(b), Consultant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9.    No Conflict of Interest. </w:t>
      </w:r>
      <w:r>
        <w:rPr>
          <w:rFonts w:ascii="Times New Roman;sans-serif" w:hAnsi="Times New Roman;sans-serif"/>
          <w:b w:val="false"/>
          <w:color w:val="000000"/>
          <w:sz w:val="22"/>
        </w:rPr>
        <w:t>During the term of this Agreement, Consultant will not accept work, enter into a contract, or accept an obligation from any third party, inconsistent or incompatible with Consultant's obligations, or the scope of Services rendered for Client, under this Agreement. Consultant warrants that there is no other contract or duty on its part inconsistent with this Agreement. Consultant will promptly report to Client any request or demand for any undue financial or other advantage of any kind received by Consultant in connection with the performance of this Agreement. Consultant agrees to indemnify Client from any and all loss or liability incurred by reason of the alleged breach by Consultant of any services agreement with any third party.</w:t>
      </w:r>
    </w:p>
    <w:p>
      <w:pPr>
        <w:pStyle w:val="TextBody"/>
        <w:spacing w:lineRule="auto" w:line="288" w:before="0" w:after="180"/>
        <w:ind w:left="0" w:right="0" w:firstLine="720"/>
        <w:rPr>
          <w:rFonts w:ascii="Times New Roman;sans-serif" w:hAnsi="Times New Roman;sans-serif"/>
          <w:b/>
          <w:color w:val="000000"/>
          <w:sz w:val="22"/>
        </w:rPr>
      </w:pPr>
      <w:r>
        <w:rPr>
          <w:rFonts w:ascii="Times New Roman;sans-serif" w:hAnsi="Times New Roman;sans-serif"/>
          <w:b/>
          <w:color w:val="000000"/>
          <w:sz w:val="22"/>
        </w:rPr>
        <w:t>10.    Term and Termination.</w:t>
      </w:r>
    </w:p>
    <w:p>
      <w:pPr>
        <w:pStyle w:val="TextBody"/>
        <w:spacing w:lineRule="auto" w:line="288" w:before="0" w:after="180"/>
        <w:ind w:left="0" w:right="0" w:firstLine="1530"/>
        <w:jc w:val="both"/>
        <w:rPr/>
      </w:pPr>
      <w:r>
        <w:rPr>
          <w:rFonts w:ascii="Times New Roman;sans-serif" w:hAnsi="Times New Roman;sans-serif"/>
          <w:b/>
          <w:color w:val="000000"/>
          <w:sz w:val="22"/>
        </w:rPr>
        <w:t xml:space="preserve">10.1    Term. </w:t>
      </w:r>
      <w:r>
        <w:rPr>
          <w:rFonts w:ascii="Times New Roman;sans-serif" w:hAnsi="Times New Roman;sans-serif"/>
          <w:b w:val="false"/>
          <w:color w:val="000000"/>
          <w:sz w:val="22"/>
        </w:rPr>
        <w:t xml:space="preserve">The initial term of this Agreement is for </w:t>
      </w:r>
      <w:r>
        <w:rPr>
          <w:rFonts w:ascii="Times New Roman;sans-serif" w:hAnsi="Times New Roman;sans-serif"/>
          <w:b/>
          <w:color w:val="000000"/>
          <w:sz w:val="22"/>
        </w:rPr>
        <w:t xml:space="preserve">2 years </w:t>
      </w:r>
      <w:r>
        <w:rPr>
          <w:rFonts w:ascii="Times New Roman;sans-serif" w:hAnsi="Times New Roman;sans-serif"/>
          <w:b w:val="false"/>
          <w:color w:val="000000"/>
          <w:sz w:val="22"/>
        </w:rPr>
        <w:t>from the Effective Date set forth above, unless earlier terminated as provided in this Agreement.</w:t>
      </w:r>
    </w:p>
    <w:p>
      <w:pPr>
        <w:pStyle w:val="TextBody"/>
        <w:spacing w:lineRule="auto" w:line="288" w:before="0" w:after="180"/>
        <w:ind w:left="0" w:right="0" w:firstLine="1530"/>
        <w:jc w:val="both"/>
        <w:rPr/>
      </w:pPr>
      <w:r>
        <w:rPr>
          <w:rFonts w:ascii="Times New Roman;sans-serif" w:hAnsi="Times New Roman;sans-serif"/>
          <w:b/>
          <w:color w:val="000000"/>
          <w:sz w:val="22"/>
        </w:rPr>
        <w:t xml:space="preserve">10.2    Termination Without Cause. </w:t>
      </w:r>
      <w:r>
        <w:rPr>
          <w:rFonts w:ascii="Times New Roman;sans-serif" w:hAnsi="Times New Roman;sans-serif"/>
          <w:b w:val="false"/>
          <w:color w:val="000000"/>
          <w:sz w:val="22"/>
        </w:rPr>
        <w:t>Client may terminate this Agreement with or without cause, at any time upon 90 days' prior written notice to Consultant. Consultant may terminate this agreement without cause, at any time upon 60 days' prior written notice to Client.</w:t>
      </w:r>
    </w:p>
    <w:p>
      <w:pPr>
        <w:pStyle w:val="TextBody"/>
        <w:spacing w:lineRule="auto" w:line="288" w:before="0" w:after="180"/>
        <w:ind w:left="0" w:right="0" w:firstLine="1530"/>
        <w:jc w:val="both"/>
        <w:rPr/>
      </w:pPr>
      <w:r>
        <w:rPr>
          <w:rFonts w:ascii="Times New Roman;sans-serif" w:hAnsi="Times New Roman;sans-serif"/>
          <w:b/>
          <w:color w:val="000000"/>
          <w:sz w:val="22"/>
        </w:rPr>
        <w:t xml:space="preserve">10.3    Termination for Cause. </w:t>
      </w:r>
      <w:r>
        <w:rPr>
          <w:rFonts w:ascii="Times New Roman;sans-serif" w:hAnsi="Times New Roman;sans-serif"/>
          <w:b w:val="false"/>
          <w:color w:val="000000"/>
          <w:sz w:val="22"/>
        </w:rPr>
        <w:t>Client may terminate this Agreement immediately for Cause (as such term is defined below). For purposes of this Agreement, "Cause" shall include: (i) a continuing failure by Consultant to render the Services to Client in accordance with his herein designated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75260"/>
                <wp:effectExtent l="0" t="0" r="0" b="0"/>
                <wp:wrapNone/>
                <wp:docPr id="541" name="Frame5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ind w:left="0" w:right="0" w:firstLine="720"/>
                        <w:jc w:val="center"/>
                        <w:rPr/>
                      </w:pPr>
                      <w:r>
                        <w:rPr/>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duties, and such failure of performance has continued for more than sixty (60) days after written notice thereof has been provided to Consultant by the Board of Directors; (ii) the entry of a court judgment declaring willful misconduct or gross negligence by Consultant; (iii) Consultant's conviction of a felony either in connection with the performance of his obligations to Client or otherwise; (iv) willful disloyalty, deliberate dishonesty, breach of fiduciary duty, or material breach of the terms of this Agreement; (v) the entry of a court judgment finding the Consultant guilty of an act of fraud or embezzlement; or (vi) deliberate disregard for the rules or policies of Client that results in a material loss, damage or injury to Client.</w:t>
      </w:r>
    </w:p>
    <w:p>
      <w:pPr>
        <w:pStyle w:val="TextBody"/>
        <w:spacing w:lineRule="auto" w:line="288" w:before="0" w:after="180"/>
        <w:ind w:left="0" w:right="0" w:firstLine="1530"/>
        <w:jc w:val="both"/>
        <w:rPr/>
      </w:pPr>
      <w:r>
        <w:rPr>
          <w:rFonts w:ascii="Times New Roman;sans-serif" w:hAnsi="Times New Roman;sans-serif"/>
          <w:b/>
          <w:color w:val="000000"/>
          <w:sz w:val="22"/>
        </w:rPr>
        <w:t xml:space="preserve">10.4    Survival. </w:t>
      </w:r>
      <w:r>
        <w:rPr>
          <w:rFonts w:ascii="Times New Roman;sans-serif" w:hAnsi="Times New Roman;sans-serif"/>
          <w:b w:val="false"/>
          <w:color w:val="000000"/>
          <w:sz w:val="22"/>
        </w:rPr>
        <w:t>The rights and obligations contained in Sections 3 ("</w:t>
      </w:r>
      <w:r>
        <w:rPr>
          <w:rFonts w:ascii="Times New Roman;sans-serif" w:hAnsi="Times New Roman;sans-serif"/>
          <w:b/>
          <w:i/>
          <w:color w:val="000000"/>
          <w:sz w:val="22"/>
        </w:rPr>
        <w:t>Ownership of Work Product</w:t>
      </w:r>
      <w:r>
        <w:rPr>
          <w:rFonts w:ascii="Times New Roman;sans-serif" w:hAnsi="Times New Roman;sans-serif"/>
          <w:b w:val="false"/>
          <w:color w:val="000000"/>
          <w:sz w:val="22"/>
        </w:rPr>
        <w:t>") 4 ("</w:t>
      </w:r>
      <w:r>
        <w:rPr>
          <w:rFonts w:ascii="Times New Roman;sans-serif" w:hAnsi="Times New Roman;sans-serif"/>
          <w:b/>
          <w:i/>
          <w:color w:val="000000"/>
          <w:sz w:val="22"/>
        </w:rPr>
        <w:t>Other Rights</w:t>
      </w:r>
      <w:r>
        <w:rPr>
          <w:rFonts w:ascii="Times New Roman;sans-serif" w:hAnsi="Times New Roman;sans-serif"/>
          <w:b w:val="false"/>
          <w:color w:val="000000"/>
          <w:sz w:val="22"/>
        </w:rPr>
        <w:t>") 5 ("</w:t>
      </w:r>
      <w:r>
        <w:rPr>
          <w:rFonts w:ascii="Times New Roman;sans-serif" w:hAnsi="Times New Roman;sans-serif"/>
          <w:b/>
          <w:i/>
          <w:color w:val="000000"/>
          <w:sz w:val="22"/>
        </w:rPr>
        <w:t>License to Preexisting IP</w:t>
      </w:r>
      <w:r>
        <w:rPr>
          <w:rFonts w:ascii="Times New Roman;sans-serif" w:hAnsi="Times New Roman;sans-serif"/>
          <w:b w:val="false"/>
          <w:color w:val="000000"/>
          <w:sz w:val="22"/>
        </w:rPr>
        <w:t>") 6 ("</w:t>
      </w:r>
      <w:r>
        <w:rPr>
          <w:rFonts w:ascii="Times New Roman;sans-serif" w:hAnsi="Times New Roman;sans-serif"/>
          <w:b/>
          <w:i/>
          <w:color w:val="000000"/>
          <w:sz w:val="22"/>
        </w:rPr>
        <w:t xml:space="preserve">Representations and Warranties </w:t>
      </w:r>
      <w:r>
        <w:rPr>
          <w:rFonts w:ascii="Times New Roman;sans-serif" w:hAnsi="Times New Roman;sans-serif"/>
          <w:b w:val="false"/>
          <w:color w:val="000000"/>
          <w:sz w:val="22"/>
        </w:rPr>
        <w:t>"), 8 ("</w:t>
      </w:r>
      <w:r>
        <w:rPr>
          <w:rFonts w:ascii="Times New Roman;sans-serif" w:hAnsi="Times New Roman;sans-serif"/>
          <w:b/>
          <w:i/>
          <w:color w:val="000000"/>
          <w:sz w:val="22"/>
        </w:rPr>
        <w:t>Confidential Information</w:t>
      </w:r>
      <w:r>
        <w:rPr>
          <w:rFonts w:ascii="Times New Roman;sans-serif" w:hAnsi="Times New Roman;sans-serif"/>
          <w:b w:val="false"/>
          <w:color w:val="000000"/>
          <w:sz w:val="22"/>
        </w:rPr>
        <w:t>") and 11 ("</w:t>
      </w:r>
      <w:r>
        <w:rPr>
          <w:rFonts w:ascii="Times New Roman;sans-serif" w:hAnsi="Times New Roman;sans-serif"/>
          <w:b/>
          <w:i/>
          <w:color w:val="000000"/>
          <w:sz w:val="22"/>
        </w:rPr>
        <w:t>Noninterference with Business</w:t>
      </w:r>
      <w:r>
        <w:rPr>
          <w:rFonts w:ascii="Times New Roman;sans-serif" w:hAnsi="Times New Roman;sans-serif"/>
          <w:b w:val="false"/>
          <w:color w:val="000000"/>
          <w:sz w:val="22"/>
        </w:rPr>
        <w:t>") will survive any termination or expiration of this Agreement.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11.    Noninterference with Business. </w:t>
      </w:r>
      <w:r>
        <w:rPr>
          <w:rFonts w:ascii="Times New Roman;sans-serif" w:hAnsi="Times New Roman;sans-serif"/>
          <w:b w:val="false"/>
          <w:color w:val="000000"/>
          <w:sz w:val="22"/>
        </w:rPr>
        <w:t>Consultant agrees that during the Term of this agreement, Consultant will not, without Client's express written consent, either directly or indirectly engage in any employment or business activity that is competitive with, or would otherwise conflict with the Services rendered to, or that would otherwise interfere with the business of, the Client. Consultant agrees that during the Term of this Agreement, and for one year thereafter, Consultant will not: (i) either directly or indirectly, solicit or attempt to solicit any employee, independent contractor, or consultant of Client to terminate his, her or its relationship with Client in order to become an employee, consultant, or independent contractor to or for any other person or entity; or (ii) divert or attempt to divert from Client any business whatsoever by influencing or attempting to influence any customer or supplier of Client.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12.    Successors and Assigns. </w:t>
      </w:r>
      <w:r>
        <w:rPr>
          <w:rFonts w:ascii="Times New Roman;sans-serif" w:hAnsi="Times New Roman;sans-serif"/>
          <w:b w:val="false"/>
          <w:color w:val="000000"/>
          <w:sz w:val="22"/>
        </w:rPr>
        <w:t>Consultant may not subcontract or otherwise delegate or assign this agreement or any of its obligations under this Agreement without Client's prior written consent.Any attempted assignment in violation of the foregoing shall be null and void. Subject to the foregoing, this Agreement will be for the benefit of Client's successors and assigns, and will be binding on Consultant's assignees.</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13.    Notices. </w:t>
      </w:r>
      <w:r>
        <w:rPr>
          <w:rFonts w:ascii="Times New Roman;sans-serif" w:hAnsi="Times New Roman;sans-serif"/>
          <w:b w:val="false"/>
          <w:color w:val="000000"/>
          <w:sz w:val="22"/>
        </w:rPr>
        <w:t>Any notice required or permitted by this Agreement shall be in writing and shall be delivered as follows with notice deemed given as indicated: (i) by personal delivery when 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shall be sent to the addresses set forth below or such other address as either party may specify in writing.</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14.    Governing Law. </w:t>
      </w:r>
      <w:r>
        <w:rPr>
          <w:rFonts w:ascii="Times New Roman;sans-serif" w:hAnsi="Times New Roman;sans-serif"/>
          <w:b w:val="false"/>
          <w:color w:val="000000"/>
          <w:sz w:val="22"/>
        </w:rPr>
        <w:t>This Agreement shall be governed in all respects by the laws of the United States of America and by the laws of the State of New York, without giving effect to any conflicts of laws principles that require the application of the law of a different jurisdiction.</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15.    Severability. </w:t>
      </w:r>
      <w:r>
        <w:rPr>
          <w:rFonts w:ascii="Times New Roman;sans-serif" w:hAnsi="Times New Roman;sans-serif"/>
          <w:b w:val="false"/>
          <w:color w:val="000000"/>
          <w:sz w:val="22"/>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16.    Waiver. </w:t>
      </w:r>
      <w:r>
        <w:rPr>
          <w:rFonts w:ascii="Times New Roman;sans-serif" w:hAnsi="Times New Roman;sans-serif"/>
          <w:b w:val="false"/>
          <w:color w:val="000000"/>
          <w:sz w:val="22"/>
        </w:rPr>
        <w:t>The waiver by Client of a breach of any provision of this Agreement by Consultant shall not operate or be construed as a waiver of any other or subsequent breach by Consultant.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17.    Injunctive Relief for Breach. </w:t>
      </w:r>
      <w:r>
        <w:rPr>
          <w:rFonts w:ascii="Times New Roman;sans-serif" w:hAnsi="Times New Roman;sans-serif"/>
          <w:b w:val="false"/>
          <w:color w:val="000000"/>
          <w:sz w:val="22"/>
        </w:rPr>
        <w:t xml:space="preserve">Consultant's obligations under this agreement are of a unique character that gives them particular value; breach of any of such obligations will result in irreparable and continuing damage to Client for which there will be no adequate remedy at law; and, in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75260"/>
                <wp:effectExtent l="0" t="0" r="0" b="0"/>
                <wp:wrapNone/>
                <wp:docPr id="542" name="Frame5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ind w:left="0" w:right="0" w:firstLine="720"/>
                        <w:jc w:val="center"/>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event of such breach, Client will be entitled to injunctive relief and/or a decree for specific performance, and such other and further relief as may be proper (including monetary damages if appropriate).</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18.    Entire Agreement. </w:t>
      </w:r>
      <w:r>
        <w:rPr>
          <w:rFonts w:ascii="Times New Roman;sans-serif" w:hAnsi="Times New Roman;sans-serif"/>
          <w:b w:val="false"/>
          <w:color w:val="000000"/>
          <w:sz w:val="22"/>
        </w:rPr>
        <w:t>This Agreement constitutes the entire agreement between the parties relating to this subject matter and supersedes all prior or contemporaneous oral or written agreements concerning such subject matter. The terms of this Agreement will govern all services undertaken by Consultant for Client. This Agreement may only be changed or amended by mutual agreement of authorized representatives of the parties in writing. The Agreement may be executed in one or more counterparts, each of which shall be deemed an original and all of which shall be taken together and deemed to be one instrument.</w:t>
      </w:r>
    </w:p>
    <w:p>
      <w:pPr>
        <w:pStyle w:val="TextBody"/>
        <w:spacing w:lineRule="auto" w:line="288" w:before="0" w:after="18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75260"/>
                <wp:effectExtent l="0" t="0" r="0" b="0"/>
                <wp:wrapNone/>
                <wp:docPr id="543" name="Frame5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center"/>
                        <w:rPr/>
                      </w:pPr>
                      <w:r>
                        <w:rPr/>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parties have executed this Agreement as of the Effective Date.</w:t>
      </w:r>
    </w:p>
    <w:tbl>
      <w:tblPr>
        <w:tblW w:w="5028" w:type="dxa"/>
        <w:jc w:val="left"/>
        <w:tblInd w:w="0" w:type="dxa"/>
        <w:tblCellMar>
          <w:top w:w="28" w:type="dxa"/>
          <w:left w:w="28" w:type="dxa"/>
          <w:bottom w:w="28" w:type="dxa"/>
          <w:right w:w="28" w:type="dxa"/>
        </w:tblCellMar>
      </w:tblPr>
      <w:tblGrid>
        <w:gridCol w:w="124"/>
        <w:gridCol w:w="109"/>
        <w:gridCol w:w="109"/>
        <w:gridCol w:w="168"/>
        <w:gridCol w:w="168"/>
        <w:gridCol w:w="168"/>
        <w:gridCol w:w="289"/>
        <w:gridCol w:w="289"/>
        <w:gridCol w:w="289"/>
        <w:gridCol w:w="968"/>
        <w:gridCol w:w="968"/>
        <w:gridCol w:w="13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6"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2"/>
              </w:rPr>
              <w:t>K</w:t>
            </w:r>
            <w:r>
              <w:rPr>
                <w:rFonts w:ascii="Times New Roman;sans-serif" w:hAnsi="Times New Roman;sans-serif"/>
                <w:b/>
                <w:color w:val="000000"/>
                <w:sz w:val="18"/>
              </w:rPr>
              <w:t>ALTURA</w:t>
            </w:r>
            <w:r>
              <w:rPr>
                <w:color w:val="000000"/>
              </w:rPr>
              <w:t xml:space="preserve"> </w:t>
            </w:r>
            <w:r>
              <w:rPr>
                <w:rFonts w:ascii="Times New Roman;sans-serif" w:hAnsi="Times New Roman;sans-serif"/>
                <w:b/>
                <w:color w:val="000000"/>
                <w:sz w:val="22"/>
              </w:rPr>
              <w:t>I</w:t>
            </w:r>
            <w:r>
              <w:rPr>
                <w:rFonts w:ascii="Times New Roman;sans-serif" w:hAnsi="Times New Roman;sans-serif"/>
                <w:b/>
                <w:color w:val="000000"/>
                <w:sz w:val="18"/>
              </w:rPr>
              <w:t>NC</w:t>
            </w:r>
            <w:r>
              <w:rPr>
                <w:rFonts w:ascii="Times New Roman;sans-serif" w:hAnsi="Times New Roman;sans-serif"/>
                <w:b/>
                <w:color w:val="000000"/>
                <w:sz w:val="22"/>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18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Yaron Garmazi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Yaron Garmazi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Address:</w:t>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250 Park Avenue South</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10th Floor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York, New York 10003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CONSULTANT: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Ron Yekutiel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Consultant (Please Print)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Ron Yekutiel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u w:val="single"/>
              </w:rPr>
              <w:t>Address</w:t>
            </w:r>
            <w:r>
              <w:rPr>
                <w:rFonts w:ascii="Times New Roman;sans-serif" w:hAnsi="Times New Roman;sans-serif"/>
                <w:b w:val="false"/>
                <w:color w:val="000000"/>
                <w:sz w:val="22"/>
              </w:rPr>
              <w:t xml:space="preserve">: </w:t>
            </w:r>
          </w:p>
        </w:tc>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75260"/>
                <wp:effectExtent l="0" t="0" r="0" b="0"/>
                <wp:wrapNone/>
                <wp:docPr id="544" name="Frame5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ind w:left="0" w:right="0" w:firstLine="720"/>
        <w:jc w:val="center"/>
        <w:rPr/>
      </w:pPr>
      <w:r>
        <w:rPr>
          <w:rFonts w:ascii="Times New Roman;sans-serif" w:hAnsi="Times New Roman;sans-serif"/>
          <w:b/>
          <w:color w:val="000000"/>
          <w:sz w:val="22"/>
        </w:rPr>
        <w:t>E</w:t>
      </w:r>
      <w:r>
        <w:rPr>
          <w:rFonts w:ascii="Times New Roman;sans-serif" w:hAnsi="Times New Roman;sans-serif"/>
          <w:b/>
          <w:color w:val="000000"/>
          <w:sz w:val="18"/>
        </w:rPr>
        <w:t xml:space="preserve">XHIBIT </w:t>
      </w:r>
      <w:r>
        <w:rPr>
          <w:rFonts w:ascii="Times New Roman;sans-serif" w:hAnsi="Times New Roman;sans-serif"/>
          <w:b/>
          <w:color w:val="000000"/>
          <w:sz w:val="22"/>
        </w:rPr>
        <w:t>A</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ASSIGNMENT OF COPYRIGHT</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For good and valuable consideration that has been received, the undersigned sells, assigns and transfers to Client and its successors and assigns, the copyright in and to the following work, which was created by the following indicated author(s):</w:t>
      </w:r>
    </w:p>
    <w:p>
      <w:pPr>
        <w:pStyle w:val="TextBody"/>
        <w:spacing w:lineRule="auto" w:line="288" w:before="0" w:after="180"/>
        <w:rPr>
          <w:rFonts w:ascii="Times New Roman;sans-serif" w:hAnsi="Times New Roman;sans-serif"/>
          <w:b w:val="false"/>
          <w:color w:val="000000"/>
          <w:sz w:val="22"/>
        </w:rPr>
      </w:pPr>
      <w:r>
        <w:rPr>
          <w:rFonts w:ascii="Times New Roman;sans-serif" w:hAnsi="Times New Roman;sans-serif"/>
          <w:b w:val="false"/>
          <w:color w:val="000000"/>
          <w:sz w:val="22"/>
        </w:rPr>
        <w:t>Title: _____________________________________________________________________</w:t>
      </w:r>
    </w:p>
    <w:p>
      <w:pPr>
        <w:pStyle w:val="TextBody"/>
        <w:spacing w:lineRule="auto" w:line="288" w:before="0" w:after="180"/>
        <w:rPr>
          <w:rFonts w:ascii="Times New Roman;sans-serif" w:hAnsi="Times New Roman;sans-serif"/>
          <w:b w:val="false"/>
          <w:color w:val="000000"/>
          <w:sz w:val="22"/>
        </w:rPr>
      </w:pPr>
      <w:r>
        <w:rPr>
          <w:rFonts w:ascii="Times New Roman;sans-serif" w:hAnsi="Times New Roman;sans-serif"/>
          <w:b w:val="false"/>
          <w:color w:val="000000"/>
          <w:sz w:val="22"/>
        </w:rPr>
        <w:t>Author(s):__________________________________________________________________</w:t>
      </w:r>
    </w:p>
    <w:p>
      <w:pPr>
        <w:pStyle w:val="TextBody"/>
        <w:spacing w:lineRule="auto" w:line="288" w:before="0" w:after="180"/>
        <w:rPr/>
      </w:pPr>
      <w:r>
        <w:rPr>
          <w:rFonts w:ascii="Times New Roman;sans-serif" w:hAnsi="Times New Roman;sans-serif"/>
          <w:b w:val="false"/>
          <w:color w:val="000000"/>
          <w:sz w:val="22"/>
        </w:rPr>
        <w:t>Copyright Office Identification No. (if any):</w:t>
      </w:r>
      <w:r>
        <w:rPr>
          <w:color w:val="000000"/>
          <w:u w:val="single"/>
        </w:rPr>
        <w:t xml:space="preserve"> </w:t>
      </w:r>
      <w:r>
        <w:rPr>
          <w:rFonts w:ascii="Times New Roman;sans-serif" w:hAnsi="Times New Roman;sans-serif"/>
          <w:b w:val="false"/>
          <w:color w:val="000000"/>
          <w:sz w:val="22"/>
          <w:u w:val="single"/>
        </w:rPr>
        <w:t>______________________________________</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and all of the right, title and interest of the undersigned, vested and contingent, therein and thereto. Executed as of______________________________.</w:t>
      </w:r>
    </w:p>
    <w:tbl>
      <w:tblPr>
        <w:tblW w:w="6833" w:type="dxa"/>
        <w:jc w:val="left"/>
        <w:tblInd w:w="0" w:type="dxa"/>
        <w:tblCellMar>
          <w:top w:w="28" w:type="dxa"/>
          <w:left w:w="28" w:type="dxa"/>
          <w:bottom w:w="28" w:type="dxa"/>
          <w:right w:w="28" w:type="dxa"/>
        </w:tblCellMar>
      </w:tblPr>
      <w:tblGrid>
        <w:gridCol w:w="1010"/>
        <w:gridCol w:w="888"/>
        <w:gridCol w:w="892"/>
        <w:gridCol w:w="109"/>
        <w:gridCol w:w="109"/>
        <w:gridCol w:w="109"/>
        <w:gridCol w:w="115"/>
        <w:gridCol w:w="115"/>
        <w:gridCol w:w="116"/>
        <w:gridCol w:w="357"/>
        <w:gridCol w:w="357"/>
        <w:gridCol w:w="357"/>
        <w:gridCol w:w="357"/>
        <w:gridCol w:w="357"/>
        <w:gridCol w:w="357"/>
        <w:gridCol w:w="357"/>
        <w:gridCol w:w="357"/>
        <w:gridCol w:w="514"/>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CONSULTANT:</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Consultant (Please Print) </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(if applicable) </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STATE OF CALIFORNIA</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ss.</w:t>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COUNTY OF ___________</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On _______________, 201___ before me, ________________________Notary Public, personally appeared________________, personally known to me (or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 Witness my hand and official seal.</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Signature of Notary Public</w: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My commission expires on:_____________________</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46685"/>
                <wp:effectExtent l="0" t="0" r="0" b="0"/>
                <wp:wrapNone/>
                <wp:docPr id="545" name="Frame5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v:textbox>
              </v:rect>
            </w:pict>
          </mc:Fallback>
        </mc:AlternateContent>
      </w:r>
    </w:p>
    <w:p>
      <w:pPr>
        <w:pStyle w:val="TextBody"/>
        <w:spacing w:lineRule="auto" w:line="288" w:before="0" w:after="180"/>
        <w:ind w:left="0" w:right="0" w:firstLine="720"/>
        <w:jc w:val="center"/>
        <w:rPr/>
      </w:pPr>
      <w:r>
        <w:rPr>
          <w:rFonts w:ascii="Times New Roman;sans-serif" w:hAnsi="Times New Roman;sans-serif"/>
          <w:b/>
          <w:color w:val="000000"/>
          <w:sz w:val="22"/>
        </w:rPr>
        <w:t>E</w:t>
      </w:r>
      <w:r>
        <w:rPr>
          <w:rFonts w:ascii="Times New Roman;sans-serif" w:hAnsi="Times New Roman;sans-serif"/>
          <w:b/>
          <w:color w:val="000000"/>
          <w:sz w:val="18"/>
        </w:rPr>
        <w:t xml:space="preserve">XHIBIT </w:t>
      </w:r>
      <w:r>
        <w:rPr>
          <w:rFonts w:ascii="Times New Roman;sans-serif" w:hAnsi="Times New Roman;sans-serif"/>
          <w:b/>
          <w:color w:val="000000"/>
          <w:sz w:val="22"/>
        </w:rPr>
        <w:t>B</w:t>
      </w:r>
    </w:p>
    <w:p>
      <w:pPr>
        <w:pStyle w:val="TextBody"/>
        <w:spacing w:lineRule="auto" w:line="288" w:before="0" w:after="18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ASSIGNMENT OF PATENT APPLICATIONS</w:t>
      </w:r>
    </w:p>
    <w:tbl>
      <w:tblPr>
        <w:tblW w:w="4701" w:type="dxa"/>
        <w:jc w:val="left"/>
        <w:tblInd w:w="0" w:type="dxa"/>
        <w:tblCellMar>
          <w:top w:w="28" w:type="dxa"/>
          <w:left w:w="28" w:type="dxa"/>
          <w:bottom w:w="28" w:type="dxa"/>
          <w:right w:w="28" w:type="dxa"/>
        </w:tblCellMar>
      </w:tblPr>
      <w:tblGrid>
        <w:gridCol w:w="1054"/>
        <w:gridCol w:w="924"/>
        <w:gridCol w:w="932"/>
        <w:gridCol w:w="255"/>
        <w:gridCol w:w="255"/>
        <w:gridCol w:w="257"/>
        <w:gridCol w:w="164"/>
        <w:gridCol w:w="164"/>
        <w:gridCol w:w="164"/>
        <w:gridCol w:w="154"/>
        <w:gridCol w:w="154"/>
        <w:gridCol w:w="224"/>
      </w:tblGrid>
      <w:tr>
        <w:trPr/>
        <w:tc>
          <w:tcPr>
            <w:tcW w:w="105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CDCDCD" w:val="clear"/>
            <w:tcMar>
              <w:top w:w="0" w:type="dxa"/>
              <w:bottom w:w="0" w:type="dxa"/>
              <w:right w:w="0" w:type="dxa"/>
            </w:tcMar>
            <w:vAlign w:val="center"/>
          </w:tcPr>
          <w:p>
            <w:pPr>
              <w:pStyle w:val="TableContents"/>
              <w:spacing w:lineRule="auto" w:line="288" w:before="52" w:after="283"/>
              <w:jc w:val="left"/>
              <w:rPr/>
            </w:pPr>
            <w:r>
              <w:rPr>
                <w:rFonts w:ascii="Times New Roman;sans-serif" w:hAnsi="Times New Roman;sans-serif"/>
                <w:b/>
                <w:color w:val="000000"/>
                <w:sz w:val="22"/>
              </w:rPr>
              <w:t>C</w:t>
            </w:r>
            <w:r>
              <w:rPr>
                <w:rFonts w:ascii="Times New Roman;sans-serif" w:hAnsi="Times New Roman;sans-serif"/>
                <w:b/>
                <w:color w:val="000000"/>
                <w:sz w:val="18"/>
              </w:rPr>
              <w:t>LIENT</w:t>
            </w:r>
          </w:p>
        </w:tc>
        <w:tc>
          <w:tcPr>
            <w:tcW w:w="1791" w:type="dxa"/>
            <w:gridSpan w:val="9"/>
            <w:tcBorders>
              <w:left w:val="single" w:sz="8" w:space="0" w:color="000000"/>
              <w:right w:val="single" w:sz="8" w:space="0" w:color="000000"/>
            </w:tcBorders>
            <w:shd w:fill="CDCDCD" w:val="clear"/>
            <w:tcMar>
              <w:top w:w="0" w:type="dxa"/>
              <w:bottom w:w="0" w:type="dxa"/>
            </w:tcMar>
            <w:vAlign w:val="center"/>
          </w:tcPr>
          <w:p>
            <w:pPr>
              <w:pStyle w:val="TableContents"/>
              <w:spacing w:lineRule="auto" w:line="288" w:before="52" w:after="283"/>
              <w:jc w:val="left"/>
              <w:rPr/>
            </w:pPr>
            <w:r>
              <w:rPr>
                <w:rFonts w:ascii="Times New Roman;sans-serif" w:hAnsi="Times New Roman;sans-serif"/>
                <w:b/>
                <w:color w:val="000000"/>
                <w:sz w:val="22"/>
              </w:rPr>
              <w:t>C</w:t>
            </w:r>
            <w:r>
              <w:rPr>
                <w:rFonts w:ascii="Times New Roman;sans-serif" w:hAnsi="Times New Roman;sans-serif"/>
                <w:b/>
                <w:color w:val="000000"/>
                <w:sz w:val="18"/>
              </w:rPr>
              <w:t>ONSULTANT</w:t>
            </w:r>
          </w:p>
        </w:tc>
      </w:tr>
      <w:tr>
        <w:trPr/>
        <w:tc>
          <w:tcPr>
            <w:tcW w:w="2910"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right w:val="single" w:sz="8" w:space="0" w:color="000000"/>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Kaltura Inc.</w:t>
            </w:r>
          </w:p>
        </w:tc>
        <w:tc>
          <w:tcPr>
            <w:tcW w:w="767"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9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Entity Type: Corporation</w:t>
            </w:r>
          </w:p>
        </w:tc>
        <w:tc>
          <w:tcPr>
            <w:tcW w:w="1259" w:type="dxa"/>
            <w:gridSpan w:val="6"/>
            <w:tcBorders>
              <w:left w:val="single" w:sz="8" w:space="0" w:color="000000"/>
            </w:tcBorders>
            <w:shd w:fill="auto" w:val="clear"/>
            <w:tcMar>
              <w:top w:w="0" w:type="dxa"/>
              <w:bottom w:w="0" w:type="dxa"/>
              <w:right w:w="0" w:type="dxa"/>
            </w:tcMar>
            <w:vAlign w:val="center"/>
          </w:tcPr>
          <w:p>
            <w:pPr>
              <w:pStyle w:val="TableContents"/>
              <w:spacing w:lineRule="auto" w:line="288" w:before="1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Entity Type:</w:t>
            </w:r>
          </w:p>
        </w:tc>
        <w:tc>
          <w:tcPr>
            <w:tcW w:w="53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left w:w="74"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1259" w:type="dxa"/>
            <w:gridSpan w:val="6"/>
            <w:tcBorders>
              <w:left w:val="single" w:sz="8" w:space="0" w:color="000000"/>
            </w:tcBorders>
            <w:shd w:fill="auto" w:val="clear"/>
            <w:tcMar>
              <w:top w:w="0" w:type="dxa"/>
              <w:left w:w="74"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53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left w:w="74"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250 Park Avenue South</w:t>
            </w:r>
          </w:p>
        </w:tc>
        <w:tc>
          <w:tcPr>
            <w:tcW w:w="76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left w:w="74"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10th Floor </w:t>
            </w:r>
          </w:p>
        </w:tc>
        <w:tc>
          <w:tcPr>
            <w:tcW w:w="76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tcBorders>
            <w:shd w:fill="auto" w:val="clear"/>
            <w:tcMar>
              <w:top w:w="0" w:type="dxa"/>
              <w:left w:w="74"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New York, New York 10003 </w:t>
            </w:r>
          </w:p>
        </w:tc>
        <w:tc>
          <w:tcPr>
            <w:tcW w:w="76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910"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532"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22"/>
        </w:rPr>
        <w:t>Whereas the individual or entity identified as Consultant above (</w:t>
      </w:r>
      <w:r>
        <w:rPr>
          <w:rFonts w:ascii="Times New Roman;sans-serif" w:hAnsi="Times New Roman;sans-serif"/>
          <w:b/>
          <w:color w:val="000000"/>
          <w:sz w:val="22"/>
        </w:rPr>
        <w:t>"Consultant"</w:t>
      </w:r>
      <w:r>
        <w:rPr>
          <w:rFonts w:ascii="Times New Roman;sans-serif" w:hAnsi="Times New Roman;sans-serif"/>
          <w:b w:val="false"/>
          <w:color w:val="000000"/>
          <w:sz w:val="22"/>
        </w:rPr>
        <w:t>) owns all right, title, and interest in and to the U.S. patent applications listed in Schedule C-1 (the</w:t>
      </w:r>
      <w:r>
        <w:rPr>
          <w:color w:val="000000"/>
        </w:rPr>
        <w:t xml:space="preserve"> </w:t>
      </w:r>
      <w:r>
        <w:rPr>
          <w:rFonts w:ascii="Times New Roman;sans-serif" w:hAnsi="Times New Roman;sans-serif"/>
          <w:b/>
          <w:color w:val="000000"/>
          <w:sz w:val="22"/>
        </w:rPr>
        <w:t>"Patent Applications"</w:t>
      </w:r>
      <w:r>
        <w:rPr>
          <w:rFonts w:ascii="Times New Roman;sans-serif" w:hAnsi="Times New Roman;sans-serif"/>
          <w:b w:val="false"/>
          <w:color w:val="000000"/>
          <w:sz w:val="22"/>
        </w:rPr>
        <w:t>); and</w:t>
      </w:r>
    </w:p>
    <w:p>
      <w:pPr>
        <w:pStyle w:val="TextBody"/>
        <w:spacing w:lineRule="auto" w:line="288" w:before="0" w:after="180"/>
        <w:jc w:val="both"/>
        <w:rPr/>
      </w:pPr>
      <w:r>
        <w:rPr>
          <w:rFonts w:ascii="Times New Roman;sans-serif" w:hAnsi="Times New Roman;sans-serif"/>
          <w:b w:val="false"/>
          <w:color w:val="000000"/>
          <w:sz w:val="22"/>
        </w:rPr>
        <w:t>Whereas s Kaltura Inc. (</w:t>
      </w:r>
      <w:r>
        <w:rPr>
          <w:rFonts w:ascii="Times New Roman;sans-serif" w:hAnsi="Times New Roman;sans-serif"/>
          <w:b/>
          <w:color w:val="000000"/>
          <w:sz w:val="22"/>
        </w:rPr>
        <w:t>"Client"</w:t>
      </w:r>
      <w:r>
        <w:rPr>
          <w:rFonts w:ascii="Times New Roman;sans-serif" w:hAnsi="Times New Roman;sans-serif"/>
          <w:b w:val="false"/>
          <w:color w:val="000000"/>
          <w:sz w:val="22"/>
        </w:rPr>
        <w:t>) desires to acquire Consultant's entire right, title, and interest in and to the Patent Applications, and in and to the inventions disclosed in the Patent Applications, and to the Future Patents (as hereinafter defined);</w:t>
      </w:r>
    </w:p>
    <w:p>
      <w:pPr>
        <w:pStyle w:val="TextBody"/>
        <w:spacing w:lineRule="auto" w:line="288" w:before="0" w:after="180"/>
        <w:jc w:val="both"/>
        <w:rPr/>
      </w:pPr>
      <w:r>
        <w:rPr>
          <w:rFonts w:ascii="Times New Roman;sans-serif" w:hAnsi="Times New Roman;sans-serif"/>
          <w:b w:val="false"/>
          <w:color w:val="000000"/>
          <w:sz w:val="22"/>
        </w:rPr>
        <w:t xml:space="preserve">Now therefore, for and in consideration of one dollar ($1.00) payable upon demand and other good and valuable consideration, the receipt and sufficiency of which are hereby acknowledged, Consultant does hereby sell, assign, and transfer to Client and its successors, assigns, and legal representatives, all right, title, and interest in and to the Patent Applications, and to all future patents which may be granted therefor throughout the world, and all divisions, reissues, reexaminations, substitutions, continuations, continuations-in-part, utility conversions, and extensions thereof (collectively, </w:t>
      </w:r>
      <w:r>
        <w:rPr>
          <w:rFonts w:ascii="Times New Roman;sans-serif" w:hAnsi="Times New Roman;sans-serif"/>
          <w:b/>
          <w:color w:val="000000"/>
          <w:sz w:val="22"/>
        </w:rPr>
        <w:t>"Future Patents"</w:t>
      </w:r>
      <w:r>
        <w:rPr>
          <w:rFonts w:ascii="Times New Roman;sans-serif" w:hAnsi="Times New Roman;sans-serif"/>
          <w:b w:val="false"/>
          <w:color w:val="000000"/>
          <w:sz w:val="22"/>
        </w:rPr>
        <w:t>), together with all claims, causes of action, and damages for past infringement, if any, of said Patent Applications and Future Patents; and Consultant hereby authorizes and requests the United States Patent and Trademark Office and other patent offices throughout the world to issue all Future Patents resulting there from (insofar as Consultant's interest is concerned) to Client.</w:t>
      </w:r>
    </w:p>
    <w:p>
      <w:pPr>
        <w:pStyle w:val="TextBody"/>
        <w:spacing w:lineRule="auto" w:line="288" w:before="0" w:after="180"/>
        <w:ind w:left="0" w:right="0" w:firstLine="720"/>
        <w:jc w:val="both"/>
        <w:rPr/>
      </w:pPr>
      <w:r>
        <w:rPr>
          <w:rFonts w:ascii="Times New Roman;sans-serif" w:hAnsi="Times New Roman;sans-serif"/>
          <w:b w:val="false"/>
          <w:color w:val="000000"/>
          <w:sz w:val="22"/>
        </w:rPr>
        <w:t>Consultant also hereby sells, assigns, and transfers to Client and its successors, assigns, and legal representatives all right, title, and interest to the inventions disclosed in the Patent Applications and Future Patents throughout the world, including the right to file applications for and obtain patents, utility models, and industrial models, and designs for such inventions in Client's</w:t>
      </w:r>
      <w:r>
        <w:rPr>
          <w:color w:val="000000"/>
        </w:rPr>
        <w:t xml:space="preserve"> </w:t>
      </w:r>
      <w:r>
        <w:rPr>
          <w:rFonts w:ascii="Times New Roman;sans-serif" w:hAnsi="Times New Roman;sans-serif"/>
          <w:b w:val="false"/>
          <w:color w:val="000000"/>
          <w:sz w:val="22"/>
        </w:rPr>
        <w:t>own name throughout the world including all rights of priority, all rights to publish cautionary notices reserving ownership of such inventions, and all rights to register such inventions in appropriate registries; and Consultant further agrees to execute any and all powers of attorney, applications, assignments, declarations, affidavits, and any other papers in connection therewith reasonably necessary to perfect such right, title, and interest in Client and its successors, assigns, and legal representatives.</w:t>
      </w:r>
    </w:p>
    <w:p>
      <w:pPr>
        <w:pStyle w:val="TextBody"/>
        <w:spacing w:lineRule="auto" w:line="288" w:before="0" w:after="18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r>
        <w:br w:type="page"/>
      </w:r>
    </w:p>
    <w:p>
      <w:pPr>
        <w:pStyle w:val="TextBody"/>
        <w:spacing w:before="0" w:after="0"/>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60655"/>
                <wp:effectExtent l="0" t="0" r="0" b="0"/>
                <wp:wrapNone/>
                <wp:docPr id="546" name="Frame5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B-1</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Consultant has caused this instrument to be executed effective as of___________________.</w:t>
      </w:r>
    </w:p>
    <w:tbl>
      <w:tblPr>
        <w:tblW w:w="3654" w:type="dxa"/>
        <w:jc w:val="center"/>
        <w:tblInd w:w="0" w:type="dxa"/>
        <w:tblCellMar>
          <w:top w:w="28" w:type="dxa"/>
          <w:left w:w="28" w:type="dxa"/>
          <w:bottom w:w="28" w:type="dxa"/>
          <w:right w:w="28" w:type="dxa"/>
        </w:tblCellMar>
      </w:tblPr>
      <w:tblGrid>
        <w:gridCol w:w="124"/>
        <w:gridCol w:w="109"/>
        <w:gridCol w:w="109"/>
        <w:gridCol w:w="351"/>
        <w:gridCol w:w="351"/>
        <w:gridCol w:w="351"/>
        <w:gridCol w:w="351"/>
        <w:gridCol w:w="351"/>
        <w:gridCol w:w="351"/>
        <w:gridCol w:w="351"/>
        <w:gridCol w:w="351"/>
        <w:gridCol w:w="5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CONSULTANT: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Consultant (Please Print)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(if applicable)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60655"/>
                <wp:effectExtent l="0" t="0" r="0" b="0"/>
                <wp:wrapNone/>
                <wp:docPr id="547" name="Frame5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B-2</w:t>
                      </w:r>
                    </w:p>
                  </w:txbxContent>
                </v:textbox>
              </v:rect>
            </w:pict>
          </mc:Fallback>
        </mc:AlternateContent>
      </w:r>
    </w:p>
    <w:p>
      <w:pPr>
        <w:pStyle w:val="TextBody"/>
        <w:spacing w:lineRule="auto" w:line="288" w:before="0" w:after="180"/>
        <w:ind w:left="0" w:right="0" w:firstLine="720"/>
        <w:rPr>
          <w:rFonts w:ascii="Times New Roman;sans-serif" w:hAnsi="Times New Roman;sans-serif"/>
          <w:b/>
          <w:color w:val="000000"/>
          <w:sz w:val="24"/>
        </w:rPr>
      </w:pPr>
      <w:r>
        <w:rPr>
          <w:rFonts w:ascii="Times New Roman;sans-serif" w:hAnsi="Times New Roman;sans-serif"/>
          <w:b/>
          <w:color w:val="000000"/>
          <w:sz w:val="24"/>
        </w:rPr>
        <w:t>AMENDMENT TO CONSULTING AGREEMENT (RON YEKUTIEL)</w:t>
      </w:r>
    </w:p>
    <w:p>
      <w:pPr>
        <w:pStyle w:val="TextBody"/>
        <w:spacing w:lineRule="auto" w:line="288" w:before="0" w:after="180"/>
        <w:ind w:left="0" w:right="0" w:firstLine="720"/>
        <w:jc w:val="both"/>
        <w:rPr/>
      </w:pPr>
      <w:r>
        <w:rPr>
          <w:rFonts w:ascii="Times New Roman;sans-serif" w:hAnsi="Times New Roman;sans-serif"/>
          <w:b w:val="false"/>
          <w:color w:val="000000"/>
          <w:sz w:val="24"/>
        </w:rPr>
        <w:t>THIS AMENDMENT ("</w:t>
      </w:r>
      <w:r>
        <w:rPr>
          <w:rFonts w:ascii="Times New Roman;sans-serif" w:hAnsi="Times New Roman;sans-serif"/>
          <w:b w:val="false"/>
          <w:color w:val="000000"/>
          <w:sz w:val="24"/>
          <w:u w:val="single"/>
        </w:rPr>
        <w:t>Amendment")</w:t>
      </w:r>
      <w:r>
        <w:rPr>
          <w:color w:val="000000"/>
        </w:rPr>
        <w:t xml:space="preserve"> </w:t>
      </w:r>
      <w:r>
        <w:rPr>
          <w:rFonts w:ascii="Times New Roman;sans-serif" w:hAnsi="Times New Roman;sans-serif"/>
          <w:b w:val="false"/>
          <w:color w:val="000000"/>
          <w:sz w:val="24"/>
        </w:rPr>
        <w:t xml:space="preserve">to the Consulting Agreement (the </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Kaltura, Inc. </w:t>
      </w:r>
      <w:r>
        <w:rPr>
          <w:rFonts w:ascii="Times New Roman;sans-serif" w:hAnsi="Times New Roman;sans-serif"/>
          <w:b w:val="false"/>
          <w:color w:val="000000"/>
          <w:sz w:val="24"/>
          <w:u w:val="single"/>
        </w:rPr>
        <w:t>Client")</w:t>
      </w:r>
      <w:r>
        <w:rPr>
          <w:color w:val="000000"/>
        </w:rPr>
        <w:t xml:space="preserve"> </w:t>
      </w:r>
      <w:r>
        <w:rPr>
          <w:rFonts w:ascii="Times New Roman;sans-serif" w:hAnsi="Times New Roman;sans-serif"/>
          <w:b w:val="false"/>
          <w:color w:val="000000"/>
          <w:sz w:val="24"/>
        </w:rPr>
        <w:t xml:space="preserve">and Ron Yekutiel </w:t>
      </w:r>
      <w:r>
        <w:rPr>
          <w:rFonts w:ascii="Times New Roman;sans-serif" w:hAnsi="Times New Roman;sans-serif"/>
          <w:b w:val="false"/>
          <w:color w:val="000000"/>
          <w:sz w:val="24"/>
          <w:u w:val="single"/>
        </w:rPr>
        <w:t>Consultant</w:t>
      </w:r>
      <w:r>
        <w:rPr>
          <w:color w:val="000000"/>
        </w:rPr>
        <w:t xml:space="preserve"> </w:t>
      </w:r>
      <w:r>
        <w:rPr>
          <w:rFonts w:ascii="Times New Roman;sans-serif" w:hAnsi="Times New Roman;sans-serif"/>
          <w:b w:val="false"/>
          <w:color w:val="000000"/>
          <w:sz w:val="24"/>
        </w:rPr>
        <w:t>) shall be effective as of January 1, 2020 (the "</w:t>
      </w:r>
      <w:r>
        <w:rPr>
          <w:rFonts w:ascii="Times New Roman;sans-serif" w:hAnsi="Times New Roman;sans-serif"/>
          <w:b w:val="false"/>
          <w:color w:val="000000"/>
          <w:sz w:val="24"/>
          <w:u w:val="single"/>
        </w:rPr>
        <w:t>Amendment Effective Date</w:t>
      </w:r>
      <w:r>
        <w:rPr>
          <w:rFonts w:ascii="Times New Roman;sans-serif" w:hAnsi="Times New Roman;sans-serif"/>
          <w:b w:val="false"/>
          <w:color w:val="000000"/>
          <w:sz w:val="24"/>
        </w:rPr>
        <w: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Client and Consultant entered into the Agreement as of January 1,2018; and</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parties now desire to amend the Agreement as set forth herein.</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these premises and for other good and valuable consideration, the receipt and sufficiency of which are hereby acknowledged, the Parties agree as follows:</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Unless expressly defined herein, capitalized terms shall have the meaning set forth in the Agreement.</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following language hereby replaces and supersedes Section 2 of the Agreement (Compensation) effective as of January 1, 2020:</w:t>
      </w:r>
    </w:p>
    <w:p>
      <w:pPr>
        <w:pStyle w:val="TextBody"/>
        <w:spacing w:lineRule="auto" w:line="288" w:before="0" w:after="180"/>
        <w:ind w:left="0" w:right="0" w:firstLine="360"/>
        <w:jc w:val="both"/>
        <w:rPr/>
      </w:pPr>
      <w:r>
        <w:rPr>
          <w:rFonts w:ascii="Times New Roman;sans-serif" w:hAnsi="Times New Roman;sans-serif"/>
          <w:b w:val="false"/>
          <w:color w:val="000000"/>
          <w:sz w:val="24"/>
        </w:rPr>
        <w:t>For all Services provided commencing January 1, 2020 and until termination of the Agreement, Client shall pay Consultant a monthly fee of USD $9,167.00 (the "</w:t>
      </w:r>
      <w:r>
        <w:rPr>
          <w:rFonts w:ascii="Times New Roman;sans-serif" w:hAnsi="Times New Roman;sans-serif"/>
          <w:b w:val="false"/>
          <w:color w:val="000000"/>
          <w:sz w:val="24"/>
          <w:u w:val="single"/>
        </w:rPr>
        <w:t>Monthly Fee</w:t>
      </w:r>
      <w:r>
        <w:rPr>
          <w:rFonts w:ascii="Times New Roman;sans-serif" w:hAnsi="Times New Roman;sans-serif"/>
          <w:b w:val="false"/>
          <w:color w:val="000000"/>
          <w:sz w:val="24"/>
        </w:rPr>
        <w:t>").The Monthly Fee shall be payable on a monthly basis, within 10 days of Company's receipt of an invoice submitted in accordance with the terms of the Agreement.</w:t>
      </w:r>
    </w:p>
    <w:p>
      <w:pPr>
        <w:pStyle w:val="TextBody"/>
        <w:spacing w:lineRule="auto" w:line="288" w:before="0" w:after="180"/>
        <w:ind w:left="0" w:right="0" w:firstLine="360"/>
        <w:jc w:val="both"/>
        <w:rPr/>
      </w:pPr>
      <w:r>
        <w:rPr>
          <w:rFonts w:ascii="Times New Roman;sans-serif" w:hAnsi="Times New Roman;sans-serif"/>
          <w:b w:val="false"/>
          <w:color w:val="000000"/>
          <w:sz w:val="24"/>
        </w:rPr>
        <w:t>Consultant is also eligible for additional performance-based compensation and incentives (the "</w:t>
      </w:r>
      <w:r>
        <w:rPr>
          <w:rFonts w:ascii="Times New Roman;sans-serif" w:hAnsi="Times New Roman;sans-serif"/>
          <w:b/>
          <w:color w:val="000000"/>
          <w:sz w:val="24"/>
          <w:u w:val="single"/>
        </w:rPr>
        <w:t>Bonus</w:t>
      </w:r>
      <w:r>
        <w:rPr>
          <w:rFonts w:ascii="Times New Roman;sans-serif" w:hAnsi="Times New Roman;sans-serif"/>
          <w:b w:val="false"/>
          <w:color w:val="000000"/>
          <w:sz w:val="24"/>
        </w:rPr>
        <w:t>") as follows: The maximum amount of the Bonus payment per calendar year (12 months) shall be:(a) a maximum Annual Bonus of USD $68,500.00; and (b) a maximum Annual Additional Stretch Bonus of USD $29,683.00.</w:t>
      </w:r>
    </w:p>
    <w:p>
      <w:pPr>
        <w:pStyle w:val="TextBody"/>
        <w:spacing w:lineRule="auto" w:line="288" w:before="0" w:after="180"/>
        <w:ind w:left="0" w:right="0" w:firstLine="360"/>
        <w:jc w:val="both"/>
        <w:rPr/>
      </w:pPr>
      <w:r>
        <w:rPr>
          <w:rFonts w:ascii="Times New Roman;sans-serif" w:hAnsi="Times New Roman;sans-serif"/>
          <w:b w:val="false"/>
          <w:color w:val="000000"/>
          <w:sz w:val="24"/>
        </w:rPr>
        <w:t>Consultant's entitlement to the bonus shall be determined, for each calender year, on the basis of the attainment of the goals and objectives defined and approved by the Client's Board of Directors (the "</w:t>
      </w:r>
      <w:r>
        <w:rPr>
          <w:rFonts w:ascii="Times New Roman;sans-serif" w:hAnsi="Times New Roman;sans-serif"/>
          <w:b w:val="false"/>
          <w:color w:val="000000"/>
          <w:sz w:val="24"/>
          <w:u w:val="single"/>
        </w:rPr>
        <w:t>Qualifying Objectives</w:t>
      </w:r>
      <w:r>
        <w:rPr>
          <w:rFonts w:ascii="Times New Roman;sans-serif" w:hAnsi="Times New Roman;sans-serif"/>
          <w:b w:val="false"/>
          <w:color w:val="000000"/>
          <w:sz w:val="24"/>
        </w:rPr>
        <w:t>"). For the 2020 calender year, the Qualifying Objectives shall be determined and approved by the Compensation Committee of the Client's Board of Directors in February 2020.</w:t>
      </w:r>
    </w:p>
    <w:p>
      <w:pPr>
        <w:pStyle w:val="TextBody"/>
        <w:spacing w:lineRule="auto" w:line="288" w:before="0" w:after="180"/>
        <w:ind w:left="0" w:right="0" w:firstLine="360"/>
        <w:jc w:val="both"/>
        <w:rPr/>
      </w:pPr>
      <w:r>
        <w:rPr>
          <w:rFonts w:ascii="Times New Roman;sans-serif" w:hAnsi="Times New Roman;sans-serif"/>
          <w:b w:val="false"/>
          <w:color w:val="000000"/>
          <w:sz w:val="24"/>
        </w:rPr>
        <w:t>Beginning from January 1, 2020, Client shall pay Consultant USD $3,996.00 per month (i.e., the equivalent of 70% of the pro-rated Annual Bonus) on account of the Bonus (the "</w:t>
      </w:r>
      <w:r>
        <w:rPr>
          <w:rFonts w:ascii="Times New Roman;sans-serif" w:hAnsi="Times New Roman;sans-serif"/>
          <w:b w:val="false"/>
          <w:color w:val="000000"/>
          <w:sz w:val="24"/>
          <w:u w:val="single"/>
        </w:rPr>
        <w:t>Monthly Bonus Amount</w:t>
      </w:r>
      <w:r>
        <w:rPr>
          <w:rFonts w:ascii="Times New Roman;sans-serif" w:hAnsi="Times New Roman;sans-serif"/>
          <w:b w:val="false"/>
          <w:color w:val="000000"/>
          <w:sz w:val="24"/>
        </w:rPr>
        <w:t>") . The Monthly Bonus Amount shall be payable on a monthly basis, within 10 days of Company's receipt of an invoice submitted in accordance with the terms of the Agreement.</w:t>
      </w:r>
    </w:p>
    <w:p>
      <w:pPr>
        <w:pStyle w:val="TextBody"/>
        <w:spacing w:lineRule="auto" w:line="288" w:before="0" w:after="18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Company shall have exclusive discretion in determining whether or not any Bonus payment is paid to Consultant.</w:t>
      </w:r>
      <w:r>
        <w:br w:type="page"/>
      </w:r>
    </w:p>
    <w:p>
      <w:pPr>
        <w:pStyle w:val="TextBody"/>
        <w:spacing w:before="0" w:after="0"/>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60655"/>
                <wp:effectExtent l="0" t="0" r="0" b="0"/>
                <wp:wrapNone/>
                <wp:docPr id="548" name="Frame5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Unless Client's Finance Department agrees in writing to an alternative arrangement, payment to Consultant of undisputed fees will be due 10 days following Client's receipt of an invoice that contains accurate records of the work performed sufficient to document the invoiced fees. Client will reimburse Consultant for pre-approved for expenses against receipts, pursuant to Client's standard expense policies.</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Except as expressly set forth herein, all terms of the Agreement shall remain in full force and effect. If there is any conflict between the provisions of this Amendment and the provisions of the Agreement, the provisions of this Amendment shall prevail.</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tbl>
      <w:tblPr>
        <w:tblW w:w="6142" w:type="dxa"/>
        <w:jc w:val="left"/>
        <w:tblInd w:w="0" w:type="dxa"/>
        <w:tblCellMar>
          <w:top w:w="28" w:type="dxa"/>
          <w:left w:w="28" w:type="dxa"/>
          <w:bottom w:w="28" w:type="dxa"/>
          <w:right w:w="28" w:type="dxa"/>
        </w:tblCellMar>
      </w:tblPr>
      <w:tblGrid>
        <w:gridCol w:w="124"/>
        <w:gridCol w:w="109"/>
        <w:gridCol w:w="109"/>
        <w:gridCol w:w="568"/>
        <w:gridCol w:w="478"/>
        <w:gridCol w:w="480"/>
        <w:gridCol w:w="239"/>
        <w:gridCol w:w="239"/>
        <w:gridCol w:w="241"/>
        <w:gridCol w:w="1037"/>
        <w:gridCol w:w="1037"/>
        <w:gridCol w:w="14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0"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2"/>
              </w:rPr>
              <w:t>K</w:t>
            </w:r>
            <w:r>
              <w:rPr>
                <w:rFonts w:ascii="Times New Roman;sans-serif" w:hAnsi="Times New Roman;sans-serif"/>
                <w:b/>
                <w:color w:val="000000"/>
                <w:sz w:val="18"/>
              </w:rPr>
              <w:t>ALTURA</w:t>
            </w:r>
            <w:r>
              <w:rPr>
                <w:color w:val="000000"/>
              </w:rPr>
              <w:t xml:space="preserve"> </w:t>
            </w:r>
            <w:r>
              <w:rPr>
                <w:rFonts w:ascii="Times New Roman;sans-serif" w:hAnsi="Times New Roman;sans-serif"/>
                <w:b/>
                <w:color w:val="000000"/>
                <w:sz w:val="22"/>
              </w:rPr>
              <w:t>I</w:t>
            </w:r>
            <w:r>
              <w:rPr>
                <w:rFonts w:ascii="Times New Roman;sans-serif" w:hAnsi="Times New Roman;sans-serif"/>
                <w:b/>
                <w:color w:val="000000"/>
                <w:sz w:val="18"/>
              </w:rPr>
              <w:t>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Yaron Garmazi January 21, 2020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Yaron Garmazi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Chief Financial Officer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u w:val="single"/>
              </w:rPr>
              <w:t>Address</w:t>
            </w:r>
            <w:r>
              <w:rPr>
                <w:rFonts w:ascii="Times New Roman;sans-serif" w:hAnsi="Times New Roman;sans-serif"/>
                <w:b w:val="false"/>
                <w:color w:val="000000"/>
                <w:sz w:val="22"/>
              </w:rPr>
              <w:t xml:space="preserve">: </w:t>
            </w:r>
          </w:p>
        </w:tc>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250 Park Avenue South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10th Floor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New York, New York 10003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0"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CONSULTANT: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ind w:left="0" w:right="0" w:firstLine="1440"/>
              <w:rPr>
                <w:sz w:val="4"/>
                <w:szCs w:val="4"/>
              </w:rPr>
            </w:pPr>
            <w:r>
              <w:rPr>
                <w:sz w:val="4"/>
                <w:szCs w:val="4"/>
              </w:rPr>
            </w:r>
          </w:p>
        </w:tc>
        <w:tc>
          <w:tcPr>
            <w:tcW w:w="4274"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Ron Yekutiel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of Consultant (Please Print)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Ron Yekutiel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Address: </w:t>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60655"/>
                <wp:effectExtent l="0" t="0" r="0" b="0"/>
                <wp:wrapNone/>
                <wp:docPr id="549" name="Frame5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AMENDMENT TO CONSULTING AGREEMENT (RON YEKUTIEL)</w:t>
      </w:r>
    </w:p>
    <w:p>
      <w:pPr>
        <w:pStyle w:val="TextBody"/>
        <w:spacing w:lineRule="auto" w:line="288" w:before="0" w:after="240"/>
        <w:ind w:left="0" w:right="0" w:firstLine="720"/>
        <w:jc w:val="both"/>
        <w:rPr/>
      </w:pPr>
      <w:r>
        <w:rPr>
          <w:rFonts w:ascii="Times New Roman;sans-serif" w:hAnsi="Times New Roman;sans-serif"/>
          <w:b w:val="false"/>
          <w:color w:val="000000"/>
          <w:sz w:val="24"/>
        </w:rPr>
        <w:t>THIS AMENDMENT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the consulting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in effect between Kaltura, Inc.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Ron Yekutiel (“</w:t>
      </w:r>
      <w:r>
        <w:rPr>
          <w:rFonts w:ascii="Times New Roman;sans-serif" w:hAnsi="Times New Roman;sans-serif"/>
          <w:b w:val="false"/>
          <w:color w:val="000000"/>
          <w:sz w:val="24"/>
          <w:u w:val="single"/>
        </w:rPr>
        <w:t>Consultant</w:t>
      </w:r>
      <w:r>
        <w:rPr>
          <w:color w:val="000000"/>
        </w:rPr>
        <w:t>”</w:t>
      </w:r>
      <w:r>
        <w:rPr>
          <w:rFonts w:ascii="Times New Roman;sans-serif" w:hAnsi="Times New Roman;sans-serif"/>
          <w:b w:val="false"/>
          <w:color w:val="000000"/>
          <w:sz w:val="24"/>
        </w:rPr>
        <w:t>) shall be effective as of January 1, 2021 (the “</w:t>
      </w:r>
      <w:r>
        <w:rPr>
          <w:rFonts w:ascii="Times New Roman;sans-serif" w:hAnsi="Times New Roman;sans-serif"/>
          <w:b w:val="false"/>
          <w:color w:val="000000"/>
          <w:sz w:val="24"/>
          <w:u w:val="single"/>
        </w:rPr>
        <w:t>Amendment Effective Date</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Company and Consultant entered into the Agreement on or about January 1, 2018; and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Company and Consultant subsequently agreed to amend the Agreement on several occasions; and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parties now desire to amend the Agreement as set forth herein.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in consideration of these premises and for other good and valuable consideration, the receipt and sufficiency of which are hereby acknowledged, the Parties agree as follows: </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1.Unless expressly defined herein, capitalized terms shall have the meaning set forth in the Agreement. </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2.The following language is hereby added to Exhibit A of the Agreement:</w:t>
      </w:r>
    </w:p>
    <w:p>
      <w:pPr>
        <w:pStyle w:val="TextBody"/>
        <w:spacing w:lineRule="auto" w:line="288"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Consulting Fee</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all Services provided commencing January 1, 2021 and until termination of the Agreement, the applicable Monthly Fee payable by Company to Consultant shall be USD $10,058, which shall be payable on a monthly basis, within 10 days of Company’s receipt of an invoice submitted in accordance with the terms of the Agreement. </w:t>
      </w:r>
    </w:p>
    <w:p>
      <w:pPr>
        <w:pStyle w:val="TextBody"/>
        <w:spacing w:lineRule="auto" w:line="288"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Bonus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applicable Bonus for the 2021 calendar year, and any subsequent calendar years until the termination of the Agreement, shall be as follows:</w:t>
      </w:r>
    </w:p>
    <w:p>
      <w:pPr>
        <w:pStyle w:val="TextBody"/>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maximum amount of the Bonus payment per calendar year (12 months) shall be: (a) a maximum Annual Bonus of USD $103,400 (gross); and (b) a maximum Annual Stretch Bonus of USD $ 51,700 (gross). </w:t>
      </w:r>
    </w:p>
    <w:p>
      <w:pPr>
        <w:pStyle w:val="TextBody"/>
        <w:spacing w:lineRule="auto" w:line="288" w:before="0" w:after="240"/>
        <w:ind w:left="0" w:right="0" w:hanging="360"/>
        <w:jc w:val="both"/>
        <w:rPr/>
      </w:pPr>
      <w:r>
        <w:rPr>
          <w:rFonts w:ascii="Times New Roman;sans-serif" w:hAnsi="Times New Roman;sans-serif"/>
          <w:b w:val="false"/>
          <w:color w:val="000000"/>
          <w:sz w:val="24"/>
        </w:rPr>
        <w:t>b.Consultant’s entitlement to the Bonus shall be determined, for each calendar year, on the basis of the attainment of certain financial and operational metrics set by Company’s board of directors the (the “</w:t>
      </w:r>
      <w:r>
        <w:rPr>
          <w:rFonts w:ascii="Times New Roman;sans-serif" w:hAnsi="Times New Roman;sans-serif"/>
          <w:b w:val="false"/>
          <w:color w:val="000000"/>
          <w:sz w:val="24"/>
          <w:u w:val="single"/>
        </w:rPr>
        <w:t>Qualifying Objectives</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hanging="360"/>
        <w:jc w:val="both"/>
        <w:rPr/>
      </w:pPr>
      <w:r>
        <w:rPr>
          <w:rFonts w:ascii="Times New Roman;sans-serif" w:hAnsi="Times New Roman;sans-serif"/>
          <w:b w:val="false"/>
          <w:color w:val="000000"/>
          <w:sz w:val="24"/>
        </w:rPr>
        <w:t>c.From January 2021 through the end of December 2021, Company shall pay Consultant USD $ 6,032 per month on account of the Bonus (the “</w:t>
      </w:r>
      <w:r>
        <w:rPr>
          <w:rFonts w:ascii="Times New Roman;sans-serif" w:hAnsi="Times New Roman;sans-serif"/>
          <w:b w:val="false"/>
          <w:color w:val="000000"/>
          <w:sz w:val="24"/>
          <w:u w:val="single"/>
        </w:rPr>
        <w:t>Monthly Bonus Amount</w:t>
      </w:r>
      <w:r>
        <w:rPr>
          <w:color w:val="000000"/>
        </w:rPr>
        <w:t>”</w:t>
      </w:r>
      <w:r>
        <w:rPr>
          <w:rFonts w:ascii="Times New Roman;sans-serif" w:hAnsi="Times New Roman;sans-serif"/>
          <w:b w:val="false"/>
          <w:color w:val="000000"/>
          <w:sz w:val="24"/>
        </w:rPr>
        <w:t xml:space="preserve">). The Monthly Bonus Amount shall be payable on a monthly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60655"/>
                <wp:effectExtent l="0" t="0" r="0" b="0"/>
                <wp:wrapNone/>
                <wp:docPr id="550" name="Frame5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basis, within 10 days of Company’s receipt of an invoice submitted in accordance with the terms of the Agreement. </w:t>
      </w:r>
    </w:p>
    <w:p>
      <w:pPr>
        <w:pStyle w:val="TextBody"/>
        <w:spacing w:lineRule="auto" w:line="288" w:before="0" w:after="48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 xml:space="preserve">d.In the event that the applicable Annual Bonus and Annual Additional Stretch Bonus attainment exceed the aggregate Monthly Bonus Amounts paid during such applicable calendar year, then the Consultant shall be entitled to receive the balance, which will be paid in March of the subsequent year. In the event that the applicable Annual Bonus and Annual Additional Stretch Bonus amounts are lower than the aggregate Monthly Bonus Amounts paid during such applicable calendar year, then such shortfall amount will be taken into account and deducted from Consultant’s future payments. </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3.Except as expressly set forth herein, all terms of the Agreement shall remain in full force and effect. If there is any conflict between the provisions of this Amendment and the provisions of the Agreement, the provisions of this Amendment shall prevail. </w:t>
      </w:r>
    </w:p>
    <w:p>
      <w:pPr>
        <w:pStyle w:val="TextBody"/>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 </w:t>
      </w:r>
    </w:p>
    <w:tbl>
      <w:tblPr>
        <w:tblW w:w="6474" w:type="dxa"/>
        <w:jc w:val="left"/>
        <w:tblInd w:w="0" w:type="dxa"/>
        <w:tblCellMar>
          <w:top w:w="28" w:type="dxa"/>
          <w:left w:w="28" w:type="dxa"/>
          <w:bottom w:w="28" w:type="dxa"/>
          <w:right w:w="28" w:type="dxa"/>
        </w:tblCellMar>
      </w:tblPr>
      <w:tblGrid>
        <w:gridCol w:w="429"/>
        <w:gridCol w:w="377"/>
        <w:gridCol w:w="378"/>
        <w:gridCol w:w="655"/>
        <w:gridCol w:w="655"/>
        <w:gridCol w:w="669"/>
        <w:gridCol w:w="109"/>
        <w:gridCol w:w="109"/>
        <w:gridCol w:w="109"/>
        <w:gridCol w:w="395"/>
        <w:gridCol w:w="395"/>
        <w:gridCol w:w="397"/>
        <w:gridCol w:w="520"/>
        <w:gridCol w:w="520"/>
        <w:gridCol w:w="757"/>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r>
      <w:tr>
        <w:trPr/>
        <w:tc>
          <w:tcPr>
            <w:tcW w:w="316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Kaltura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Ron Yekutiel</w:t>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/s/ 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w:t>
            </w:r>
          </w:p>
        </w:tc>
        <w:tc>
          <w:tcPr>
            <w:tcW w:w="1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/s/ Ron Yekutiel</w:t>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Name:</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Date Signed: March 7, 2021</w:t>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Title:</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CFO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Date Signed: March 7,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16"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10.13</w:t>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60655"/>
                <wp:effectExtent l="0" t="0" r="0" b="0"/>
                <wp:wrapNone/>
                <wp:docPr id="551" name="Frame5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jc w:val="center"/>
        <w:rPr>
          <w:rFonts w:ascii="Times New Roman;sans-serif" w:hAnsi="Times New Roman;sans-serif"/>
          <w:b/>
          <w:color w:val="010101"/>
          <w:sz w:val="18"/>
        </w:rPr>
      </w:pPr>
      <w:r>
        <w:rPr>
          <w:rFonts w:ascii="Times New Roman;sans-serif" w:hAnsi="Times New Roman;sans-serif"/>
          <w:b/>
          <w:color w:val="010101"/>
          <w:sz w:val="18"/>
        </w:rPr>
        <w:t>CONSULTING AGREEMENT</w:t>
      </w:r>
    </w:p>
    <w:p>
      <w:pPr>
        <w:pStyle w:val="TextBody"/>
        <w:spacing w:lineRule="auto" w:line="288" w:before="0" w:after="180"/>
        <w:jc w:val="both"/>
        <w:rPr/>
      </w:pPr>
      <w:r>
        <w:rPr>
          <w:rFonts w:ascii="Times New Roman;sans-serif" w:hAnsi="Times New Roman;sans-serif"/>
          <w:b/>
          <w:color w:val="010101"/>
          <w:sz w:val="18"/>
        </w:rPr>
        <w:t xml:space="preserve">THIS CONSULTING AGREEMENT </w:t>
      </w:r>
      <w:r>
        <w:rPr>
          <w:rFonts w:ascii="Times New Roman;sans-serif" w:hAnsi="Times New Roman;sans-serif"/>
          <w:b w:val="false"/>
          <w:color w:val="010101"/>
          <w:sz w:val="18"/>
        </w:rPr>
        <w:t xml:space="preserve">(the </w:t>
      </w:r>
      <w:r>
        <w:rPr>
          <w:rFonts w:ascii="Times New Roman;sans-serif" w:hAnsi="Times New Roman;sans-serif"/>
          <w:b/>
          <w:color w:val="010101"/>
          <w:sz w:val="18"/>
        </w:rPr>
        <w:t xml:space="preserve">"Agreement") </w:t>
      </w:r>
      <w:r>
        <w:rPr>
          <w:rFonts w:ascii="Times New Roman;sans-serif" w:hAnsi="Times New Roman;sans-serif"/>
          <w:b w:val="false"/>
          <w:color w:val="010101"/>
          <w:sz w:val="18"/>
        </w:rPr>
        <w:t>is dated July __, 2016, by and between Kaltura Europe Limited, incorporated and registered in England and Wales with company number 8012257, whose registered office is at 4</w:t>
      </w:r>
      <w:r>
        <w:rPr>
          <w:rFonts w:ascii="Times New Roman;sans-serif" w:hAnsi="Times New Roman;sans-serif"/>
          <w:b w:val="false"/>
          <w:color w:val="010101"/>
          <w:sz w:val="12"/>
        </w:rPr>
        <w:t>th</w:t>
      </w:r>
      <w:r>
        <w:rPr>
          <w:color w:val="010101"/>
        </w:rPr>
        <w:t xml:space="preserve"> </w:t>
      </w:r>
      <w:r>
        <w:rPr>
          <w:rFonts w:ascii="Times New Roman;sans-serif" w:hAnsi="Times New Roman;sans-serif"/>
          <w:b w:val="false"/>
          <w:color w:val="010101"/>
          <w:sz w:val="18"/>
        </w:rPr>
        <w:t xml:space="preserve">floor, Northumberland House, 303- 306 High Holborn, London WClV 7JZ (the </w:t>
      </w:r>
      <w:r>
        <w:rPr>
          <w:rFonts w:ascii="Times New Roman;sans-serif" w:hAnsi="Times New Roman;sans-serif"/>
          <w:b/>
          <w:color w:val="010101"/>
          <w:sz w:val="18"/>
        </w:rPr>
        <w:t xml:space="preserve">"Company") </w:t>
      </w:r>
      <w:r>
        <w:rPr>
          <w:rFonts w:ascii="Times New Roman;sans-serif" w:hAnsi="Times New Roman;sans-serif"/>
          <w:b w:val="false"/>
          <w:color w:val="010101"/>
          <w:sz w:val="18"/>
        </w:rPr>
        <w:t xml:space="preserve">and Ron Yekutiel, an individual, residing at #### (the </w:t>
      </w:r>
      <w:r>
        <w:rPr>
          <w:rFonts w:ascii="Times New Roman;sans-serif" w:hAnsi="Times New Roman;sans-serif"/>
          <w:b/>
          <w:color w:val="010101"/>
          <w:sz w:val="18"/>
        </w:rPr>
        <w:t>"Consultant").</w:t>
      </w:r>
    </w:p>
    <w:p>
      <w:pPr>
        <w:pStyle w:val="TextBody"/>
        <w:spacing w:lineRule="auto" w:line="288" w:before="0" w:after="180"/>
        <w:jc w:val="center"/>
        <w:rPr/>
      </w:pPr>
      <w:r>
        <w:rPr>
          <w:rFonts w:ascii="Times New Roman;sans-serif" w:hAnsi="Times New Roman;sans-serif"/>
          <w:b/>
          <w:color w:val="010101"/>
          <w:sz w:val="18"/>
        </w:rPr>
        <w:t xml:space="preserve">R </w:t>
      </w:r>
      <w:r>
        <w:rPr>
          <w:rFonts w:ascii="Times New Roman;sans-serif" w:hAnsi="Times New Roman;sans-serif"/>
          <w:b/>
          <w:color w:val="010101"/>
          <w:sz w:val="14"/>
        </w:rPr>
        <w:t>E C I T A L S</w:t>
      </w:r>
    </w:p>
    <w:p>
      <w:pPr>
        <w:pStyle w:val="TextBody"/>
        <w:spacing w:lineRule="auto" w:line="288" w:before="0" w:after="180"/>
        <w:jc w:val="both"/>
        <w:rPr/>
      </w:pPr>
      <w:r>
        <w:rPr>
          <w:rFonts w:ascii="Times New Roman;sans-serif" w:hAnsi="Times New Roman;sans-serif"/>
          <w:b/>
          <w:color w:val="010101"/>
          <w:sz w:val="18"/>
        </w:rPr>
        <w:t xml:space="preserve">WHEREAS, </w:t>
      </w:r>
      <w:r>
        <w:rPr>
          <w:rFonts w:ascii="Times New Roman;sans-serif" w:hAnsi="Times New Roman;sans-serif"/>
          <w:b w:val="false"/>
          <w:color w:val="010101"/>
          <w:sz w:val="18"/>
        </w:rPr>
        <w:t>the Company wishes to engage Consultant as an independent contractor to provide the services described herein and Consultant agrees to provide the services for the compensation and otherwise in accordance with the terms and conditions contained in this Agreement; and</w:t>
      </w:r>
    </w:p>
    <w:p>
      <w:pPr>
        <w:pStyle w:val="TextBody"/>
        <w:spacing w:lineRule="auto" w:line="288" w:before="0" w:after="180"/>
        <w:jc w:val="both"/>
        <w:rPr/>
      </w:pPr>
      <w:r>
        <w:rPr>
          <w:rFonts w:ascii="Times New Roman;sans-serif" w:hAnsi="Times New Roman;sans-serif"/>
          <w:b/>
          <w:color w:val="010101"/>
          <w:sz w:val="18"/>
        </w:rPr>
        <w:t xml:space="preserve">WHEREAS, </w:t>
      </w:r>
      <w:r>
        <w:rPr>
          <w:rFonts w:ascii="Times New Roman;sans-serif" w:hAnsi="Times New Roman;sans-serif"/>
          <w:b w:val="false"/>
          <w:color w:val="010101"/>
          <w:sz w:val="18"/>
        </w:rPr>
        <w:t>the terms and conditions of this Agreement reflect the past oral arrangements conducted and agreed between the Consultant and the Company since the Effective Date (as such term is defined below);</w:t>
      </w:r>
    </w:p>
    <w:p>
      <w:pPr>
        <w:pStyle w:val="TextBody"/>
        <w:spacing w:lineRule="auto" w:line="288" w:before="0" w:after="180"/>
        <w:jc w:val="both"/>
        <w:rPr/>
      </w:pPr>
      <w:r>
        <w:rPr>
          <w:rFonts w:ascii="Times New Roman;sans-serif" w:hAnsi="Times New Roman;sans-serif"/>
          <w:b/>
          <w:color w:val="010101"/>
          <w:sz w:val="18"/>
        </w:rPr>
        <w:t xml:space="preserve">NOW, THEREFORE, </w:t>
      </w:r>
      <w:r>
        <w:rPr>
          <w:rFonts w:ascii="Times New Roman;sans-serif" w:hAnsi="Times New Roman;sans-serif"/>
          <w:b w:val="false"/>
          <w:color w:val="010101"/>
          <w:sz w:val="18"/>
        </w:rPr>
        <w:t>in consideration of the foregoing, and for other good and valuable consideration, the receipt and sufficiency of which are hereby acknowledged, accepted and agreed to, the parties, intending to be legally bound, agree to the terms set forth below:</w:t>
      </w:r>
    </w:p>
    <w:p>
      <w:pPr>
        <w:pStyle w:val="TextBody"/>
        <w:spacing w:lineRule="auto" w:line="288" w:before="0" w:after="180"/>
        <w:rPr/>
      </w:pPr>
      <w:r>
        <w:rPr>
          <w:rFonts w:ascii="Times New Roman;sans-serif" w:hAnsi="Times New Roman;sans-serif"/>
          <w:b/>
          <w:color w:val="010101"/>
          <w:sz w:val="18"/>
        </w:rPr>
        <w:t>1.    I</w:t>
      </w:r>
      <w:r>
        <w:rPr>
          <w:rFonts w:ascii="Times New Roman;sans-serif" w:hAnsi="Times New Roman;sans-serif"/>
          <w:b/>
          <w:color w:val="010101"/>
          <w:sz w:val="14"/>
        </w:rPr>
        <w:t>NTERPRETATION</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1.1    The headings in this Agreement are inserted for convenience only and shall not affect its construction. The exhibits and schedules to this Agreement form part of (and are incorporated by reference into) this Agreement. A reference to a particular law is a reference to it as it is in force for the time being taking account of any amendment, extension, or re- enactment and includes any subordinate legislation for the time being in force made under it.</w:t>
      </w:r>
    </w:p>
    <w:p>
      <w:pPr>
        <w:pStyle w:val="TextBody"/>
        <w:spacing w:lineRule="auto" w:line="288" w:before="0" w:after="180"/>
        <w:rPr/>
      </w:pPr>
      <w:r>
        <w:rPr>
          <w:rFonts w:ascii="Times New Roman;sans-serif" w:hAnsi="Times New Roman;sans-serif"/>
          <w:b/>
          <w:color w:val="010101"/>
          <w:sz w:val="18"/>
        </w:rPr>
        <w:t>2.    T</w:t>
      </w:r>
      <w:r>
        <w:rPr>
          <w:rFonts w:ascii="Times New Roman;sans-serif" w:hAnsi="Times New Roman;sans-serif"/>
          <w:b/>
          <w:color w:val="010101"/>
          <w:sz w:val="14"/>
        </w:rPr>
        <w:t>ERM OF ENGAGEMENT</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2.1    Effective as of the Effective Date, the Company shall engage the Consultant and the Consultant shall provide to the Company the Services (as defined below) on the terms of this Agreement.</w:t>
      </w:r>
    </w:p>
    <w:p>
      <w:pPr>
        <w:pStyle w:val="TextBody"/>
        <w:spacing w:lineRule="auto" w:line="288" w:before="0" w:after="180"/>
        <w:ind w:left="0" w:right="0" w:firstLine="720"/>
        <w:jc w:val="both"/>
        <w:rPr/>
      </w:pPr>
      <w:r>
        <w:rPr>
          <w:rFonts w:ascii="Times New Roman;sans-serif" w:hAnsi="Times New Roman;sans-serif"/>
          <w:b w:val="false"/>
          <w:color w:val="010101"/>
          <w:sz w:val="18"/>
        </w:rPr>
        <w:t xml:space="preserve">2.2    This Agreement and the engagement of the Consultant by the Company on the terms of this Agreement shall commence effective as of May 1, 2014 (the </w:t>
      </w:r>
      <w:r>
        <w:rPr>
          <w:rFonts w:ascii="Times New Roman;sans-serif" w:hAnsi="Times New Roman;sans-serif"/>
          <w:b/>
          <w:color w:val="010101"/>
          <w:sz w:val="18"/>
        </w:rPr>
        <w:t xml:space="preserve">"Effective Date"), </w:t>
      </w:r>
      <w:r>
        <w:rPr>
          <w:rFonts w:ascii="Times New Roman;sans-serif" w:hAnsi="Times New Roman;sans-serif"/>
          <w:b w:val="false"/>
          <w:color w:val="010101"/>
          <w:sz w:val="18"/>
        </w:rPr>
        <w:t>and shall continue in full force until terminated by either party as follows:</w:t>
      </w:r>
    </w:p>
    <w:p>
      <w:pPr>
        <w:pStyle w:val="TextBody"/>
        <w:spacing w:lineRule="auto" w:line="288" w:before="0" w:after="180"/>
        <w:ind w:left="0" w:right="0" w:firstLine="1440"/>
        <w:jc w:val="both"/>
        <w:rPr/>
      </w:pPr>
      <w:r>
        <w:rPr>
          <w:rFonts w:ascii="Times New Roman;sans-serif" w:hAnsi="Times New Roman;sans-serif"/>
          <w:b w:val="false"/>
          <w:color w:val="010101"/>
          <w:sz w:val="18"/>
        </w:rPr>
        <w:t>(a)    </w:t>
      </w:r>
      <w:r>
        <w:rPr>
          <w:rFonts w:ascii="Times New Roman;sans-serif" w:hAnsi="Times New Roman;sans-serif"/>
          <w:b w:val="false"/>
          <w:color w:val="010101"/>
          <w:sz w:val="18"/>
          <w:u w:val="single"/>
        </w:rPr>
        <w:t>Termination by the Company for Cause</w:t>
      </w:r>
      <w:r>
        <w:rPr>
          <w:rFonts w:ascii="Times New Roman;sans-serif" w:hAnsi="Times New Roman;sans-serif"/>
          <w:b w:val="false"/>
          <w:color w:val="010101"/>
          <w:sz w:val="18"/>
        </w:rPr>
        <w:t>: The Company may terminate this Agreement immediately, in case of Cause (as such term is defined in clause 2.3 below);</w:t>
      </w:r>
    </w:p>
    <w:p>
      <w:pPr>
        <w:pStyle w:val="TextBody"/>
        <w:spacing w:lineRule="auto" w:line="288" w:before="0" w:after="180"/>
        <w:ind w:left="0" w:right="0" w:firstLine="1440"/>
        <w:jc w:val="both"/>
        <w:rPr/>
      </w:pPr>
      <w:r>
        <w:rPr>
          <w:rFonts w:ascii="Times New Roman;sans-serif" w:hAnsi="Times New Roman;sans-serif"/>
          <w:b w:val="false"/>
          <w:color w:val="010101"/>
          <w:sz w:val="18"/>
        </w:rPr>
        <w:t>(b)    </w:t>
      </w:r>
      <w:r>
        <w:rPr>
          <w:rFonts w:ascii="Times New Roman;sans-serif" w:hAnsi="Times New Roman;sans-serif"/>
          <w:b w:val="false"/>
          <w:color w:val="010101"/>
          <w:sz w:val="18"/>
          <w:u w:val="single"/>
        </w:rPr>
        <w:t>Termination</w:t>
      </w:r>
      <w:r>
        <w:rPr>
          <w:color w:val="010101"/>
        </w:rPr>
        <w:t xml:space="preserve"> </w:t>
      </w:r>
      <w:r>
        <w:rPr>
          <w:rFonts w:ascii="Times New Roman;sans-serif" w:hAnsi="Times New Roman;sans-serif"/>
          <w:b w:val="false"/>
          <w:color w:val="010101"/>
          <w:sz w:val="18"/>
          <w:u w:val="single"/>
        </w:rPr>
        <w:t>by the Company for convenience.</w:t>
      </w:r>
      <w:r>
        <w:rPr>
          <w:color w:val="010101"/>
        </w:rPr>
        <w:t xml:space="preserve"> </w:t>
      </w:r>
      <w:r>
        <w:rPr>
          <w:rFonts w:ascii="Times New Roman;sans-serif" w:hAnsi="Times New Roman;sans-serif"/>
          <w:b w:val="false"/>
          <w:color w:val="010101"/>
          <w:sz w:val="18"/>
        </w:rPr>
        <w:t>The Company may terminate this Agreement for any reason, upon delivery of ninety (90) days' prior written notice to the Consultant.</w:t>
      </w:r>
    </w:p>
    <w:p>
      <w:pPr>
        <w:pStyle w:val="TextBody"/>
        <w:spacing w:lineRule="auto" w:line="288" w:before="0" w:after="180"/>
        <w:ind w:left="0" w:right="0" w:firstLine="1440"/>
        <w:jc w:val="both"/>
        <w:rPr/>
      </w:pPr>
      <w:r>
        <w:rPr>
          <w:rFonts w:ascii="Times New Roman;sans-serif" w:hAnsi="Times New Roman;sans-serif"/>
          <w:b w:val="false"/>
          <w:color w:val="010101"/>
          <w:sz w:val="18"/>
        </w:rPr>
        <w:t>(c)    </w:t>
      </w:r>
      <w:r>
        <w:rPr>
          <w:rFonts w:ascii="Times New Roman;sans-serif" w:hAnsi="Times New Roman;sans-serif"/>
          <w:b w:val="false"/>
          <w:color w:val="010101"/>
          <w:sz w:val="18"/>
          <w:u w:val="single"/>
        </w:rPr>
        <w:t>Termination</w:t>
      </w:r>
      <w:r>
        <w:rPr>
          <w:color w:val="010101"/>
        </w:rPr>
        <w:t xml:space="preserve"> </w:t>
      </w:r>
      <w:r>
        <w:rPr>
          <w:rFonts w:ascii="Times New Roman;sans-serif" w:hAnsi="Times New Roman;sans-serif"/>
          <w:b w:val="false"/>
          <w:color w:val="010101"/>
          <w:sz w:val="18"/>
          <w:u w:val="single"/>
        </w:rPr>
        <w:t>by the Consultant:</w:t>
      </w:r>
      <w:r>
        <w:rPr>
          <w:color w:val="010101"/>
        </w:rPr>
        <w:t xml:space="preserve"> </w:t>
      </w:r>
      <w:r>
        <w:rPr>
          <w:rFonts w:ascii="Times New Roman;sans-serif" w:hAnsi="Times New Roman;sans-serif"/>
          <w:b w:val="false"/>
          <w:color w:val="010101"/>
          <w:sz w:val="18"/>
        </w:rPr>
        <w:t>The Consultant may terminate this Agreement upon delivery of sixty (60) days' prior written notice to the Company.</w:t>
      </w:r>
    </w:p>
    <w:p>
      <w:pPr>
        <w:pStyle w:val="TextBody"/>
        <w:spacing w:lineRule="auto" w:line="288" w:before="0" w:after="180"/>
        <w:ind w:left="0" w:right="0" w:firstLine="720"/>
        <w:jc w:val="both"/>
        <w:rPr/>
      </w:pPr>
      <w:r>
        <w:rPr>
          <w:rFonts w:ascii="Times New Roman;sans-serif" w:hAnsi="Times New Roman;sans-serif"/>
          <w:b w:val="false"/>
          <w:color w:val="010101"/>
          <w:sz w:val="18"/>
        </w:rPr>
        <w:t xml:space="preserve">2.3    For the purpose of this Agreement, </w:t>
      </w:r>
      <w:r>
        <w:rPr>
          <w:rFonts w:ascii="Times New Roman;sans-serif" w:hAnsi="Times New Roman;sans-serif"/>
          <w:b/>
          <w:color w:val="010101"/>
          <w:sz w:val="18"/>
        </w:rPr>
        <w:t xml:space="preserve">"Cause" </w:t>
      </w:r>
      <w:r>
        <w:rPr>
          <w:rFonts w:ascii="Times New Roman;sans-serif" w:hAnsi="Times New Roman;sans-serif"/>
          <w:b w:val="false"/>
          <w:color w:val="010101"/>
          <w:sz w:val="18"/>
        </w:rPr>
        <w:t>shall include (i) a continuing failure by the Consultant to render services to the Company in accordance with the designated duties hereunder, and such fai</w:t>
      </w:r>
      <w:r>
        <w:rPr>
          <w:rFonts w:ascii="Times New Roman;sans-serif" w:hAnsi="Times New Roman;sans-serif"/>
          <w:b w:val="false"/>
          <w:color w:val="1A1A1A"/>
          <w:sz w:val="18"/>
        </w:rPr>
        <w:t>l</w:t>
      </w:r>
      <w:r>
        <w:rPr>
          <w:rFonts w:ascii="Times New Roman;sans-serif" w:hAnsi="Times New Roman;sans-serif"/>
          <w:b w:val="false"/>
          <w:color w:val="010101"/>
          <w:sz w:val="18"/>
        </w:rPr>
        <w:t>ure of performance continuing for a period of more than sixty (60) days after written notice thereof has been provided to Consultant by the Board of Directors of the Company; (ii) court judgment declaring willful misconduct or gross negligence by Consultant; (iii) Consultant's conviction of a felony, either in connection with the performance of his obligations to the Company</w:t>
      </w:r>
      <w:r>
        <w:rPr>
          <w:rFonts w:ascii="Times New Roman;sans-serif" w:hAnsi="Times New Roman;sans-serif"/>
          <w:b w:val="false"/>
          <w:color w:val="1A1A1A"/>
          <w:sz w:val="18"/>
        </w:rPr>
        <w:t xml:space="preserve">, </w:t>
      </w:r>
      <w:r>
        <w:rPr>
          <w:rFonts w:ascii="Times New Roman;sans-serif" w:hAnsi="Times New Roman;sans-serif"/>
          <w:b w:val="false"/>
          <w:color w:val="010101"/>
          <w:sz w:val="18"/>
        </w:rPr>
        <w:t>or otherwise, which shall have adversely affected his ability to perform the obligations defined herein, or which shall have material adverse effect on the business activities, reputation, goodwill or image of the Company; (iv) willful disloyalty, deliberate dishonesty, breach of fiduciary duty or material breach of the terms of this Agreement; (v) a court judgment finding the Consultant guilty of an act of fraud, embezzlement; (vi) the Consultant is declared bankrupt or makes any arrangement with or for the benefit of his creditors or has a county court administration order made against him under any applicable law; (vii) deliberate disregard of the rules or policies of the Company which results in material loss, damage on injury to the Company; or (viii) the breach by the Consultant of any of the provisions of Section 6, 7 or 8 hereof.</w:t>
      </w:r>
    </w:p>
    <w:p>
      <w:pPr>
        <w:pStyle w:val="TextBody"/>
        <w:spacing w:lineRule="auto" w:line="288" w:before="0" w:after="180"/>
        <w:jc w:val="both"/>
        <w:rPr/>
      </w:pPr>
      <w:r>
        <w:rPr>
          <w:rFonts w:ascii="Times New Roman;sans-serif" w:hAnsi="Times New Roman;sans-serif"/>
          <w:b/>
          <w:color w:val="010101"/>
          <w:sz w:val="18"/>
        </w:rPr>
        <w:t>3.    S</w:t>
      </w:r>
      <w:r>
        <w:rPr>
          <w:rFonts w:ascii="Times New Roman;sans-serif" w:hAnsi="Times New Roman;sans-serif"/>
          <w:b/>
          <w:color w:val="010101"/>
          <w:sz w:val="14"/>
        </w:rPr>
        <w:t>COPE OF</w:t>
      </w:r>
      <w:r>
        <w:rPr>
          <w:color w:val="010101"/>
        </w:rPr>
        <w:t xml:space="preserve"> </w:t>
      </w:r>
      <w:r>
        <w:rPr>
          <w:rFonts w:ascii="Times New Roman;sans-serif" w:hAnsi="Times New Roman;sans-serif"/>
          <w:b/>
          <w:color w:val="010101"/>
          <w:sz w:val="18"/>
        </w:rPr>
        <w:t>S</w:t>
      </w:r>
      <w:r>
        <w:rPr>
          <w:rFonts w:ascii="Times New Roman;sans-serif" w:hAnsi="Times New Roman;sans-serif"/>
          <w:b/>
          <w:color w:val="010101"/>
          <w:sz w:val="14"/>
        </w:rPr>
        <w:t>ERVICES</w:t>
      </w:r>
    </w:p>
    <w:p>
      <w:pPr>
        <w:pStyle w:val="TextBody"/>
        <w:spacing w:lineRule="auto" w:line="288" w:before="0" w:after="180"/>
        <w:ind w:left="0" w:right="0" w:firstLine="720"/>
        <w:jc w:val="both"/>
        <w:rPr/>
      </w:pPr>
      <w:r>
        <w:rPr>
          <w:rFonts w:ascii="Times New Roman;sans-serif" w:hAnsi="Times New Roman;sans-serif"/>
          <w:b w:val="false"/>
          <w:color w:val="010101"/>
          <w:sz w:val="18"/>
        </w:rPr>
        <w:t xml:space="preserve">3.1    During the term of this Agreement (the </w:t>
      </w:r>
      <w:r>
        <w:rPr>
          <w:rFonts w:ascii="Times New Roman;sans-serif" w:hAnsi="Times New Roman;sans-serif"/>
          <w:b/>
          <w:color w:val="010101"/>
          <w:sz w:val="18"/>
        </w:rPr>
        <w:t xml:space="preserve">"Term") </w:t>
      </w:r>
      <w:r>
        <w:rPr>
          <w:rFonts w:ascii="Times New Roman;sans-serif" w:hAnsi="Times New Roman;sans-serif"/>
          <w:b w:val="false"/>
          <w:color w:val="010101"/>
          <w:sz w:val="18"/>
        </w:rPr>
        <w:t xml:space="preserve">the Consultant shall provide the services detailed in </w:t>
      </w:r>
      <w:r>
        <w:rPr>
          <w:rFonts w:ascii="Times New Roman;sans-serif" w:hAnsi="Times New Roman;sans-serif"/>
          <w:b/>
          <w:color w:val="010101"/>
          <w:sz w:val="18"/>
          <w:u w:val="single"/>
        </w:rPr>
        <w:t>Exhibit A</w:t>
      </w:r>
      <w:r>
        <w:rPr>
          <w:color w:val="010101"/>
        </w:rPr>
        <w:t xml:space="preserve"> </w:t>
      </w:r>
      <w:r>
        <w:rPr>
          <w:rFonts w:ascii="Times New Roman;sans-serif" w:hAnsi="Times New Roman;sans-serif"/>
          <w:b w:val="false"/>
          <w:color w:val="010101"/>
          <w:sz w:val="18"/>
        </w:rPr>
        <w:t xml:space="preserve">attached hereto and incorporated herein by reference (the </w:t>
      </w:r>
      <w:r>
        <w:rPr>
          <w:rFonts w:ascii="Times New Roman;sans-serif" w:hAnsi="Times New Roman;sans-serif"/>
          <w:b/>
          <w:color w:val="010101"/>
          <w:sz w:val="18"/>
        </w:rPr>
        <w:t xml:space="preserve">"Services"). </w:t>
      </w:r>
      <w:r>
        <w:rPr>
          <w:rFonts w:ascii="Times New Roman;sans-serif" w:hAnsi="Times New Roman;sans-serif"/>
          <w:b w:val="false"/>
          <w:color w:val="010101"/>
          <w:sz w:val="18"/>
        </w:rPr>
        <w:t xml:space="preserve">The Services shall be provided solely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75260"/>
                <wp:effectExtent l="0" t="0" r="0" b="0"/>
                <wp:wrapNone/>
                <wp:docPr id="552" name="Frame5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10101"/>
          <w:sz w:val="18"/>
        </w:rPr>
        <w:t>exclusively by Consultant. The Consultant shall not subcontract or otherwise delegate performance of any Services without the Comp</w:t>
      </w:r>
      <w:r>
        <w:rPr>
          <w:rFonts w:ascii="Times New Roman;sans-serif" w:hAnsi="Times New Roman;sans-serif"/>
          <w:b w:val="false"/>
          <w:color w:val="1A1A1A"/>
          <w:sz w:val="18"/>
        </w:rPr>
        <w:t>a</w:t>
      </w:r>
      <w:r>
        <w:rPr>
          <w:rFonts w:ascii="Times New Roman;sans-serif" w:hAnsi="Times New Roman;sans-serif"/>
          <w:b w:val="false"/>
          <w:color w:val="010101"/>
          <w:sz w:val="18"/>
        </w:rPr>
        <w:t>ny's prior written consent.</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3.2    Consultant agrees that during the Term it will provide the Services on a part time basis reflecting an equivalent of 33.33% of full time position or such other scope of work as shall be agreed upon by and between the Company and Consultant. The Services will be scheduled on an as-needed basis and will be coordinated mutually by the parties.</w:t>
      </w:r>
    </w:p>
    <w:p>
      <w:pPr>
        <w:pStyle w:val="TextBody"/>
        <w:spacing w:lineRule="auto" w:line="288" w:before="0" w:after="180"/>
        <w:jc w:val="both"/>
        <w:rPr/>
      </w:pPr>
      <w:r>
        <w:rPr>
          <w:rFonts w:ascii="Times New Roman;sans-serif" w:hAnsi="Times New Roman;sans-serif"/>
          <w:b/>
          <w:color w:val="010101"/>
          <w:sz w:val="18"/>
        </w:rPr>
        <w:t>4.    R</w:t>
      </w:r>
      <w:r>
        <w:rPr>
          <w:rFonts w:ascii="Times New Roman;sans-serif" w:hAnsi="Times New Roman;sans-serif"/>
          <w:b/>
          <w:color w:val="010101"/>
          <w:sz w:val="14"/>
        </w:rPr>
        <w:t>EMUNERATION</w:t>
      </w:r>
    </w:p>
    <w:p>
      <w:pPr>
        <w:pStyle w:val="TextBody"/>
        <w:spacing w:lineRule="auto" w:line="288" w:before="0" w:after="180"/>
        <w:ind w:left="0" w:right="0" w:firstLine="720"/>
        <w:jc w:val="both"/>
        <w:rPr/>
      </w:pPr>
      <w:r>
        <w:rPr>
          <w:rFonts w:ascii="Times New Roman;sans-serif" w:hAnsi="Times New Roman;sans-serif"/>
          <w:b/>
          <w:color w:val="010101"/>
          <w:sz w:val="18"/>
        </w:rPr>
        <w:t>4.1    </w:t>
      </w:r>
      <w:r>
        <w:rPr>
          <w:rFonts w:ascii="Times New Roman;sans-serif" w:hAnsi="Times New Roman;sans-serif"/>
          <w:b w:val="false"/>
          <w:color w:val="010101"/>
          <w:sz w:val="18"/>
        </w:rPr>
        <w:t xml:space="preserve">In consideration of the provision of the Services, the Company shall pay to the Consultant a consultancy fee as set forth in </w:t>
      </w:r>
      <w:r>
        <w:rPr>
          <w:rFonts w:ascii="Times New Roman;sans-serif" w:hAnsi="Times New Roman;sans-serif"/>
          <w:b/>
          <w:color w:val="010101"/>
          <w:sz w:val="18"/>
          <w:u w:val="single"/>
        </w:rPr>
        <w:t>Exhibit A</w:t>
      </w:r>
      <w:r>
        <w:rPr>
          <w:color w:val="010101"/>
        </w:rPr>
        <w:t xml:space="preserve"> </w:t>
      </w:r>
      <w:r>
        <w:rPr>
          <w:rFonts w:ascii="Times New Roman;sans-serif" w:hAnsi="Times New Roman;sans-serif"/>
          <w:b w:val="false"/>
          <w:color w:val="010101"/>
          <w:sz w:val="18"/>
        </w:rPr>
        <w:t xml:space="preserve">attached hereto (the </w:t>
      </w:r>
      <w:r>
        <w:rPr>
          <w:rFonts w:ascii="Times New Roman;sans-serif" w:hAnsi="Times New Roman;sans-serif"/>
          <w:b/>
          <w:color w:val="010101"/>
          <w:sz w:val="18"/>
        </w:rPr>
        <w:t>"Consulting Fee").</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4.2    The Consultant shall submit monthly to the Company an invoice which gives details of the Services which have been provided by the Consultant and the amount of the fee payable (plus VAT, if applicable) for such Services during that month.</w:t>
      </w:r>
    </w:p>
    <w:p>
      <w:pPr>
        <w:pStyle w:val="TextBody"/>
        <w:spacing w:lineRule="auto" w:line="288" w:before="0" w:after="180"/>
        <w:ind w:left="0" w:right="0" w:firstLine="720"/>
        <w:jc w:val="both"/>
        <w:rPr/>
      </w:pPr>
      <w:r>
        <w:rPr>
          <w:rFonts w:ascii="Times New Roman;sans-serif" w:hAnsi="Times New Roman;sans-serif"/>
          <w:b w:val="false"/>
          <w:color w:val="010101"/>
          <w:sz w:val="18"/>
        </w:rPr>
        <w:t>4.3    The Company shall reimburse (or procure the reimbursement of) all reasonable expenses properly and necessarily incurred by the Consultan</w:t>
      </w:r>
      <w:r>
        <w:rPr>
          <w:rFonts w:ascii="Times New Roman;sans-serif" w:hAnsi="Times New Roman;sans-serif"/>
          <w:b w:val="false"/>
          <w:color w:val="1A1A1A"/>
          <w:sz w:val="18"/>
        </w:rPr>
        <w:t xml:space="preserve">t </w:t>
      </w:r>
      <w:r>
        <w:rPr>
          <w:rFonts w:ascii="Times New Roman;sans-serif" w:hAnsi="Times New Roman;sans-serif"/>
          <w:b w:val="false"/>
          <w:color w:val="010101"/>
          <w:sz w:val="18"/>
        </w:rPr>
        <w:t>in the course of the performance of his Services, subject to production of receipts or other appropriate evidence of payment.</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4.4    The Consulting Fee and the reimbursement of expenses set forth in clause 4.3 above shall constitute the total and exclusive compensation due to the Consultant under this Agreement and the Consultant shall not be entitled to any other form of compensation, commission, fee, bonus, reimbursement, equity securities or any other form of payment for the provision of Services hereunder.</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4.5    It is explicitly agreed between the parties that, unless explicitly stated otherwise in Exhibit A attached hereto, any and all taxes, duties, fees, governmental or municipal fees or charges and/or other impositions that may be levied pursuant to any applicable law upon the Consultant with regards to the provision of the Services under this Agreement, including, but not limited to, Value Added Tax and Income Tax, shall be borne solely by the Consultant, and the amounts of the aforesaid payments shall be deemed to have been included in the Consulting Fee.</w:t>
      </w:r>
    </w:p>
    <w:p>
      <w:pPr>
        <w:pStyle w:val="TextBody"/>
        <w:spacing w:lineRule="auto" w:line="288" w:before="0" w:after="180"/>
        <w:rPr/>
      </w:pPr>
      <w:r>
        <w:rPr>
          <w:rFonts w:ascii="Times New Roman;sans-serif" w:hAnsi="Times New Roman;sans-serif"/>
          <w:b/>
          <w:color w:val="010101"/>
          <w:sz w:val="18"/>
        </w:rPr>
        <w:t>5.    O</w:t>
      </w:r>
      <w:r>
        <w:rPr>
          <w:rFonts w:ascii="Times New Roman;sans-serif" w:hAnsi="Times New Roman;sans-serif"/>
          <w:b/>
          <w:color w:val="010101"/>
          <w:sz w:val="14"/>
        </w:rPr>
        <w:t>THER ACTIVITIES</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5.1     The Consultant shall not be engaged in any other employment or engage actively in any other business activities which may hinder its performance hereunder, with or without compensation, for any other person, firm or company without the prior written consent of the Company. This Agreement does not require exclusivity on behalf of the Consultant, and the Consultant may advise other companies, as long as those companies are not in direct competition with the Company, and as long as the Consultant is not in conflict of interest during the performance of the Services to the Company.</w:t>
      </w:r>
    </w:p>
    <w:p>
      <w:pPr>
        <w:pStyle w:val="TextBody"/>
        <w:spacing w:lineRule="auto" w:line="288" w:before="0" w:after="180"/>
        <w:rPr/>
      </w:pPr>
      <w:r>
        <w:rPr>
          <w:rFonts w:ascii="Times New Roman;sans-serif" w:hAnsi="Times New Roman;sans-serif"/>
          <w:b/>
          <w:color w:val="010101"/>
          <w:sz w:val="18"/>
        </w:rPr>
        <w:t>6.    C</w:t>
      </w:r>
      <w:r>
        <w:rPr>
          <w:rFonts w:ascii="Times New Roman;sans-serif" w:hAnsi="Times New Roman;sans-serif"/>
          <w:b/>
          <w:color w:val="010101"/>
          <w:sz w:val="14"/>
        </w:rPr>
        <w:t>ONFIDENTIAL</w:t>
      </w:r>
      <w:r>
        <w:rPr>
          <w:color w:val="010101"/>
        </w:rPr>
        <w:t xml:space="preserve"> </w:t>
      </w:r>
      <w:r>
        <w:rPr>
          <w:rFonts w:ascii="Times New Roman;sans-serif" w:hAnsi="Times New Roman;sans-serif"/>
          <w:b/>
          <w:color w:val="010101"/>
          <w:sz w:val="18"/>
        </w:rPr>
        <w:t>I</w:t>
      </w:r>
      <w:r>
        <w:rPr>
          <w:rFonts w:ascii="Times New Roman;sans-serif" w:hAnsi="Times New Roman;sans-serif"/>
          <w:b/>
          <w:color w:val="010101"/>
          <w:sz w:val="14"/>
        </w:rPr>
        <w:t>NFORMATION</w:t>
      </w:r>
      <w:r>
        <w:rPr>
          <w:color w:val="010101"/>
        </w:rPr>
        <w:t xml:space="preserve"> </w:t>
      </w:r>
      <w:r>
        <w:rPr>
          <w:rFonts w:ascii="Times New Roman;sans-serif" w:hAnsi="Times New Roman;sans-serif"/>
          <w:b/>
          <w:color w:val="010101"/>
          <w:sz w:val="14"/>
        </w:rPr>
        <w:t>AND</w:t>
      </w:r>
      <w:r>
        <w:rPr>
          <w:color w:val="010101"/>
        </w:rPr>
        <w:t xml:space="preserve"> </w:t>
      </w:r>
      <w:r>
        <w:rPr>
          <w:rFonts w:ascii="Times New Roman;sans-serif" w:hAnsi="Times New Roman;sans-serif"/>
          <w:b/>
          <w:color w:val="010101"/>
          <w:sz w:val="18"/>
        </w:rPr>
        <w:t>C</w:t>
      </w:r>
      <w:r>
        <w:rPr>
          <w:rFonts w:ascii="Times New Roman;sans-serif" w:hAnsi="Times New Roman;sans-serif"/>
          <w:b/>
          <w:color w:val="010101"/>
          <w:sz w:val="14"/>
        </w:rPr>
        <w:t>OMPANY PROPERTY</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6.1    The Consultant acknowledges that in the course of the provision of the Services he will have access to Confidential Information (as defined below). The Consultant has therefore agreed to accept the restrictions in this clause 6. The Consultant acknowledges that the Confidential Information is confidential and is the property of the Company.</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6.2    The Consultant shall not (except as directed by the Company or in the proper course of his duties), during or after the Tenn, disclose to any third party (person or entity) or use, directly or indirectly for Consultant's own benefit or the benefit of others, any Confidential Information, or permit any third party to examine or make copies of any documents which may contain or be derived from Confidential Information. This restriction does not apply to: (a) any use or disclosure authorised by the Company or required by law; or (b) any information that was in Consultant's possession or known to the Consultant before receipt from the Company; (c) any information that shall have been lawfully received by the Consultant from another person or entity having no confidentiality obligation to the Company or any of its affiliates; and (d) any information which is already in, or comes into, the public domain otherwise than through the Consultant's unauthorised disclosure.</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6.3    The Consultant agrees not to use, disclose to the Company, or induce the Company to use, during the Term, any confidential information or documents belonging to others.</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6.4    The obligations in this clause 6 shall continue for a period of three (3) years from the date that the Confidential Information is provided to the Consultant, regardless of whether this Agreement has been terminated.</w:t>
      </w:r>
    </w:p>
    <w:p>
      <w:pPr>
        <w:pStyle w:val="TextBody"/>
        <w:spacing w:lineRule="auto" w:line="288" w:before="0" w:after="180"/>
        <w:ind w:left="0" w:right="0" w:firstLine="720"/>
        <w:jc w:val="both"/>
        <w:rPr/>
      </w:pPr>
      <w:r>
        <w:rPr>
          <w:rFonts w:ascii="Times New Roman;sans-serif" w:hAnsi="Times New Roman;sans-serif"/>
          <w:b w:val="false"/>
          <w:color w:val="010101"/>
          <w:sz w:val="18"/>
        </w:rPr>
        <w:t xml:space="preserve">6.5    For the purposes of this Agreement, the term </w:t>
      </w:r>
      <w:r>
        <w:rPr>
          <w:rFonts w:ascii="Times New Roman;sans-serif" w:hAnsi="Times New Roman;sans-serif"/>
          <w:b/>
          <w:color w:val="010101"/>
          <w:sz w:val="18"/>
        </w:rPr>
        <w:t xml:space="preserve">"Confidential Information" </w:t>
      </w:r>
      <w:r>
        <w:rPr>
          <w:rFonts w:ascii="Times New Roman;sans-serif" w:hAnsi="Times New Roman;sans-serif"/>
          <w:b w:val="false"/>
          <w:color w:val="010101"/>
          <w:sz w:val="18"/>
        </w:rPr>
        <w:t xml:space="preserve">means the Intellectual Property (as such term is defined below) and all other designs, inventions, improvements, business information, customer lists,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73025"/>
                <wp:effectExtent l="0" t="0" r="0" b="0"/>
                <wp:wrapNone/>
                <wp:docPr id="553" name="Frame546"/>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10101"/>
          <w:sz w:val="18"/>
        </w:rPr>
        <w:t xml:space="preserve">business strategy, financial information, trade secrets, formulae, algorithms, software systems (including specifications, </w:t>
      </w:r>
      <w:r>
        <w:rPr>
          <w:rFonts w:ascii="Times New Roman;sans-serif" w:hAnsi="Times New Roman;sans-serif"/>
          <w:b w:val="false"/>
          <w:color w:val="0C0C0C"/>
          <w:sz w:val="18"/>
        </w:rPr>
        <w:t xml:space="preserve">programs </w:t>
      </w:r>
      <w:r>
        <w:rPr>
          <w:rFonts w:ascii="Times New Roman;sans-serif" w:hAnsi="Times New Roman;sans-serif"/>
          <w:b w:val="false"/>
          <w:color w:val="2F2F2F"/>
          <w:sz w:val="18"/>
        </w:rPr>
        <w:t>a</w:t>
      </w:r>
      <w:r>
        <w:rPr>
          <w:rFonts w:ascii="Times New Roman;sans-serif" w:hAnsi="Times New Roman;sans-serif"/>
          <w:b w:val="false"/>
          <w:color w:val="0C0C0C"/>
          <w:sz w:val="18"/>
        </w:rPr>
        <w:t xml:space="preserve">nd </w:t>
      </w:r>
      <w:r>
        <w:rPr>
          <w:rFonts w:ascii="Times New Roman;sans-serif" w:hAnsi="Times New Roman;sans-serif"/>
          <w:b w:val="false"/>
          <w:color w:val="1C1C1C"/>
          <w:sz w:val="18"/>
        </w:rPr>
        <w:t xml:space="preserve">documentation),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methods and data, </w:t>
      </w:r>
      <w:r>
        <w:rPr>
          <w:rFonts w:ascii="Times New Roman;sans-serif" w:hAnsi="Times New Roman;sans-serif"/>
          <w:b w:val="false"/>
          <w:color w:val="0C0C0C"/>
          <w:sz w:val="18"/>
        </w:rPr>
        <w:t xml:space="preserve">and </w:t>
      </w:r>
      <w:r>
        <w:rPr>
          <w:rFonts w:ascii="Times New Roman;sans-serif" w:hAnsi="Times New Roman;sans-serif"/>
          <w:b w:val="false"/>
          <w:color w:val="1C1C1C"/>
          <w:sz w:val="18"/>
        </w:rPr>
        <w:t xml:space="preserve">the developments, </w:t>
      </w:r>
      <w:r>
        <w:rPr>
          <w:rFonts w:ascii="Times New Roman;sans-serif" w:hAnsi="Times New Roman;sans-serif"/>
          <w:b w:val="false"/>
          <w:color w:val="2F2F2F"/>
          <w:sz w:val="18"/>
        </w:rPr>
        <w:t xml:space="preserve">and </w:t>
      </w:r>
      <w:r>
        <w:rPr>
          <w:rFonts w:ascii="Times New Roman;sans-serif" w:hAnsi="Times New Roman;sans-serif"/>
          <w:b w:val="false"/>
          <w:color w:val="1C1C1C"/>
          <w:sz w:val="18"/>
        </w:rPr>
        <w:t xml:space="preserve">works </w:t>
      </w:r>
      <w:r>
        <w:rPr>
          <w:rFonts w:ascii="Times New Roman;sans-serif" w:hAnsi="Times New Roman;sans-serif"/>
          <w:b w:val="false"/>
          <w:color w:val="0C0C0C"/>
          <w:sz w:val="18"/>
        </w:rPr>
        <w:t xml:space="preserve">of authorship, </w:t>
      </w:r>
      <w:r>
        <w:rPr>
          <w:rFonts w:ascii="Times New Roman;sans-serif" w:hAnsi="Times New Roman;sans-serif"/>
          <w:b w:val="false"/>
          <w:color w:val="2F2F2F"/>
          <w:sz w:val="18"/>
        </w:rPr>
        <w:t xml:space="preserve">which </w:t>
      </w:r>
      <w:r>
        <w:rPr>
          <w:rFonts w:ascii="Times New Roman;sans-serif" w:hAnsi="Times New Roman;sans-serif"/>
          <w:b w:val="false"/>
          <w:color w:val="1C1C1C"/>
          <w:sz w:val="18"/>
        </w:rPr>
        <w:t xml:space="preserve">the Company </w:t>
      </w:r>
      <w:r>
        <w:rPr>
          <w:rFonts w:ascii="Times New Roman;sans-serif" w:hAnsi="Times New Roman;sans-serif"/>
          <w:b w:val="false"/>
          <w:color w:val="0C0C0C"/>
          <w:sz w:val="18"/>
        </w:rPr>
        <w:t xml:space="preserve">or </w:t>
      </w:r>
      <w:r>
        <w:rPr>
          <w:rFonts w:ascii="Times New Roman;sans-serif" w:hAnsi="Times New Roman;sans-serif"/>
          <w:b w:val="false"/>
          <w:color w:val="1C1C1C"/>
          <w:sz w:val="18"/>
        </w:rPr>
        <w:t xml:space="preserve">any of its </w:t>
      </w:r>
      <w:r>
        <w:rPr>
          <w:rFonts w:ascii="Times New Roman;sans-serif" w:hAnsi="Times New Roman;sans-serif"/>
          <w:b w:val="false"/>
          <w:color w:val="2F2F2F"/>
          <w:sz w:val="18"/>
        </w:rPr>
        <w:t xml:space="preserve">affiliates </w:t>
      </w:r>
      <w:r>
        <w:rPr>
          <w:rFonts w:ascii="Times New Roman;sans-serif" w:hAnsi="Times New Roman;sans-serif"/>
          <w:b w:val="false"/>
          <w:color w:val="1C1C1C"/>
          <w:sz w:val="18"/>
        </w:rPr>
        <w:t xml:space="preserve">uses, </w:t>
      </w:r>
      <w:r>
        <w:rPr>
          <w:rFonts w:ascii="Times New Roman;sans-serif" w:hAnsi="Times New Roman;sans-serif"/>
          <w:b w:val="false"/>
          <w:color w:val="0C0C0C"/>
          <w:sz w:val="18"/>
        </w:rPr>
        <w:t xml:space="preserve">owns, </w:t>
      </w:r>
      <w:r>
        <w:rPr>
          <w:rFonts w:ascii="Times New Roman;sans-serif" w:hAnsi="Times New Roman;sans-serif"/>
          <w:b w:val="false"/>
          <w:color w:val="1C1C1C"/>
          <w:sz w:val="18"/>
        </w:rPr>
        <w:t xml:space="preserve">plans </w:t>
      </w:r>
      <w:r>
        <w:rPr>
          <w:rFonts w:ascii="Times New Roman;sans-serif" w:hAnsi="Times New Roman;sans-serif"/>
          <w:b w:val="false"/>
          <w:color w:val="2F2F2F"/>
          <w:sz w:val="18"/>
        </w:rPr>
        <w:t xml:space="preserve">or develops </w:t>
      </w:r>
      <w:r>
        <w:rPr>
          <w:rFonts w:ascii="Times New Roman;sans-serif" w:hAnsi="Times New Roman;sans-serif"/>
          <w:b w:val="false"/>
          <w:color w:val="1C1C1C"/>
          <w:sz w:val="18"/>
        </w:rPr>
        <w:t xml:space="preserve">(whether </w:t>
      </w:r>
      <w:r>
        <w:rPr>
          <w:rFonts w:ascii="Times New Roman;sans-serif" w:hAnsi="Times New Roman;sans-serif"/>
          <w:b w:val="false"/>
          <w:color w:val="0C0C0C"/>
          <w:sz w:val="18"/>
        </w:rPr>
        <w:t xml:space="preserve">for its </w:t>
      </w:r>
      <w:r>
        <w:rPr>
          <w:rFonts w:ascii="Times New Roman;sans-serif" w:hAnsi="Times New Roman;sans-serif"/>
          <w:b w:val="false"/>
          <w:color w:val="1C1C1C"/>
          <w:sz w:val="18"/>
        </w:rPr>
        <w:t xml:space="preserve">own use or for </w:t>
      </w:r>
      <w:r>
        <w:rPr>
          <w:rFonts w:ascii="Times New Roman;sans-serif" w:hAnsi="Times New Roman;sans-serif"/>
          <w:b w:val="false"/>
          <w:color w:val="0C0C0C"/>
          <w:sz w:val="18"/>
        </w:rPr>
        <w:t xml:space="preserve">use by its clients </w:t>
      </w:r>
      <w:r>
        <w:rPr>
          <w:rFonts w:ascii="Times New Roman;sans-serif" w:hAnsi="Times New Roman;sans-serif"/>
          <w:b w:val="false"/>
          <w:color w:val="1C1C1C"/>
          <w:sz w:val="18"/>
        </w:rPr>
        <w:t xml:space="preserve">or customers), and to </w:t>
      </w:r>
      <w:r>
        <w:rPr>
          <w:rFonts w:ascii="Times New Roman;sans-serif" w:hAnsi="Times New Roman;sans-serif"/>
          <w:b w:val="false"/>
          <w:color w:val="0C0C0C"/>
          <w:sz w:val="18"/>
        </w:rPr>
        <w:t xml:space="preserve">which </w:t>
      </w:r>
      <w:r>
        <w:rPr>
          <w:rFonts w:ascii="Times New Roman;sans-serif" w:hAnsi="Times New Roman;sans-serif"/>
          <w:b w:val="false"/>
          <w:color w:val="1C1C1C"/>
          <w:sz w:val="18"/>
        </w:rPr>
        <w:t xml:space="preserve">the Consultant shall </w:t>
      </w:r>
      <w:r>
        <w:rPr>
          <w:rFonts w:ascii="Times New Roman;sans-serif" w:hAnsi="Times New Roman;sans-serif"/>
          <w:b w:val="false"/>
          <w:color w:val="0C0C0C"/>
          <w:sz w:val="18"/>
        </w:rPr>
        <w:t xml:space="preserve">have access to, </w:t>
      </w:r>
      <w:r>
        <w:rPr>
          <w:rFonts w:ascii="Times New Roman;sans-serif" w:hAnsi="Times New Roman;sans-serif"/>
          <w:b w:val="false"/>
          <w:color w:val="1C1C1C"/>
          <w:sz w:val="18"/>
        </w:rPr>
        <w:t xml:space="preserve">receive, and </w:t>
      </w:r>
      <w:r>
        <w:rPr>
          <w:rFonts w:ascii="Times New Roman;sans-serif" w:hAnsi="Times New Roman;sans-serif"/>
          <w:b w:val="false"/>
          <w:color w:val="0C0C0C"/>
          <w:sz w:val="18"/>
        </w:rPr>
        <w:t xml:space="preserve">learn during the </w:t>
      </w:r>
      <w:r>
        <w:rPr>
          <w:rFonts w:ascii="Times New Roman;sans-serif" w:hAnsi="Times New Roman;sans-serif"/>
          <w:b w:val="false"/>
          <w:color w:val="1C1C1C"/>
          <w:sz w:val="18"/>
        </w:rPr>
        <w:t xml:space="preserve">engagement </w:t>
      </w:r>
      <w:r>
        <w:rPr>
          <w:rFonts w:ascii="Times New Roman;sans-serif" w:hAnsi="Times New Roman;sans-serif"/>
          <w:b w:val="false"/>
          <w:color w:val="0C0C0C"/>
          <w:sz w:val="18"/>
        </w:rPr>
        <w:t xml:space="preserve">with the </w:t>
      </w:r>
      <w:r>
        <w:rPr>
          <w:rFonts w:ascii="Times New Roman;sans-serif" w:hAnsi="Times New Roman;sans-serif"/>
          <w:b w:val="false"/>
          <w:color w:val="1C1C1C"/>
          <w:sz w:val="18"/>
        </w:rPr>
        <w:t>Company</w:t>
      </w:r>
      <w:r>
        <w:rPr>
          <w:rFonts w:ascii="Times New Roman;sans-serif" w:hAnsi="Times New Roman;sans-serif"/>
          <w:b w:val="false"/>
          <w:color w:val="494949"/>
          <w:sz w:val="18"/>
        </w:rPr>
        <w:t xml:space="preserve">. </w:t>
      </w:r>
      <w:r>
        <w:rPr>
          <w:rFonts w:ascii="Times New Roman;sans-serif" w:hAnsi="Times New Roman;sans-serif"/>
          <w:b w:val="false"/>
          <w:color w:val="1C1C1C"/>
          <w:sz w:val="18"/>
        </w:rPr>
        <w:t xml:space="preserve">All documents, </w:t>
      </w:r>
      <w:r>
        <w:rPr>
          <w:rFonts w:ascii="Times New Roman;sans-serif" w:hAnsi="Times New Roman;sans-serif"/>
          <w:b w:val="false"/>
          <w:color w:val="0C0C0C"/>
          <w:sz w:val="18"/>
        </w:rPr>
        <w:t xml:space="preserve">manuals, </w:t>
      </w:r>
      <w:r>
        <w:rPr>
          <w:rFonts w:ascii="Times New Roman;sans-serif" w:hAnsi="Times New Roman;sans-serif"/>
          <w:b w:val="false"/>
          <w:color w:val="1C1C1C"/>
          <w:sz w:val="18"/>
        </w:rPr>
        <w:t xml:space="preserve">hardware and software </w:t>
      </w:r>
      <w:r>
        <w:rPr>
          <w:rFonts w:ascii="Times New Roman;sans-serif" w:hAnsi="Times New Roman;sans-serif"/>
          <w:b w:val="false"/>
          <w:color w:val="0C0C0C"/>
          <w:sz w:val="18"/>
        </w:rPr>
        <w:t xml:space="preserve">provided </w:t>
      </w:r>
      <w:r>
        <w:rPr>
          <w:rFonts w:ascii="Times New Roman;sans-serif" w:hAnsi="Times New Roman;sans-serif"/>
          <w:b w:val="false"/>
          <w:color w:val="1C1C1C"/>
          <w:sz w:val="18"/>
        </w:rPr>
        <w:t xml:space="preserve">for the Consultants </w:t>
      </w:r>
      <w:r>
        <w:rPr>
          <w:rFonts w:ascii="Times New Roman;sans-serif" w:hAnsi="Times New Roman;sans-serif"/>
          <w:b w:val="false"/>
          <w:color w:val="0C0C0C"/>
          <w:sz w:val="18"/>
        </w:rPr>
        <w:t xml:space="preserve">use by </w:t>
      </w:r>
      <w:r>
        <w:rPr>
          <w:rFonts w:ascii="Times New Roman;sans-serif" w:hAnsi="Times New Roman;sans-serif"/>
          <w:b w:val="false"/>
          <w:color w:val="1C1C1C"/>
          <w:sz w:val="18"/>
        </w:rPr>
        <w:t xml:space="preserve">the Company, and </w:t>
      </w:r>
      <w:r>
        <w:rPr>
          <w:rFonts w:ascii="Times New Roman;sans-serif" w:hAnsi="Times New Roman;sans-serif"/>
          <w:b w:val="false"/>
          <w:color w:val="0C0C0C"/>
          <w:sz w:val="18"/>
        </w:rPr>
        <w:t xml:space="preserve">any data </w:t>
      </w:r>
      <w:r>
        <w:rPr>
          <w:rFonts w:ascii="Times New Roman;sans-serif" w:hAnsi="Times New Roman;sans-serif"/>
          <w:b w:val="false"/>
          <w:color w:val="1C1C1C"/>
          <w:sz w:val="18"/>
        </w:rPr>
        <w:t xml:space="preserve">or documents (including copies) produced, maintained or stored on </w:t>
      </w:r>
      <w:r>
        <w:rPr>
          <w:rFonts w:ascii="Times New Roman;sans-serif" w:hAnsi="Times New Roman;sans-serif"/>
          <w:b w:val="false"/>
          <w:color w:val="0C0C0C"/>
          <w:sz w:val="18"/>
        </w:rPr>
        <w:t>th</w:t>
      </w:r>
      <w:r>
        <w:rPr>
          <w:rFonts w:ascii="Times New Roman;sans-serif" w:hAnsi="Times New Roman;sans-serif"/>
          <w:b w:val="false"/>
          <w:color w:val="2F2F2F"/>
          <w:sz w:val="18"/>
        </w:rPr>
        <w:t xml:space="preserve">e </w:t>
      </w:r>
      <w:r>
        <w:rPr>
          <w:rFonts w:ascii="Times New Roman;sans-serif" w:hAnsi="Times New Roman;sans-serif"/>
          <w:b w:val="false"/>
          <w:color w:val="1C1C1C"/>
          <w:sz w:val="18"/>
        </w:rPr>
        <w:t>Company's computer systems or other electronic equipment</w:t>
      </w:r>
      <w:r>
        <w:rPr>
          <w:rFonts w:ascii="Times New Roman;sans-serif" w:hAnsi="Times New Roman;sans-serif"/>
          <w:b w:val="false"/>
          <w:color w:val="494949"/>
          <w:sz w:val="18"/>
        </w:rPr>
        <w:t xml:space="preserve">, </w:t>
      </w:r>
      <w:r>
        <w:rPr>
          <w:rFonts w:ascii="Times New Roman;sans-serif" w:hAnsi="Times New Roman;sans-serif"/>
          <w:b w:val="false"/>
          <w:color w:val="1C1C1C"/>
          <w:sz w:val="18"/>
        </w:rPr>
        <w:t>remain the property of the Company.</w:t>
      </w:r>
    </w:p>
    <w:p>
      <w:pPr>
        <w:pStyle w:val="TextBody"/>
        <w:spacing w:lineRule="auto" w:line="288" w:before="0" w:after="180"/>
        <w:ind w:left="0" w:right="0" w:firstLine="720"/>
        <w:jc w:val="both"/>
        <w:rPr/>
      </w:pPr>
      <w:r>
        <w:rPr>
          <w:rFonts w:ascii="Times New Roman;sans-serif" w:hAnsi="Times New Roman;sans-serif"/>
          <w:b w:val="false"/>
          <w:color w:val="1C1C1C"/>
          <w:sz w:val="18"/>
        </w:rPr>
        <w:t xml:space="preserve">6.6    Upon </w:t>
      </w:r>
      <w:r>
        <w:rPr>
          <w:rFonts w:ascii="Times New Roman;sans-serif" w:hAnsi="Times New Roman;sans-serif"/>
          <w:b w:val="false"/>
          <w:color w:val="0C0C0C"/>
          <w:sz w:val="18"/>
        </w:rPr>
        <w:t>termina</w:t>
      </w:r>
      <w:r>
        <w:rPr>
          <w:rFonts w:ascii="Times New Roman;sans-serif" w:hAnsi="Times New Roman;sans-serif"/>
          <w:b w:val="false"/>
          <w:color w:val="2F2F2F"/>
          <w:sz w:val="18"/>
        </w:rPr>
        <w:t>tio</w:t>
      </w:r>
      <w:r>
        <w:rPr>
          <w:rFonts w:ascii="Times New Roman;sans-serif" w:hAnsi="Times New Roman;sans-serif"/>
          <w:b w:val="false"/>
          <w:color w:val="0C0C0C"/>
          <w:sz w:val="18"/>
        </w:rPr>
        <w:t xml:space="preserve">n </w:t>
      </w:r>
      <w:r>
        <w:rPr>
          <w:rFonts w:ascii="Times New Roman;sans-serif" w:hAnsi="Times New Roman;sans-serif"/>
          <w:b w:val="false"/>
          <w:color w:val="1C1C1C"/>
          <w:sz w:val="18"/>
        </w:rPr>
        <w:t xml:space="preserve">of this Agreement, the Consultant shall: (i) </w:t>
      </w:r>
      <w:r>
        <w:rPr>
          <w:rFonts w:ascii="Times New Roman;sans-serif" w:hAnsi="Times New Roman;sans-serif"/>
          <w:b w:val="false"/>
          <w:color w:val="0C0C0C"/>
          <w:sz w:val="18"/>
        </w:rPr>
        <w:t>immediatel</w:t>
      </w:r>
      <w:r>
        <w:rPr>
          <w:rFonts w:ascii="Times New Roman;sans-serif" w:hAnsi="Times New Roman;sans-serif"/>
          <w:b w:val="false"/>
          <w:color w:val="2F2F2F"/>
          <w:sz w:val="18"/>
        </w:rPr>
        <w:t xml:space="preserve">y </w:t>
      </w:r>
      <w:r>
        <w:rPr>
          <w:rFonts w:ascii="Times New Roman;sans-serif" w:hAnsi="Times New Roman;sans-serif"/>
          <w:b w:val="false"/>
          <w:color w:val="1C1C1C"/>
          <w:sz w:val="18"/>
        </w:rPr>
        <w:t xml:space="preserve">deliver to the Company all documents, books </w:t>
      </w:r>
      <w:r>
        <w:rPr>
          <w:rFonts w:ascii="Times New Roman;sans-serif" w:hAnsi="Times New Roman;sans-serif"/>
          <w:b w:val="false"/>
          <w:color w:val="494949"/>
          <w:sz w:val="18"/>
        </w:rPr>
        <w:t xml:space="preserve">, </w:t>
      </w:r>
      <w:r>
        <w:rPr>
          <w:rFonts w:ascii="Times New Roman;sans-serif" w:hAnsi="Times New Roman;sans-serif"/>
          <w:b w:val="false"/>
          <w:color w:val="1C1C1C"/>
          <w:sz w:val="18"/>
        </w:rPr>
        <w:t xml:space="preserve">materials, records, correspondence, papers and </w:t>
      </w:r>
      <w:r>
        <w:rPr>
          <w:rFonts w:ascii="Times New Roman;sans-serif" w:hAnsi="Times New Roman;sans-serif"/>
          <w:b w:val="false"/>
          <w:color w:val="0C0C0C"/>
          <w:sz w:val="18"/>
        </w:rPr>
        <w:t xml:space="preserve">information </w:t>
      </w:r>
      <w:r>
        <w:rPr>
          <w:rFonts w:ascii="Times New Roman;sans-serif" w:hAnsi="Times New Roman;sans-serif"/>
          <w:b w:val="false"/>
          <w:color w:val="1C1C1C"/>
          <w:sz w:val="18"/>
        </w:rPr>
        <w:t xml:space="preserve">(on whatever </w:t>
      </w:r>
      <w:r>
        <w:rPr>
          <w:rFonts w:ascii="Times New Roman;sans-serif" w:hAnsi="Times New Roman;sans-serif"/>
          <w:b w:val="false"/>
          <w:color w:val="0C0C0C"/>
          <w:sz w:val="18"/>
        </w:rPr>
        <w:t xml:space="preserve">media </w:t>
      </w:r>
      <w:r>
        <w:rPr>
          <w:rFonts w:ascii="Times New Roman;sans-serif" w:hAnsi="Times New Roman;sans-serif"/>
          <w:b w:val="false"/>
          <w:color w:val="1C1C1C"/>
          <w:sz w:val="18"/>
        </w:rPr>
        <w:t xml:space="preserve">and wherever </w:t>
      </w:r>
      <w:r>
        <w:rPr>
          <w:rFonts w:ascii="Times New Roman;sans-serif" w:hAnsi="Times New Roman;sans-serif"/>
          <w:b w:val="false"/>
          <w:color w:val="0C0C0C"/>
          <w:sz w:val="18"/>
        </w:rPr>
        <w:t xml:space="preserve">located) relating </w:t>
      </w:r>
      <w:r>
        <w:rPr>
          <w:rFonts w:ascii="Times New Roman;sans-serif" w:hAnsi="Times New Roman;sans-serif"/>
          <w:b w:val="false"/>
          <w:color w:val="1C1C1C"/>
          <w:sz w:val="18"/>
        </w:rPr>
        <w:t xml:space="preserve">to the business or affairs of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Company and any of </w:t>
      </w:r>
      <w:r>
        <w:rPr>
          <w:rFonts w:ascii="Times New Roman;sans-serif" w:hAnsi="Times New Roman;sans-serif"/>
          <w:b w:val="false"/>
          <w:color w:val="0C0C0C"/>
          <w:sz w:val="18"/>
        </w:rPr>
        <w:t xml:space="preserve">its affiliates, </w:t>
      </w:r>
      <w:r>
        <w:rPr>
          <w:rFonts w:ascii="Times New Roman;sans-serif" w:hAnsi="Times New Roman;sans-serif"/>
          <w:b w:val="false"/>
          <w:color w:val="1C1C1C"/>
          <w:sz w:val="18"/>
        </w:rPr>
        <w:t xml:space="preserve">and any other property </w:t>
      </w:r>
      <w:r>
        <w:rPr>
          <w:rFonts w:ascii="Times New Roman;sans-serif" w:hAnsi="Times New Roman;sans-serif"/>
          <w:b w:val="false"/>
          <w:color w:val="0C0C0C"/>
          <w:sz w:val="18"/>
        </w:rPr>
        <w:t xml:space="preserve">of the </w:t>
      </w:r>
      <w:r>
        <w:rPr>
          <w:rFonts w:ascii="Times New Roman;sans-serif" w:hAnsi="Times New Roman;sans-serif"/>
          <w:b w:val="false"/>
          <w:color w:val="1C1C1C"/>
          <w:sz w:val="18"/>
        </w:rPr>
        <w:t xml:space="preserve">Company and </w:t>
      </w:r>
      <w:r>
        <w:rPr>
          <w:rFonts w:ascii="Times New Roman;sans-serif" w:hAnsi="Times New Roman;sans-serif"/>
          <w:b w:val="false"/>
          <w:color w:val="0C0C0C"/>
          <w:sz w:val="18"/>
        </w:rPr>
        <w:t xml:space="preserve">any of its affiliates, </w:t>
      </w:r>
      <w:r>
        <w:rPr>
          <w:rFonts w:ascii="Times New Roman;sans-serif" w:hAnsi="Times New Roman;sans-serif"/>
          <w:b w:val="false"/>
          <w:color w:val="1C1C1C"/>
          <w:sz w:val="18"/>
        </w:rPr>
        <w:t xml:space="preserve">which is in its </w:t>
      </w:r>
      <w:r>
        <w:rPr>
          <w:rFonts w:ascii="Times New Roman;sans-serif" w:hAnsi="Times New Roman;sans-serif"/>
          <w:b w:val="false"/>
          <w:color w:val="0C0C0C"/>
          <w:sz w:val="18"/>
        </w:rPr>
        <w:t xml:space="preserve">or his possession </w:t>
      </w:r>
      <w:r>
        <w:rPr>
          <w:rFonts w:ascii="Times New Roman;sans-serif" w:hAnsi="Times New Roman;sans-serif"/>
          <w:b w:val="false"/>
          <w:color w:val="1C1C1C"/>
          <w:sz w:val="18"/>
        </w:rPr>
        <w:t xml:space="preserve">or under his </w:t>
      </w:r>
      <w:r>
        <w:rPr>
          <w:rFonts w:ascii="Times New Roman;sans-serif" w:hAnsi="Times New Roman;sans-serif"/>
          <w:b w:val="false"/>
          <w:color w:val="0C0C0C"/>
          <w:sz w:val="18"/>
        </w:rPr>
        <w:t xml:space="preserve">control; (ii) irretrievably </w:t>
      </w:r>
      <w:r>
        <w:rPr>
          <w:rFonts w:ascii="Times New Roman;sans-serif" w:hAnsi="Times New Roman;sans-serif"/>
          <w:b w:val="false"/>
          <w:color w:val="1C1C1C"/>
          <w:sz w:val="18"/>
        </w:rPr>
        <w:t xml:space="preserve">delete </w:t>
      </w:r>
      <w:r>
        <w:rPr>
          <w:rFonts w:ascii="Times New Roman;sans-serif" w:hAnsi="Times New Roman;sans-serif"/>
          <w:b w:val="false"/>
          <w:color w:val="0C0C0C"/>
          <w:sz w:val="18"/>
        </w:rPr>
        <w:t xml:space="preserve">any information </w:t>
      </w:r>
      <w:r>
        <w:rPr>
          <w:rFonts w:ascii="Times New Roman;sans-serif" w:hAnsi="Times New Roman;sans-serif"/>
          <w:b w:val="false"/>
          <w:color w:val="1C1C1C"/>
          <w:sz w:val="18"/>
        </w:rPr>
        <w:t xml:space="preserve">relating to the </w:t>
      </w:r>
      <w:r>
        <w:rPr>
          <w:rFonts w:ascii="Times New Roman;sans-serif" w:hAnsi="Times New Roman;sans-serif"/>
          <w:b w:val="false"/>
          <w:color w:val="0C0C0C"/>
          <w:sz w:val="18"/>
        </w:rPr>
        <w:t xml:space="preserve">business </w:t>
      </w:r>
      <w:r>
        <w:rPr>
          <w:rFonts w:ascii="Times New Roman;sans-serif" w:hAnsi="Times New Roman;sans-serif"/>
          <w:b w:val="false"/>
          <w:color w:val="1C1C1C"/>
          <w:sz w:val="18"/>
        </w:rPr>
        <w:t xml:space="preserve">of the Company </w:t>
      </w:r>
      <w:r>
        <w:rPr>
          <w:rFonts w:ascii="Times New Roman;sans-serif" w:hAnsi="Times New Roman;sans-serif"/>
          <w:b w:val="false"/>
          <w:color w:val="0C0C0C"/>
          <w:sz w:val="18"/>
        </w:rPr>
        <w:t xml:space="preserve">and any of its affiliates </w:t>
      </w:r>
      <w:r>
        <w:rPr>
          <w:rFonts w:ascii="Times New Roman;sans-serif" w:hAnsi="Times New Roman;sans-serif"/>
          <w:b w:val="false"/>
          <w:color w:val="1C1C1C"/>
          <w:sz w:val="18"/>
        </w:rPr>
        <w:t xml:space="preserve">stored </w:t>
      </w:r>
      <w:r>
        <w:rPr>
          <w:rFonts w:ascii="Times New Roman;sans-serif" w:hAnsi="Times New Roman;sans-serif"/>
          <w:b w:val="false"/>
          <w:color w:val="0C0C0C"/>
          <w:sz w:val="18"/>
        </w:rPr>
        <w:t xml:space="preserve">on any magnetic </w:t>
      </w:r>
      <w:r>
        <w:rPr>
          <w:rFonts w:ascii="Times New Roman;sans-serif" w:hAnsi="Times New Roman;sans-serif"/>
          <w:b w:val="false"/>
          <w:color w:val="1C1C1C"/>
          <w:sz w:val="18"/>
        </w:rPr>
        <w:t xml:space="preserve">or optical disk or </w:t>
      </w:r>
      <w:r>
        <w:rPr>
          <w:rFonts w:ascii="Times New Roman;sans-serif" w:hAnsi="Times New Roman;sans-serif"/>
          <w:b w:val="false"/>
          <w:color w:val="0C0C0C"/>
          <w:sz w:val="18"/>
        </w:rPr>
        <w:t xml:space="preserve">memory and </w:t>
      </w:r>
      <w:r>
        <w:rPr>
          <w:rFonts w:ascii="Times New Roman;sans-serif" w:hAnsi="Times New Roman;sans-serif"/>
          <w:b w:val="false"/>
          <w:color w:val="1C1C1C"/>
          <w:sz w:val="18"/>
        </w:rPr>
        <w:t xml:space="preserve">all matter derived </w:t>
      </w:r>
      <w:r>
        <w:rPr>
          <w:rFonts w:ascii="Times New Roman;sans-serif" w:hAnsi="Times New Roman;sans-serif"/>
          <w:b w:val="false"/>
          <w:color w:val="0C0C0C"/>
          <w:sz w:val="18"/>
        </w:rPr>
        <w:t xml:space="preserve">from such </w:t>
      </w:r>
      <w:r>
        <w:rPr>
          <w:rFonts w:ascii="Times New Roman;sans-serif" w:hAnsi="Times New Roman;sans-serif"/>
          <w:b w:val="false"/>
          <w:color w:val="1C1C1C"/>
          <w:sz w:val="18"/>
        </w:rPr>
        <w:t xml:space="preserve">sources which is in its </w:t>
      </w:r>
      <w:r>
        <w:rPr>
          <w:rFonts w:ascii="Times New Roman;sans-serif" w:hAnsi="Times New Roman;sans-serif"/>
          <w:b w:val="false"/>
          <w:color w:val="0C0C0C"/>
          <w:sz w:val="18"/>
        </w:rPr>
        <w:t xml:space="preserve">or his </w:t>
      </w:r>
      <w:r>
        <w:rPr>
          <w:rFonts w:ascii="Times New Roman;sans-serif" w:hAnsi="Times New Roman;sans-serif"/>
          <w:b w:val="false"/>
          <w:color w:val="1C1C1C"/>
          <w:sz w:val="18"/>
        </w:rPr>
        <w:t xml:space="preserve">possession or under </w:t>
      </w:r>
      <w:r>
        <w:rPr>
          <w:rFonts w:ascii="Times New Roman;sans-serif" w:hAnsi="Times New Roman;sans-serif"/>
          <w:b w:val="false"/>
          <w:color w:val="2F2F2F"/>
          <w:sz w:val="18"/>
        </w:rPr>
        <w:t>h</w:t>
      </w:r>
      <w:r>
        <w:rPr>
          <w:rFonts w:ascii="Times New Roman;sans-serif" w:hAnsi="Times New Roman;sans-serif"/>
          <w:b w:val="false"/>
          <w:color w:val="0C0C0C"/>
          <w:sz w:val="18"/>
        </w:rPr>
        <w:t xml:space="preserve">is control </w:t>
      </w:r>
      <w:r>
        <w:rPr>
          <w:rFonts w:ascii="Times New Roman;sans-serif" w:hAnsi="Times New Roman;sans-serif"/>
          <w:b w:val="false"/>
          <w:color w:val="1C1C1C"/>
          <w:sz w:val="18"/>
        </w:rPr>
        <w:t xml:space="preserve">outside the premises of </w:t>
      </w:r>
      <w:r>
        <w:rPr>
          <w:rFonts w:ascii="Times New Roman;sans-serif" w:hAnsi="Times New Roman;sans-serif"/>
          <w:b w:val="false"/>
          <w:color w:val="0C0C0C"/>
          <w:sz w:val="18"/>
        </w:rPr>
        <w:t>the Compan</w:t>
      </w:r>
      <w:r>
        <w:rPr>
          <w:rFonts w:ascii="Times New Roman;sans-serif" w:hAnsi="Times New Roman;sans-serif"/>
          <w:b w:val="false"/>
          <w:color w:val="2F2F2F"/>
          <w:sz w:val="18"/>
        </w:rPr>
        <w:t xml:space="preserve">y; </w:t>
      </w:r>
      <w:r>
        <w:rPr>
          <w:rFonts w:ascii="Times New Roman;sans-serif" w:hAnsi="Times New Roman;sans-serif"/>
          <w:b w:val="false"/>
          <w:color w:val="1C1C1C"/>
          <w:sz w:val="18"/>
        </w:rPr>
        <w:t xml:space="preserve">and </w:t>
      </w:r>
      <w:r>
        <w:rPr>
          <w:rFonts w:ascii="Times New Roman;sans-serif" w:hAnsi="Times New Roman;sans-serif"/>
          <w:b w:val="false"/>
          <w:color w:val="2F2F2F"/>
          <w:sz w:val="18"/>
        </w:rPr>
        <w:t xml:space="preserve">(iii) </w:t>
      </w:r>
      <w:r>
        <w:rPr>
          <w:rFonts w:ascii="Times New Roman;sans-serif" w:hAnsi="Times New Roman;sans-serif"/>
          <w:b w:val="false"/>
          <w:color w:val="1C1C1C"/>
          <w:sz w:val="18"/>
        </w:rPr>
        <w:t xml:space="preserve">provide a signed statement that </w:t>
      </w:r>
      <w:r>
        <w:rPr>
          <w:rFonts w:ascii="Times New Roman;sans-serif" w:hAnsi="Times New Roman;sans-serif"/>
          <w:b w:val="false"/>
          <w:color w:val="0C0C0C"/>
          <w:sz w:val="18"/>
        </w:rPr>
        <w:t xml:space="preserve">he </w:t>
      </w:r>
      <w:r>
        <w:rPr>
          <w:rFonts w:ascii="Times New Roman;sans-serif" w:hAnsi="Times New Roman;sans-serif"/>
          <w:b w:val="false"/>
          <w:color w:val="1C1C1C"/>
          <w:sz w:val="18"/>
        </w:rPr>
        <w:t xml:space="preserve">has </w:t>
      </w:r>
      <w:r>
        <w:rPr>
          <w:rFonts w:ascii="Times New Roman;sans-serif" w:hAnsi="Times New Roman;sans-serif"/>
          <w:b w:val="false"/>
          <w:color w:val="0C0C0C"/>
          <w:sz w:val="18"/>
        </w:rPr>
        <w:t xml:space="preserve">complied </w:t>
      </w:r>
      <w:r>
        <w:rPr>
          <w:rFonts w:ascii="Times New Roman;sans-serif" w:hAnsi="Times New Roman;sans-serif"/>
          <w:b w:val="false"/>
          <w:color w:val="1C1C1C"/>
          <w:sz w:val="18"/>
        </w:rPr>
        <w:t xml:space="preserve">fully with his obligations </w:t>
      </w:r>
      <w:r>
        <w:rPr>
          <w:rFonts w:ascii="Times New Roman;sans-serif" w:hAnsi="Times New Roman;sans-serif"/>
          <w:b w:val="false"/>
          <w:color w:val="0C0C0C"/>
          <w:sz w:val="18"/>
        </w:rPr>
        <w:t xml:space="preserve">under </w:t>
      </w:r>
      <w:r>
        <w:rPr>
          <w:rFonts w:ascii="Times New Roman;sans-serif" w:hAnsi="Times New Roman;sans-serif"/>
          <w:b w:val="false"/>
          <w:color w:val="1C1C1C"/>
          <w:sz w:val="18"/>
        </w:rPr>
        <w:t>this clause 6.6.</w:t>
      </w:r>
    </w:p>
    <w:p>
      <w:pPr>
        <w:pStyle w:val="TextBody"/>
        <w:spacing w:lineRule="auto" w:line="288" w:before="0" w:after="180"/>
        <w:rPr/>
      </w:pPr>
      <w:r>
        <w:rPr>
          <w:rFonts w:ascii="Times New Roman;sans-serif" w:hAnsi="Times New Roman;sans-serif"/>
          <w:b/>
          <w:color w:val="1C1C1C"/>
          <w:sz w:val="18"/>
        </w:rPr>
        <w:t>7.    I</w:t>
      </w:r>
      <w:r>
        <w:rPr>
          <w:rFonts w:ascii="Times New Roman;sans-serif" w:hAnsi="Times New Roman;sans-serif"/>
          <w:b/>
          <w:color w:val="1C1C1C"/>
          <w:sz w:val="14"/>
        </w:rPr>
        <w:t xml:space="preserve">NTELLECTUAL </w:t>
      </w:r>
      <w:r>
        <w:rPr>
          <w:rFonts w:ascii="Times New Roman;sans-serif" w:hAnsi="Times New Roman;sans-serif"/>
          <w:b/>
          <w:color w:val="1C1C1C"/>
          <w:sz w:val="18"/>
        </w:rPr>
        <w:t>P</w:t>
      </w:r>
      <w:r>
        <w:rPr>
          <w:rFonts w:ascii="Times New Roman;sans-serif" w:hAnsi="Times New Roman;sans-serif"/>
          <w:b/>
          <w:color w:val="1C1C1C"/>
          <w:sz w:val="14"/>
        </w:rPr>
        <w:t>ROPERTY</w:t>
      </w:r>
    </w:p>
    <w:p>
      <w:pPr>
        <w:pStyle w:val="TextBody"/>
        <w:spacing w:lineRule="auto" w:line="288" w:before="0" w:after="180"/>
        <w:ind w:left="0" w:right="0" w:firstLine="720"/>
        <w:jc w:val="both"/>
        <w:rPr/>
      </w:pPr>
      <w:r>
        <w:rPr>
          <w:rFonts w:ascii="Times New Roman;sans-serif" w:hAnsi="Times New Roman;sans-serif"/>
          <w:b w:val="false"/>
          <w:color w:val="1C1C1C"/>
          <w:sz w:val="18"/>
        </w:rPr>
        <w:t xml:space="preserve">7.1    For purposes of </w:t>
      </w:r>
      <w:r>
        <w:rPr>
          <w:rFonts w:ascii="Times New Roman;sans-serif" w:hAnsi="Times New Roman;sans-serif"/>
          <w:b w:val="false"/>
          <w:color w:val="0C0C0C"/>
          <w:sz w:val="18"/>
        </w:rPr>
        <w:t xml:space="preserve">this </w:t>
      </w:r>
      <w:r>
        <w:rPr>
          <w:rFonts w:ascii="Times New Roman;sans-serif" w:hAnsi="Times New Roman;sans-serif"/>
          <w:b w:val="false"/>
          <w:color w:val="1C1C1C"/>
          <w:sz w:val="18"/>
        </w:rPr>
        <w:t xml:space="preserve">Agreement, </w:t>
      </w:r>
      <w:r>
        <w:rPr>
          <w:rFonts w:ascii="Times New Roman;sans-serif" w:hAnsi="Times New Roman;sans-serif"/>
          <w:b/>
          <w:color w:val="2F2F2F"/>
          <w:sz w:val="18"/>
        </w:rPr>
        <w:t>"</w:t>
      </w:r>
      <w:r>
        <w:rPr>
          <w:rFonts w:ascii="Times New Roman;sans-serif" w:hAnsi="Times New Roman;sans-serif"/>
          <w:b/>
          <w:color w:val="0C0C0C"/>
          <w:sz w:val="18"/>
        </w:rPr>
        <w:t>Intellectual Property</w:t>
      </w:r>
      <w:r>
        <w:rPr>
          <w:rFonts w:ascii="Times New Roman;sans-serif" w:hAnsi="Times New Roman;sans-serif"/>
          <w:b/>
          <w:color w:val="2F2F2F"/>
          <w:sz w:val="18"/>
        </w:rPr>
        <w:t xml:space="preserve">" </w:t>
      </w:r>
      <w:r>
        <w:rPr>
          <w:rFonts w:ascii="Times New Roman;sans-serif" w:hAnsi="Times New Roman;sans-serif"/>
          <w:b w:val="false"/>
          <w:color w:val="2F2F2F"/>
          <w:sz w:val="18"/>
        </w:rPr>
        <w:t xml:space="preserve">means </w:t>
      </w:r>
      <w:r>
        <w:rPr>
          <w:rFonts w:ascii="Times New Roman;sans-serif" w:hAnsi="Times New Roman;sans-serif"/>
          <w:b w:val="false"/>
          <w:color w:val="1C1C1C"/>
          <w:sz w:val="18"/>
        </w:rPr>
        <w:t xml:space="preserve">the following </w:t>
      </w:r>
      <w:r>
        <w:rPr>
          <w:rFonts w:ascii="Times New Roman;sans-serif" w:hAnsi="Times New Roman;sans-serif"/>
          <w:b w:val="false"/>
          <w:color w:val="0C0C0C"/>
          <w:sz w:val="18"/>
        </w:rPr>
        <w:t xml:space="preserve">items </w:t>
      </w:r>
      <w:r>
        <w:rPr>
          <w:rFonts w:ascii="Times New Roman;sans-serif" w:hAnsi="Times New Roman;sans-serif"/>
          <w:b w:val="false"/>
          <w:color w:val="1C1C1C"/>
          <w:sz w:val="18"/>
        </w:rPr>
        <w:t xml:space="preserve">of intangible and </w:t>
      </w:r>
      <w:r>
        <w:rPr>
          <w:rFonts w:ascii="Times New Roman;sans-serif" w:hAnsi="Times New Roman;sans-serif"/>
          <w:b w:val="false"/>
          <w:color w:val="0C0C0C"/>
          <w:sz w:val="18"/>
        </w:rPr>
        <w:t>tangible propert</w:t>
      </w:r>
      <w:r>
        <w:rPr>
          <w:rFonts w:ascii="Times New Roman;sans-serif" w:hAnsi="Times New Roman;sans-serif"/>
          <w:b w:val="false"/>
          <w:color w:val="2F2F2F"/>
          <w:sz w:val="18"/>
        </w:rPr>
        <w:t xml:space="preserve">y: </w:t>
      </w:r>
      <w:r>
        <w:rPr>
          <w:rFonts w:ascii="Times New Roman;sans-serif" w:hAnsi="Times New Roman;sans-serif"/>
          <w:b w:val="false"/>
          <w:color w:val="1C1C1C"/>
          <w:sz w:val="18"/>
        </w:rPr>
        <w:t xml:space="preserve">(i) patents, whether </w:t>
      </w:r>
      <w:r>
        <w:rPr>
          <w:rFonts w:ascii="Times New Roman;sans-serif" w:hAnsi="Times New Roman;sans-serif"/>
          <w:b w:val="false"/>
          <w:color w:val="0C0C0C"/>
          <w:sz w:val="18"/>
        </w:rPr>
        <w:t xml:space="preserve">in the </w:t>
      </w:r>
      <w:r>
        <w:rPr>
          <w:rFonts w:ascii="Times New Roman;sans-serif" w:hAnsi="Times New Roman;sans-serif"/>
          <w:b w:val="false"/>
          <w:color w:val="1C1C1C"/>
          <w:sz w:val="18"/>
        </w:rPr>
        <w:t xml:space="preserve">form of utility patents </w:t>
      </w:r>
      <w:r>
        <w:rPr>
          <w:rFonts w:ascii="Times New Roman;sans-serif" w:hAnsi="Times New Roman;sans-serif"/>
          <w:b w:val="false"/>
          <w:color w:val="0C0C0C"/>
          <w:sz w:val="18"/>
        </w:rPr>
        <w:t xml:space="preserve">or design </w:t>
      </w:r>
      <w:r>
        <w:rPr>
          <w:rFonts w:ascii="Times New Roman;sans-serif" w:hAnsi="Times New Roman;sans-serif"/>
          <w:b w:val="false"/>
          <w:color w:val="1C1C1C"/>
          <w:sz w:val="18"/>
        </w:rPr>
        <w:t xml:space="preserve">patents and all pending </w:t>
      </w:r>
      <w:r>
        <w:rPr>
          <w:rFonts w:ascii="Times New Roman;sans-serif" w:hAnsi="Times New Roman;sans-serif"/>
          <w:b w:val="false"/>
          <w:color w:val="0C0C0C"/>
          <w:sz w:val="18"/>
        </w:rPr>
        <w:t xml:space="preserve">applications </w:t>
      </w:r>
      <w:r>
        <w:rPr>
          <w:rFonts w:ascii="Times New Roman;sans-serif" w:hAnsi="Times New Roman;sans-serif"/>
          <w:b w:val="false"/>
          <w:color w:val="1C1C1C"/>
          <w:sz w:val="18"/>
        </w:rPr>
        <w:t xml:space="preserve">for such </w:t>
      </w:r>
      <w:r>
        <w:rPr>
          <w:rFonts w:ascii="Times New Roman;sans-serif" w:hAnsi="Times New Roman;sans-serif"/>
          <w:b w:val="false"/>
          <w:color w:val="0C0C0C"/>
          <w:sz w:val="18"/>
        </w:rPr>
        <w:t>patents; (ii) tradem</w:t>
      </w:r>
      <w:r>
        <w:rPr>
          <w:rFonts w:ascii="Times New Roman;sans-serif" w:hAnsi="Times New Roman;sans-serif"/>
          <w:b w:val="false"/>
          <w:color w:val="2F2F2F"/>
          <w:sz w:val="18"/>
        </w:rPr>
        <w:t xml:space="preserve">arks, </w:t>
      </w:r>
      <w:r>
        <w:rPr>
          <w:rFonts w:ascii="Times New Roman;sans-serif" w:hAnsi="Times New Roman;sans-serif"/>
          <w:b w:val="false"/>
          <w:color w:val="1C1C1C"/>
          <w:sz w:val="18"/>
        </w:rPr>
        <w:t xml:space="preserve">trade </w:t>
      </w:r>
      <w:r>
        <w:rPr>
          <w:rFonts w:ascii="Times New Roman;sans-serif" w:hAnsi="Times New Roman;sans-serif"/>
          <w:b w:val="false"/>
          <w:color w:val="0C0C0C"/>
          <w:sz w:val="18"/>
        </w:rPr>
        <w:t xml:space="preserve">names, service </w:t>
      </w:r>
      <w:r>
        <w:rPr>
          <w:rFonts w:ascii="Times New Roman;sans-serif" w:hAnsi="Times New Roman;sans-serif"/>
          <w:b w:val="false"/>
          <w:color w:val="1C1C1C"/>
          <w:sz w:val="18"/>
        </w:rPr>
        <w:t xml:space="preserve">marks, designs, </w:t>
      </w:r>
      <w:r>
        <w:rPr>
          <w:rFonts w:ascii="Times New Roman;sans-serif" w:hAnsi="Times New Roman;sans-serif"/>
          <w:b w:val="false"/>
          <w:color w:val="0C0C0C"/>
          <w:sz w:val="18"/>
        </w:rPr>
        <w:t xml:space="preserve">logos </w:t>
      </w:r>
      <w:r>
        <w:rPr>
          <w:rFonts w:ascii="Times New Roman;sans-serif" w:hAnsi="Times New Roman;sans-serif"/>
          <w:b w:val="false"/>
          <w:color w:val="2F2F2F"/>
          <w:sz w:val="18"/>
        </w:rPr>
        <w:t xml:space="preserve">, </w:t>
      </w:r>
      <w:r>
        <w:rPr>
          <w:rFonts w:ascii="Times New Roman;sans-serif" w:hAnsi="Times New Roman;sans-serif"/>
          <w:b w:val="false"/>
          <w:color w:val="0C0C0C"/>
          <w:sz w:val="18"/>
        </w:rPr>
        <w:t xml:space="preserve">trade dress </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and trade styles, </w:t>
      </w:r>
      <w:r>
        <w:rPr>
          <w:rFonts w:ascii="Times New Roman;sans-serif" w:hAnsi="Times New Roman;sans-serif"/>
          <w:b w:val="false"/>
          <w:color w:val="0C0C0C"/>
          <w:sz w:val="18"/>
        </w:rPr>
        <w:t xml:space="preserve">whether </w:t>
      </w:r>
      <w:r>
        <w:rPr>
          <w:rFonts w:ascii="Times New Roman;sans-serif" w:hAnsi="Times New Roman;sans-serif"/>
          <w:b w:val="false"/>
          <w:color w:val="1C1C1C"/>
          <w:sz w:val="18"/>
        </w:rPr>
        <w:t xml:space="preserve">or not registered, </w:t>
      </w:r>
      <w:r>
        <w:rPr>
          <w:rFonts w:ascii="Times New Roman;sans-serif" w:hAnsi="Times New Roman;sans-serif"/>
          <w:b w:val="false"/>
          <w:color w:val="0C0C0C"/>
          <w:sz w:val="18"/>
        </w:rPr>
        <w:t xml:space="preserve">and all pending </w:t>
      </w:r>
      <w:r>
        <w:rPr>
          <w:rFonts w:ascii="Times New Roman;sans-serif" w:hAnsi="Times New Roman;sans-serif"/>
          <w:b w:val="false"/>
          <w:color w:val="1C1C1C"/>
          <w:sz w:val="18"/>
        </w:rPr>
        <w:t xml:space="preserve">applications for </w:t>
      </w:r>
      <w:r>
        <w:rPr>
          <w:rFonts w:ascii="Times New Roman;sans-serif" w:hAnsi="Times New Roman;sans-serif"/>
          <w:b w:val="false"/>
          <w:color w:val="0C0C0C"/>
          <w:sz w:val="18"/>
        </w:rPr>
        <w:t xml:space="preserve">registration </w:t>
      </w:r>
      <w:r>
        <w:rPr>
          <w:rFonts w:ascii="Times New Roman;sans-serif" w:hAnsi="Times New Roman;sans-serif"/>
          <w:b w:val="false"/>
          <w:color w:val="1C1C1C"/>
          <w:sz w:val="18"/>
        </w:rPr>
        <w:t xml:space="preserve">of the </w:t>
      </w:r>
      <w:r>
        <w:rPr>
          <w:rFonts w:ascii="Times New Roman;sans-serif" w:hAnsi="Times New Roman;sans-serif"/>
          <w:b w:val="false"/>
          <w:color w:val="2F2F2F"/>
          <w:sz w:val="18"/>
        </w:rPr>
        <w:t>same</w:t>
      </w:r>
      <w:r>
        <w:rPr>
          <w:rFonts w:ascii="Times New Roman;sans-serif" w:hAnsi="Times New Roman;sans-serif"/>
          <w:b w:val="false"/>
          <w:color w:val="494949"/>
          <w:sz w:val="18"/>
        </w:rPr>
        <w:t xml:space="preserve">; </w:t>
      </w:r>
      <w:r>
        <w:rPr>
          <w:rFonts w:ascii="Times New Roman;sans-serif" w:hAnsi="Times New Roman;sans-serif"/>
          <w:b w:val="false"/>
          <w:color w:val="1C1C1C"/>
          <w:sz w:val="18"/>
        </w:rPr>
        <w:t xml:space="preserve">(iii) </w:t>
      </w:r>
      <w:r>
        <w:rPr>
          <w:rFonts w:ascii="Times New Roman;sans-serif" w:hAnsi="Times New Roman;sans-serif"/>
          <w:b w:val="false"/>
          <w:color w:val="0C0C0C"/>
          <w:sz w:val="18"/>
        </w:rPr>
        <w:t xml:space="preserve">copyrights </w:t>
      </w:r>
      <w:r>
        <w:rPr>
          <w:rFonts w:ascii="Times New Roman;sans-serif" w:hAnsi="Times New Roman;sans-serif"/>
          <w:b w:val="false"/>
          <w:color w:val="1C1C1C"/>
          <w:sz w:val="18"/>
        </w:rPr>
        <w:t xml:space="preserve">or copyrightable </w:t>
      </w:r>
      <w:r>
        <w:rPr>
          <w:rFonts w:ascii="Times New Roman;sans-serif" w:hAnsi="Times New Roman;sans-serif"/>
          <w:b w:val="false"/>
          <w:color w:val="0C0C0C"/>
          <w:sz w:val="18"/>
        </w:rPr>
        <w:t xml:space="preserve">material, including </w:t>
      </w:r>
      <w:r>
        <w:rPr>
          <w:rFonts w:ascii="Times New Roman;sans-serif" w:hAnsi="Times New Roman;sans-serif"/>
          <w:b w:val="false"/>
          <w:color w:val="1C1C1C"/>
          <w:sz w:val="18"/>
        </w:rPr>
        <w:t xml:space="preserve">but not limited to code, </w:t>
      </w:r>
      <w:r>
        <w:rPr>
          <w:rFonts w:ascii="Times New Roman;sans-serif" w:hAnsi="Times New Roman;sans-serif"/>
          <w:b w:val="false"/>
          <w:color w:val="0C0C0C"/>
          <w:sz w:val="18"/>
        </w:rPr>
        <w:t>books</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articles and publications, whether or not registered, and all pending applications for </w:t>
      </w:r>
      <w:r>
        <w:rPr>
          <w:rFonts w:ascii="Times New Roman;sans-serif" w:hAnsi="Times New Roman;sans-serif"/>
          <w:b w:val="false"/>
          <w:color w:val="0C0C0C"/>
          <w:sz w:val="18"/>
        </w:rPr>
        <w:t xml:space="preserve">registration </w:t>
      </w:r>
      <w:r>
        <w:rPr>
          <w:rFonts w:ascii="Times New Roman;sans-serif" w:hAnsi="Times New Roman;sans-serif"/>
          <w:b w:val="false"/>
          <w:color w:val="1C1C1C"/>
          <w:sz w:val="18"/>
        </w:rPr>
        <w:t xml:space="preserve">of the same; (iv) </w:t>
      </w:r>
      <w:r>
        <w:rPr>
          <w:rFonts w:ascii="Times New Roman;sans-serif" w:hAnsi="Times New Roman;sans-serif"/>
          <w:b w:val="false"/>
          <w:color w:val="0C0C0C"/>
          <w:sz w:val="18"/>
        </w:rPr>
        <w:t xml:space="preserve">invention </w:t>
      </w:r>
      <w:r>
        <w:rPr>
          <w:rFonts w:ascii="Times New Roman;sans-serif" w:hAnsi="Times New Roman;sans-serif"/>
          <w:b w:val="false"/>
          <w:color w:val="1C1C1C"/>
          <w:sz w:val="18"/>
        </w:rPr>
        <w:t xml:space="preserve">disclosures, research records, trade secrets, confidential </w:t>
      </w:r>
      <w:r>
        <w:rPr>
          <w:rFonts w:ascii="Times New Roman;sans-serif" w:hAnsi="Times New Roman;sans-serif"/>
          <w:b w:val="false"/>
          <w:color w:val="0C0C0C"/>
          <w:sz w:val="18"/>
        </w:rPr>
        <w:t>information</w:t>
      </w:r>
      <w:r>
        <w:rPr>
          <w:rFonts w:ascii="Times New Roman;sans-serif" w:hAnsi="Times New Roman;sans-serif"/>
          <w:b w:val="false"/>
          <w:color w:val="494949"/>
          <w:sz w:val="18"/>
        </w:rPr>
        <w:t xml:space="preserve">, </w:t>
      </w:r>
      <w:r>
        <w:rPr>
          <w:rFonts w:ascii="Times New Roman;sans-serif" w:hAnsi="Times New Roman;sans-serif"/>
          <w:b w:val="false"/>
          <w:color w:val="0C0C0C"/>
          <w:sz w:val="18"/>
        </w:rPr>
        <w:t>product designs</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engineering </w:t>
      </w:r>
      <w:r>
        <w:rPr>
          <w:rFonts w:ascii="Times New Roman;sans-serif" w:hAnsi="Times New Roman;sans-serif"/>
          <w:b w:val="false"/>
          <w:color w:val="2F2F2F"/>
          <w:sz w:val="18"/>
        </w:rPr>
        <w:t>specifica</w:t>
      </w:r>
      <w:r>
        <w:rPr>
          <w:rFonts w:ascii="Times New Roman;sans-serif" w:hAnsi="Times New Roman;sans-serif"/>
          <w:b w:val="false"/>
          <w:color w:val="0C0C0C"/>
          <w:sz w:val="18"/>
        </w:rPr>
        <w:t xml:space="preserve">tions </w:t>
      </w:r>
      <w:r>
        <w:rPr>
          <w:rFonts w:ascii="Times New Roman;sans-serif" w:hAnsi="Times New Roman;sans-serif"/>
          <w:b w:val="false"/>
          <w:color w:val="1C1C1C"/>
          <w:sz w:val="18"/>
        </w:rPr>
        <w:t xml:space="preserve">and drawings, technical </w:t>
      </w:r>
      <w:r>
        <w:rPr>
          <w:rFonts w:ascii="Times New Roman;sans-serif" w:hAnsi="Times New Roman;sans-serif"/>
          <w:b w:val="false"/>
          <w:color w:val="0C0C0C"/>
          <w:sz w:val="18"/>
        </w:rPr>
        <w:t>information</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formulae, customer </w:t>
      </w:r>
      <w:r>
        <w:rPr>
          <w:rFonts w:ascii="Times New Roman;sans-serif" w:hAnsi="Times New Roman;sans-serif"/>
          <w:b w:val="false"/>
          <w:color w:val="0C0C0C"/>
          <w:sz w:val="18"/>
        </w:rPr>
        <w:t>list</w:t>
      </w:r>
      <w:r>
        <w:rPr>
          <w:rFonts w:ascii="Times New Roman;sans-serif" w:hAnsi="Times New Roman;sans-serif"/>
          <w:b w:val="false"/>
          <w:color w:val="2F2F2F"/>
          <w:sz w:val="18"/>
        </w:rPr>
        <w:t xml:space="preserve">s, </w:t>
      </w:r>
      <w:r>
        <w:rPr>
          <w:rFonts w:ascii="Times New Roman;sans-serif" w:hAnsi="Times New Roman;sans-serif"/>
          <w:b w:val="false"/>
          <w:color w:val="1C1C1C"/>
          <w:sz w:val="18"/>
        </w:rPr>
        <w:t xml:space="preserve">supplier lists and </w:t>
      </w:r>
      <w:r>
        <w:rPr>
          <w:rFonts w:ascii="Times New Roman;sans-serif" w:hAnsi="Times New Roman;sans-serif"/>
          <w:b w:val="false"/>
          <w:color w:val="0C0C0C"/>
          <w:sz w:val="18"/>
        </w:rPr>
        <w:t xml:space="preserve">market </w:t>
      </w:r>
      <w:r>
        <w:rPr>
          <w:rFonts w:ascii="Times New Roman;sans-serif" w:hAnsi="Times New Roman;sans-serif"/>
          <w:b w:val="false"/>
          <w:color w:val="1C1C1C"/>
          <w:sz w:val="18"/>
        </w:rPr>
        <w:t xml:space="preserve">analyses; (v) computer programs and related flow-charts, </w:t>
      </w:r>
      <w:r>
        <w:rPr>
          <w:rFonts w:ascii="Times New Roman;sans-serif" w:hAnsi="Times New Roman;sans-serif"/>
          <w:b w:val="false"/>
          <w:color w:val="0C0C0C"/>
          <w:sz w:val="18"/>
        </w:rPr>
        <w:t xml:space="preserve">programmer </w:t>
      </w:r>
      <w:r>
        <w:rPr>
          <w:rFonts w:ascii="Times New Roman;sans-serif" w:hAnsi="Times New Roman;sans-serif"/>
          <w:b w:val="false"/>
          <w:color w:val="1C1C1C"/>
          <w:sz w:val="18"/>
        </w:rPr>
        <w:t xml:space="preserve">notes, </w:t>
      </w:r>
      <w:r>
        <w:rPr>
          <w:rFonts w:ascii="Times New Roman;sans-serif" w:hAnsi="Times New Roman;sans-serif"/>
          <w:b w:val="false"/>
          <w:color w:val="0C0C0C"/>
          <w:sz w:val="18"/>
        </w:rPr>
        <w:t xml:space="preserve">updates </w:t>
      </w:r>
      <w:r>
        <w:rPr>
          <w:rFonts w:ascii="Times New Roman;sans-serif" w:hAnsi="Times New Roman;sans-serif"/>
          <w:b w:val="false"/>
          <w:color w:val="1C1C1C"/>
          <w:sz w:val="18"/>
        </w:rPr>
        <w:t xml:space="preserve">and </w:t>
      </w:r>
      <w:r>
        <w:rPr>
          <w:rFonts w:ascii="Times New Roman;sans-serif" w:hAnsi="Times New Roman;sans-serif"/>
          <w:b w:val="false"/>
          <w:color w:val="0C0C0C"/>
          <w:sz w:val="18"/>
        </w:rPr>
        <w:t xml:space="preserve">data, </w:t>
      </w:r>
      <w:r>
        <w:rPr>
          <w:rFonts w:ascii="Times New Roman;sans-serif" w:hAnsi="Times New Roman;sans-serif"/>
          <w:b w:val="false"/>
          <w:color w:val="1C1C1C"/>
          <w:sz w:val="18"/>
        </w:rPr>
        <w:t xml:space="preserve">whether </w:t>
      </w:r>
      <w:r>
        <w:rPr>
          <w:rFonts w:ascii="Times New Roman;sans-serif" w:hAnsi="Times New Roman;sans-serif"/>
          <w:b w:val="false"/>
          <w:color w:val="0C0C0C"/>
          <w:sz w:val="18"/>
        </w:rPr>
        <w:t xml:space="preserve">in </w:t>
      </w:r>
      <w:r>
        <w:rPr>
          <w:rFonts w:ascii="Times New Roman;sans-serif" w:hAnsi="Times New Roman;sans-serif"/>
          <w:b w:val="false"/>
          <w:color w:val="1C1C1C"/>
          <w:sz w:val="18"/>
        </w:rPr>
        <w:t xml:space="preserve">object </w:t>
      </w:r>
      <w:r>
        <w:rPr>
          <w:rFonts w:ascii="Times New Roman;sans-serif" w:hAnsi="Times New Roman;sans-serif"/>
          <w:b w:val="false"/>
          <w:color w:val="0C0C0C"/>
          <w:sz w:val="18"/>
        </w:rPr>
        <w:t xml:space="preserve">or </w:t>
      </w:r>
      <w:r>
        <w:rPr>
          <w:rFonts w:ascii="Times New Roman;sans-serif" w:hAnsi="Times New Roman;sans-serif"/>
          <w:b w:val="false"/>
          <w:color w:val="1C1C1C"/>
          <w:sz w:val="18"/>
        </w:rPr>
        <w:t xml:space="preserve">source code form; and (vi) any idea, concept, improvement, </w:t>
      </w:r>
      <w:r>
        <w:rPr>
          <w:rFonts w:ascii="Times New Roman;sans-serif" w:hAnsi="Times New Roman;sans-serif"/>
          <w:b w:val="false"/>
          <w:color w:val="0C0C0C"/>
          <w:sz w:val="18"/>
        </w:rPr>
        <w:t xml:space="preserve">invention, </w:t>
      </w:r>
      <w:r>
        <w:rPr>
          <w:rFonts w:ascii="Times New Roman;sans-serif" w:hAnsi="Times New Roman;sans-serif"/>
          <w:b w:val="false"/>
          <w:color w:val="1C1C1C"/>
          <w:sz w:val="18"/>
        </w:rPr>
        <w:t xml:space="preserve">technique, process, </w:t>
      </w:r>
      <w:r>
        <w:rPr>
          <w:rFonts w:ascii="Times New Roman;sans-serif" w:hAnsi="Times New Roman;sans-serif"/>
          <w:b w:val="false"/>
          <w:color w:val="0C0C0C"/>
          <w:sz w:val="18"/>
        </w:rPr>
        <w:t xml:space="preserve">method </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product, device, </w:t>
      </w:r>
      <w:r>
        <w:rPr>
          <w:rFonts w:ascii="Times New Roman;sans-serif" w:hAnsi="Times New Roman;sans-serif"/>
          <w:b w:val="false"/>
          <w:color w:val="0C0C0C"/>
          <w:sz w:val="18"/>
        </w:rPr>
        <w:t xml:space="preserve">system, </w:t>
      </w:r>
      <w:r>
        <w:rPr>
          <w:rFonts w:ascii="Times New Roman;sans-serif" w:hAnsi="Times New Roman;sans-serif"/>
          <w:b w:val="false"/>
          <w:color w:val="1C1C1C"/>
          <w:sz w:val="18"/>
        </w:rPr>
        <w:t xml:space="preserve">etc., </w:t>
      </w:r>
      <w:r>
        <w:rPr>
          <w:rFonts w:ascii="Times New Roman;sans-serif" w:hAnsi="Times New Roman;sans-serif"/>
          <w:b w:val="false"/>
          <w:color w:val="2F2F2F"/>
          <w:sz w:val="18"/>
        </w:rPr>
        <w:t>co</w:t>
      </w:r>
      <w:r>
        <w:rPr>
          <w:rFonts w:ascii="Times New Roman;sans-serif" w:hAnsi="Times New Roman;sans-serif"/>
          <w:b w:val="false"/>
          <w:color w:val="0C0C0C"/>
          <w:sz w:val="18"/>
        </w:rPr>
        <w:t xml:space="preserve">nceived </w:t>
      </w:r>
      <w:r>
        <w:rPr>
          <w:rFonts w:ascii="Times New Roman;sans-serif" w:hAnsi="Times New Roman;sans-serif"/>
          <w:b w:val="false"/>
          <w:color w:val="1C1C1C"/>
          <w:sz w:val="18"/>
        </w:rPr>
        <w:t xml:space="preserve">or </w:t>
      </w:r>
      <w:r>
        <w:rPr>
          <w:rFonts w:ascii="Times New Roman;sans-serif" w:hAnsi="Times New Roman;sans-serif"/>
          <w:b w:val="false"/>
          <w:color w:val="0C0C0C"/>
          <w:sz w:val="18"/>
        </w:rPr>
        <w:t xml:space="preserve">first reduced </w:t>
      </w:r>
      <w:r>
        <w:rPr>
          <w:rFonts w:ascii="Times New Roman;sans-serif" w:hAnsi="Times New Roman;sans-serif"/>
          <w:b w:val="false"/>
          <w:color w:val="1C1C1C"/>
          <w:sz w:val="18"/>
        </w:rPr>
        <w:t xml:space="preserve">to practice during </w:t>
      </w:r>
      <w:r>
        <w:rPr>
          <w:rFonts w:ascii="Times New Roman;sans-serif" w:hAnsi="Times New Roman;sans-serif"/>
          <w:b w:val="false"/>
          <w:color w:val="0C0C0C"/>
          <w:sz w:val="18"/>
        </w:rPr>
        <w:t xml:space="preserve">Consultant's </w:t>
      </w:r>
      <w:r>
        <w:rPr>
          <w:rFonts w:ascii="Times New Roman;sans-serif" w:hAnsi="Times New Roman;sans-serif"/>
          <w:b w:val="false"/>
          <w:color w:val="1C1C1C"/>
          <w:sz w:val="18"/>
        </w:rPr>
        <w:t xml:space="preserve">service with the </w:t>
      </w:r>
      <w:r>
        <w:rPr>
          <w:rFonts w:ascii="Times New Roman;sans-serif" w:hAnsi="Times New Roman;sans-serif"/>
          <w:b w:val="false"/>
          <w:color w:val="0C0C0C"/>
          <w:sz w:val="18"/>
        </w:rPr>
        <w:t xml:space="preserve">Company, </w:t>
      </w:r>
      <w:r>
        <w:rPr>
          <w:rFonts w:ascii="Times New Roman;sans-serif" w:hAnsi="Times New Roman;sans-serif"/>
          <w:b w:val="false"/>
          <w:color w:val="1C1C1C"/>
          <w:sz w:val="18"/>
        </w:rPr>
        <w:t xml:space="preserve">and which was the result </w:t>
      </w:r>
      <w:r>
        <w:rPr>
          <w:rFonts w:ascii="Times New Roman;sans-serif" w:hAnsi="Times New Roman;sans-serif"/>
          <w:b w:val="false"/>
          <w:color w:val="0C0C0C"/>
          <w:sz w:val="18"/>
        </w:rPr>
        <w:t xml:space="preserve">of the Consultant's </w:t>
      </w:r>
      <w:r>
        <w:rPr>
          <w:rFonts w:ascii="Times New Roman;sans-serif" w:hAnsi="Times New Roman;sans-serif"/>
          <w:b w:val="false"/>
          <w:color w:val="1C1C1C"/>
          <w:sz w:val="18"/>
        </w:rPr>
        <w:t xml:space="preserve">services </w:t>
      </w:r>
      <w:r>
        <w:rPr>
          <w:rFonts w:ascii="Times New Roman;sans-serif" w:hAnsi="Times New Roman;sans-serif"/>
          <w:b w:val="false"/>
          <w:color w:val="0C0C0C"/>
          <w:sz w:val="18"/>
        </w:rPr>
        <w:t>to the company</w:t>
      </w:r>
      <w:r>
        <w:rPr>
          <w:rFonts w:ascii="Times New Roman;sans-serif" w:hAnsi="Times New Roman;sans-serif"/>
          <w:b w:val="false"/>
          <w:color w:val="2F2F2F"/>
          <w:sz w:val="18"/>
        </w:rPr>
        <w:t>.</w:t>
      </w:r>
    </w:p>
    <w:p>
      <w:pPr>
        <w:pStyle w:val="TextBody"/>
        <w:spacing w:lineRule="auto" w:line="288" w:before="0" w:after="180"/>
        <w:ind w:left="0" w:right="0" w:firstLine="720"/>
        <w:jc w:val="both"/>
        <w:rPr/>
      </w:pPr>
      <w:r>
        <w:rPr>
          <w:rFonts w:ascii="Times New Roman;sans-serif" w:hAnsi="Times New Roman;sans-serif"/>
          <w:b w:val="false"/>
          <w:color w:val="0C0C0C"/>
          <w:sz w:val="18"/>
        </w:rPr>
        <w:t>7.2    </w:t>
      </w:r>
      <w:r>
        <w:rPr>
          <w:rFonts w:ascii="Times New Roman;sans-serif" w:hAnsi="Times New Roman;sans-serif"/>
          <w:b w:val="false"/>
          <w:color w:val="1C1C1C"/>
          <w:sz w:val="18"/>
        </w:rPr>
        <w:t xml:space="preserve">The Consultant </w:t>
      </w:r>
      <w:r>
        <w:rPr>
          <w:rFonts w:ascii="Times New Roman;sans-serif" w:hAnsi="Times New Roman;sans-serif"/>
          <w:b w:val="false"/>
          <w:color w:val="0C0C0C"/>
          <w:sz w:val="18"/>
        </w:rPr>
        <w:t xml:space="preserve">hereby </w:t>
      </w:r>
      <w:r>
        <w:rPr>
          <w:rFonts w:ascii="Times New Roman;sans-serif" w:hAnsi="Times New Roman;sans-serif"/>
          <w:b w:val="false"/>
          <w:color w:val="1C1C1C"/>
          <w:sz w:val="18"/>
        </w:rPr>
        <w:t xml:space="preserve">agrees to assign, and </w:t>
      </w:r>
      <w:r>
        <w:rPr>
          <w:rFonts w:ascii="Times New Roman;sans-serif" w:hAnsi="Times New Roman;sans-serif"/>
          <w:b w:val="false"/>
          <w:color w:val="0C0C0C"/>
          <w:sz w:val="18"/>
        </w:rPr>
        <w:t xml:space="preserve">hereby </w:t>
      </w:r>
      <w:r>
        <w:rPr>
          <w:rFonts w:ascii="Times New Roman;sans-serif" w:hAnsi="Times New Roman;sans-serif"/>
          <w:b w:val="false"/>
          <w:color w:val="1C1C1C"/>
          <w:sz w:val="18"/>
        </w:rPr>
        <w:t xml:space="preserve">assigns, to the Company, all </w:t>
      </w:r>
      <w:r>
        <w:rPr>
          <w:rFonts w:ascii="Times New Roman;sans-serif" w:hAnsi="Times New Roman;sans-serif"/>
          <w:b w:val="false"/>
          <w:color w:val="0C0C0C"/>
          <w:sz w:val="18"/>
        </w:rPr>
        <w:t>right</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title </w:t>
      </w:r>
      <w:r>
        <w:rPr>
          <w:rFonts w:ascii="Times New Roman;sans-serif" w:hAnsi="Times New Roman;sans-serif"/>
          <w:b w:val="false"/>
          <w:color w:val="494949"/>
          <w:sz w:val="18"/>
        </w:rPr>
        <w:t xml:space="preserve">, </w:t>
      </w:r>
      <w:r>
        <w:rPr>
          <w:rFonts w:ascii="Times New Roman;sans-serif" w:hAnsi="Times New Roman;sans-serif"/>
          <w:b w:val="false"/>
          <w:color w:val="1C1C1C"/>
          <w:sz w:val="18"/>
        </w:rPr>
        <w:t xml:space="preserve">and </w:t>
      </w:r>
      <w:r>
        <w:rPr>
          <w:rFonts w:ascii="Times New Roman;sans-serif" w:hAnsi="Times New Roman;sans-serif"/>
          <w:b w:val="false"/>
          <w:color w:val="0C0C0C"/>
          <w:sz w:val="18"/>
        </w:rPr>
        <w:t xml:space="preserve">interest </w:t>
      </w:r>
      <w:r>
        <w:rPr>
          <w:rFonts w:ascii="Times New Roman;sans-serif" w:hAnsi="Times New Roman;sans-serif"/>
          <w:b w:val="false"/>
          <w:color w:val="1C1C1C"/>
          <w:sz w:val="18"/>
        </w:rPr>
        <w:t xml:space="preserve">to </w:t>
      </w:r>
      <w:r>
        <w:rPr>
          <w:rFonts w:ascii="Times New Roman;sans-serif" w:hAnsi="Times New Roman;sans-serif"/>
          <w:b w:val="false"/>
          <w:color w:val="0C0C0C"/>
          <w:sz w:val="18"/>
        </w:rPr>
        <w:t xml:space="preserve">Intellectual </w:t>
      </w:r>
      <w:r>
        <w:rPr>
          <w:rFonts w:ascii="Times New Roman;sans-serif" w:hAnsi="Times New Roman;sans-serif"/>
          <w:b w:val="false"/>
          <w:color w:val="1C1C1C"/>
          <w:sz w:val="18"/>
        </w:rPr>
        <w:t xml:space="preserve">Property, originated, </w:t>
      </w:r>
      <w:r>
        <w:rPr>
          <w:rFonts w:ascii="Times New Roman;sans-serif" w:hAnsi="Times New Roman;sans-serif"/>
          <w:b w:val="false"/>
          <w:color w:val="0C0C0C"/>
          <w:sz w:val="18"/>
        </w:rPr>
        <w:t>conceived</w:t>
      </w:r>
      <w:r>
        <w:rPr>
          <w:rFonts w:ascii="Times New Roman;sans-serif" w:hAnsi="Times New Roman;sans-serif"/>
          <w:b w:val="false"/>
          <w:color w:val="2F2F2F"/>
          <w:sz w:val="18"/>
        </w:rPr>
        <w:t xml:space="preserve">, </w:t>
      </w:r>
      <w:r>
        <w:rPr>
          <w:rFonts w:ascii="Times New Roman;sans-serif" w:hAnsi="Times New Roman;sans-serif"/>
          <w:b w:val="false"/>
          <w:color w:val="1C1C1C"/>
          <w:sz w:val="18"/>
        </w:rPr>
        <w:t xml:space="preserve">developed </w:t>
      </w:r>
      <w:r>
        <w:rPr>
          <w:rFonts w:ascii="Times New Roman;sans-serif" w:hAnsi="Times New Roman;sans-serif"/>
          <w:b w:val="false"/>
          <w:color w:val="494949"/>
          <w:sz w:val="18"/>
        </w:rPr>
        <w:t xml:space="preserve">, </w:t>
      </w:r>
      <w:r>
        <w:rPr>
          <w:rFonts w:ascii="Times New Roman;sans-serif" w:hAnsi="Times New Roman;sans-serif"/>
          <w:b w:val="false"/>
          <w:color w:val="1C1C1C"/>
          <w:sz w:val="18"/>
        </w:rPr>
        <w:t xml:space="preserve">written or made </w:t>
      </w:r>
      <w:r>
        <w:rPr>
          <w:rFonts w:ascii="Times New Roman;sans-serif" w:hAnsi="Times New Roman;sans-serif"/>
          <w:b w:val="false"/>
          <w:color w:val="0C0C0C"/>
          <w:sz w:val="18"/>
        </w:rPr>
        <w:t xml:space="preserve">by </w:t>
      </w:r>
      <w:r>
        <w:rPr>
          <w:rFonts w:ascii="Times New Roman;sans-serif" w:hAnsi="Times New Roman;sans-serif"/>
          <w:b w:val="false"/>
          <w:color w:val="1C1C1C"/>
          <w:sz w:val="18"/>
        </w:rPr>
        <w:t xml:space="preserve">the Consultant </w:t>
      </w:r>
      <w:r>
        <w:rPr>
          <w:rFonts w:ascii="Times New Roman;sans-serif" w:hAnsi="Times New Roman;sans-serif"/>
          <w:b w:val="false"/>
          <w:color w:val="0C0C0C"/>
          <w:sz w:val="18"/>
        </w:rPr>
        <w:t xml:space="preserve">during the </w:t>
      </w:r>
      <w:r>
        <w:rPr>
          <w:rFonts w:ascii="Times New Roman;sans-serif" w:hAnsi="Times New Roman;sans-serif"/>
          <w:b w:val="false"/>
          <w:color w:val="1C1C1C"/>
          <w:sz w:val="18"/>
        </w:rPr>
        <w:t xml:space="preserve">Term of the engagement with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Company, which </w:t>
      </w:r>
      <w:r>
        <w:rPr>
          <w:rFonts w:ascii="Times New Roman;sans-serif" w:hAnsi="Times New Roman;sans-serif"/>
          <w:b w:val="false"/>
          <w:color w:val="0C0C0C"/>
          <w:sz w:val="18"/>
        </w:rPr>
        <w:t>is develop</w:t>
      </w:r>
      <w:r>
        <w:rPr>
          <w:rFonts w:ascii="Times New Roman;sans-serif" w:hAnsi="Times New Roman;sans-serif"/>
          <w:b w:val="false"/>
          <w:color w:val="2F2F2F"/>
          <w:sz w:val="18"/>
        </w:rPr>
        <w:t>e</w:t>
      </w:r>
      <w:r>
        <w:rPr>
          <w:rFonts w:ascii="Times New Roman;sans-serif" w:hAnsi="Times New Roman;sans-serif"/>
          <w:b w:val="false"/>
          <w:color w:val="0C0C0C"/>
          <w:sz w:val="18"/>
        </w:rPr>
        <w:t>d b</w:t>
      </w:r>
      <w:r>
        <w:rPr>
          <w:rFonts w:ascii="Times New Roman;sans-serif" w:hAnsi="Times New Roman;sans-serif"/>
          <w:b w:val="false"/>
          <w:color w:val="2F2F2F"/>
          <w:sz w:val="18"/>
        </w:rPr>
        <w:t xml:space="preserve">y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Consultant </w:t>
      </w:r>
      <w:r>
        <w:rPr>
          <w:rFonts w:ascii="Times New Roman;sans-serif" w:hAnsi="Times New Roman;sans-serif"/>
          <w:b w:val="false"/>
          <w:color w:val="0C0C0C"/>
          <w:sz w:val="18"/>
        </w:rPr>
        <w:t xml:space="preserve">in the </w:t>
      </w:r>
      <w:r>
        <w:rPr>
          <w:rFonts w:ascii="Times New Roman;sans-serif" w:hAnsi="Times New Roman;sans-serif"/>
          <w:b w:val="false"/>
          <w:color w:val="1C1C1C"/>
          <w:sz w:val="18"/>
        </w:rPr>
        <w:t xml:space="preserve">course of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performance of the Services for </w:t>
      </w:r>
      <w:r>
        <w:rPr>
          <w:rFonts w:ascii="Times New Roman;sans-serif" w:hAnsi="Times New Roman;sans-serif"/>
          <w:b w:val="false"/>
          <w:color w:val="0C0C0C"/>
          <w:sz w:val="18"/>
        </w:rPr>
        <w:t xml:space="preserve">the Company </w:t>
      </w:r>
      <w:r>
        <w:rPr>
          <w:rFonts w:ascii="Times New Roman;sans-serif" w:hAnsi="Times New Roman;sans-serif"/>
          <w:b w:val="false"/>
          <w:color w:val="1C1C1C"/>
          <w:sz w:val="18"/>
        </w:rPr>
        <w:t xml:space="preserve">or </w:t>
      </w:r>
      <w:r>
        <w:rPr>
          <w:rFonts w:ascii="Times New Roman;sans-serif" w:hAnsi="Times New Roman;sans-serif"/>
          <w:b w:val="false"/>
          <w:color w:val="0C0C0C"/>
          <w:sz w:val="18"/>
        </w:rPr>
        <w:t xml:space="preserve">in </w:t>
      </w:r>
      <w:r>
        <w:rPr>
          <w:rFonts w:ascii="Times New Roman;sans-serif" w:hAnsi="Times New Roman;sans-serif"/>
          <w:b w:val="false"/>
          <w:color w:val="2F2F2F"/>
          <w:sz w:val="18"/>
        </w:rPr>
        <w:t xml:space="preserve">any </w:t>
      </w:r>
      <w:r>
        <w:rPr>
          <w:rFonts w:ascii="Times New Roman;sans-serif" w:hAnsi="Times New Roman;sans-serif"/>
          <w:b w:val="false"/>
          <w:color w:val="1C1C1C"/>
          <w:sz w:val="18"/>
        </w:rPr>
        <w:t xml:space="preserve">way connected </w:t>
      </w:r>
      <w:r>
        <w:rPr>
          <w:rFonts w:ascii="Times New Roman;sans-serif" w:hAnsi="Times New Roman;sans-serif"/>
          <w:b w:val="false"/>
          <w:color w:val="0C0C0C"/>
          <w:sz w:val="18"/>
        </w:rPr>
        <w:t xml:space="preserve">to </w:t>
      </w:r>
      <w:r>
        <w:rPr>
          <w:rFonts w:ascii="Times New Roman;sans-serif" w:hAnsi="Times New Roman;sans-serif"/>
          <w:b w:val="false"/>
          <w:color w:val="1C1C1C"/>
          <w:sz w:val="18"/>
        </w:rPr>
        <w:t xml:space="preserve">the </w:t>
      </w:r>
      <w:r>
        <w:rPr>
          <w:rFonts w:ascii="Times New Roman;sans-serif" w:hAnsi="Times New Roman;sans-serif"/>
          <w:b w:val="false"/>
          <w:color w:val="0C0C0C"/>
          <w:sz w:val="18"/>
        </w:rPr>
        <w:t xml:space="preserve">products </w:t>
      </w:r>
      <w:r>
        <w:rPr>
          <w:rFonts w:ascii="Times New Roman;sans-serif" w:hAnsi="Times New Roman;sans-serif"/>
          <w:b w:val="false"/>
          <w:color w:val="1C1C1C"/>
          <w:sz w:val="18"/>
        </w:rPr>
        <w:t xml:space="preserve">or services of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Company and any of </w:t>
      </w:r>
      <w:r>
        <w:rPr>
          <w:rFonts w:ascii="Times New Roman;sans-serif" w:hAnsi="Times New Roman;sans-serif"/>
          <w:b w:val="false"/>
          <w:color w:val="0C0C0C"/>
          <w:sz w:val="18"/>
        </w:rPr>
        <w:t>it</w:t>
      </w:r>
      <w:r>
        <w:rPr>
          <w:rFonts w:ascii="Times New Roman;sans-serif" w:hAnsi="Times New Roman;sans-serif"/>
          <w:b w:val="false"/>
          <w:color w:val="2F2F2F"/>
          <w:sz w:val="18"/>
        </w:rPr>
        <w:t xml:space="preserve">s </w:t>
      </w:r>
      <w:r>
        <w:rPr>
          <w:rFonts w:ascii="Times New Roman;sans-serif" w:hAnsi="Times New Roman;sans-serif"/>
          <w:b w:val="false"/>
          <w:color w:val="1C1C1C"/>
          <w:sz w:val="18"/>
        </w:rPr>
        <w:t xml:space="preserve">affiliates, including those products or </w:t>
      </w:r>
      <w:r>
        <w:rPr>
          <w:rFonts w:ascii="Times New Roman;sans-serif" w:hAnsi="Times New Roman;sans-serif"/>
          <w:b w:val="false"/>
          <w:color w:val="0C0C0C"/>
          <w:sz w:val="18"/>
        </w:rPr>
        <w:t xml:space="preserve">services </w:t>
      </w:r>
      <w:r>
        <w:rPr>
          <w:rFonts w:ascii="Times New Roman;sans-serif" w:hAnsi="Times New Roman;sans-serif"/>
          <w:b w:val="false"/>
          <w:color w:val="1C1C1C"/>
          <w:sz w:val="18"/>
        </w:rPr>
        <w:t xml:space="preserve">contemplated </w:t>
      </w:r>
      <w:r>
        <w:rPr>
          <w:rFonts w:ascii="Times New Roman;sans-serif" w:hAnsi="Times New Roman;sans-serif"/>
          <w:b w:val="false"/>
          <w:color w:val="0C0C0C"/>
          <w:sz w:val="18"/>
        </w:rPr>
        <w:t xml:space="preserve">in </w:t>
      </w:r>
      <w:r>
        <w:rPr>
          <w:rFonts w:ascii="Times New Roman;sans-serif" w:hAnsi="Times New Roman;sans-serif"/>
          <w:b w:val="false"/>
          <w:color w:val="1C1C1C"/>
          <w:sz w:val="18"/>
        </w:rPr>
        <w:t xml:space="preserve">a </w:t>
      </w:r>
      <w:r>
        <w:rPr>
          <w:rFonts w:ascii="Times New Roman;sans-serif" w:hAnsi="Times New Roman;sans-serif"/>
          <w:b w:val="false"/>
          <w:color w:val="0C0C0C"/>
          <w:sz w:val="18"/>
        </w:rPr>
        <w:t xml:space="preserve">plan </w:t>
      </w:r>
      <w:r>
        <w:rPr>
          <w:rFonts w:ascii="Times New Roman;sans-serif" w:hAnsi="Times New Roman;sans-serif"/>
          <w:b w:val="false"/>
          <w:color w:val="1C1C1C"/>
          <w:sz w:val="18"/>
        </w:rPr>
        <w:t xml:space="preserve">adopted by </w:t>
      </w:r>
      <w:r>
        <w:rPr>
          <w:rFonts w:ascii="Times New Roman;sans-serif" w:hAnsi="Times New Roman;sans-serif"/>
          <w:b w:val="false"/>
          <w:color w:val="0C0C0C"/>
          <w:sz w:val="18"/>
        </w:rPr>
        <w:t xml:space="preserve">the </w:t>
      </w:r>
      <w:r>
        <w:rPr>
          <w:rFonts w:ascii="Times New Roman;sans-serif" w:hAnsi="Times New Roman;sans-serif"/>
          <w:b w:val="false"/>
          <w:color w:val="1C1C1C"/>
          <w:sz w:val="18"/>
        </w:rPr>
        <w:t xml:space="preserve">Board of </w:t>
      </w:r>
      <w:r>
        <w:rPr>
          <w:rFonts w:ascii="Times New Roman;sans-serif" w:hAnsi="Times New Roman;sans-serif"/>
          <w:b w:val="false"/>
          <w:color w:val="0C0C0C"/>
          <w:sz w:val="18"/>
        </w:rPr>
        <w:t xml:space="preserve">Directors </w:t>
      </w:r>
      <w:r>
        <w:rPr>
          <w:rFonts w:ascii="Times New Roman;sans-serif" w:hAnsi="Times New Roman;sans-serif"/>
          <w:b w:val="false"/>
          <w:color w:val="1C1C1C"/>
          <w:sz w:val="18"/>
        </w:rPr>
        <w:t xml:space="preserve">of the Company </w:t>
      </w:r>
      <w:r>
        <w:rPr>
          <w:rFonts w:ascii="Times New Roman;sans-serif" w:hAnsi="Times New Roman;sans-serif"/>
          <w:b w:val="false"/>
          <w:color w:val="0C0C0C"/>
          <w:sz w:val="18"/>
        </w:rPr>
        <w:t xml:space="preserve">or any </w:t>
      </w:r>
      <w:r>
        <w:rPr>
          <w:rFonts w:ascii="Times New Roman;sans-serif" w:hAnsi="Times New Roman;sans-serif"/>
          <w:b w:val="false"/>
          <w:color w:val="1C1C1C"/>
          <w:sz w:val="18"/>
        </w:rPr>
        <w:t>other affiliate of the Company.</w:t>
      </w:r>
    </w:p>
    <w:p>
      <w:pPr>
        <w:pStyle w:val="TextBody"/>
        <w:spacing w:lineRule="auto" w:line="288" w:before="0" w:after="180"/>
        <w:ind w:left="0" w:right="0" w:firstLine="720"/>
        <w:jc w:val="both"/>
        <w:rPr/>
      </w:pPr>
      <w:r>
        <w:rPr>
          <w:rFonts w:ascii="Times New Roman;sans-serif" w:hAnsi="Times New Roman;sans-serif"/>
          <w:b w:val="false"/>
          <w:color w:val="0C0C0C"/>
          <w:sz w:val="18"/>
        </w:rPr>
        <w:t>7.3    </w:t>
      </w:r>
      <w:r>
        <w:rPr>
          <w:rFonts w:ascii="Times New Roman;sans-serif" w:hAnsi="Times New Roman;sans-serif"/>
          <w:b w:val="false"/>
          <w:color w:val="1C1C1C"/>
          <w:sz w:val="18"/>
        </w:rPr>
        <w:t xml:space="preserve">In furtherance </w:t>
      </w:r>
      <w:r>
        <w:rPr>
          <w:rFonts w:ascii="Times New Roman;sans-serif" w:hAnsi="Times New Roman;sans-serif"/>
          <w:b w:val="false"/>
          <w:color w:val="0C0C0C"/>
          <w:sz w:val="18"/>
        </w:rPr>
        <w:t xml:space="preserve">of the foregoing </w:t>
      </w:r>
      <w:r>
        <w:rPr>
          <w:rFonts w:ascii="Times New Roman;sans-serif" w:hAnsi="Times New Roman;sans-serif"/>
          <w:b w:val="false"/>
          <w:color w:val="1C1C1C"/>
          <w:sz w:val="18"/>
        </w:rPr>
        <w:t xml:space="preserve">Sections </w:t>
      </w:r>
      <w:r>
        <w:rPr>
          <w:rFonts w:ascii="Times New Roman;sans-serif" w:hAnsi="Times New Roman;sans-serif"/>
          <w:b w:val="false"/>
          <w:color w:val="0C0C0C"/>
          <w:sz w:val="18"/>
        </w:rPr>
        <w:t xml:space="preserve">7.1 and 7.2, the </w:t>
      </w:r>
      <w:r>
        <w:rPr>
          <w:rFonts w:ascii="Times New Roman;sans-serif" w:hAnsi="Times New Roman;sans-serif"/>
          <w:b w:val="false"/>
          <w:color w:val="1C1C1C"/>
          <w:sz w:val="18"/>
        </w:rPr>
        <w:t xml:space="preserve">Consultant agrees </w:t>
      </w:r>
      <w:r>
        <w:rPr>
          <w:rFonts w:ascii="Times New Roman;sans-serif" w:hAnsi="Times New Roman;sans-serif"/>
          <w:b w:val="false"/>
          <w:color w:val="0C0C0C"/>
          <w:sz w:val="18"/>
        </w:rPr>
        <w:t xml:space="preserve">that all fruits </w:t>
      </w:r>
      <w:r>
        <w:rPr>
          <w:rFonts w:ascii="Times New Roman;sans-serif" w:hAnsi="Times New Roman;sans-serif"/>
          <w:b w:val="false"/>
          <w:color w:val="1C1C1C"/>
          <w:sz w:val="18"/>
        </w:rPr>
        <w:t xml:space="preserve">of the Consultant's </w:t>
      </w:r>
      <w:r>
        <w:rPr>
          <w:rFonts w:ascii="Times New Roman;sans-serif" w:hAnsi="Times New Roman;sans-serif"/>
          <w:b w:val="false"/>
          <w:color w:val="0C0C0C"/>
          <w:sz w:val="18"/>
        </w:rPr>
        <w:t xml:space="preserve">work in </w:t>
      </w:r>
      <w:r>
        <w:rPr>
          <w:rFonts w:ascii="Times New Roman;sans-serif" w:hAnsi="Times New Roman;sans-serif"/>
          <w:b w:val="false"/>
          <w:color w:val="1C1C1C"/>
          <w:sz w:val="18"/>
        </w:rPr>
        <w:t xml:space="preserve">connection with </w:t>
      </w:r>
      <w:r>
        <w:rPr>
          <w:rFonts w:ascii="Times New Roman;sans-serif" w:hAnsi="Times New Roman;sans-serif"/>
          <w:b w:val="false"/>
          <w:color w:val="0C0C0C"/>
          <w:sz w:val="18"/>
        </w:rPr>
        <w:t xml:space="preserve">the business of </w:t>
      </w:r>
      <w:r>
        <w:rPr>
          <w:rFonts w:ascii="Times New Roman;sans-serif" w:hAnsi="Times New Roman;sans-serif"/>
          <w:b w:val="false"/>
          <w:color w:val="1C1C1C"/>
          <w:sz w:val="18"/>
        </w:rPr>
        <w:t xml:space="preserve">the Company or any </w:t>
      </w:r>
      <w:r>
        <w:rPr>
          <w:rFonts w:ascii="Times New Roman;sans-serif" w:hAnsi="Times New Roman;sans-serif"/>
          <w:b w:val="false"/>
          <w:color w:val="0C0C0C"/>
          <w:sz w:val="18"/>
        </w:rPr>
        <w:t xml:space="preserve">of </w:t>
      </w:r>
      <w:r>
        <w:rPr>
          <w:rFonts w:ascii="Times New Roman;sans-serif" w:hAnsi="Times New Roman;sans-serif"/>
          <w:b w:val="false"/>
          <w:color w:val="1C1C1C"/>
          <w:sz w:val="18"/>
        </w:rPr>
        <w:t xml:space="preserve">its </w:t>
      </w:r>
      <w:r>
        <w:rPr>
          <w:rFonts w:ascii="Times New Roman;sans-serif" w:hAnsi="Times New Roman;sans-serif"/>
          <w:b w:val="false"/>
          <w:color w:val="0C0C0C"/>
          <w:sz w:val="18"/>
        </w:rPr>
        <w:t>affilia</w:t>
      </w:r>
      <w:r>
        <w:rPr>
          <w:rFonts w:ascii="Times New Roman;sans-serif" w:hAnsi="Times New Roman;sans-serif"/>
          <w:b w:val="false"/>
          <w:color w:val="2F2F2F"/>
          <w:sz w:val="18"/>
        </w:rPr>
        <w:t>t</w:t>
      </w:r>
      <w:r>
        <w:rPr>
          <w:rFonts w:ascii="Times New Roman;sans-serif" w:hAnsi="Times New Roman;sans-serif"/>
          <w:b w:val="false"/>
          <w:color w:val="0C0C0C"/>
          <w:sz w:val="18"/>
        </w:rPr>
        <w:t xml:space="preserve">es, </w:t>
      </w:r>
      <w:r>
        <w:rPr>
          <w:rFonts w:ascii="Times New Roman;sans-serif" w:hAnsi="Times New Roman;sans-serif"/>
          <w:b w:val="false"/>
          <w:color w:val="1C1C1C"/>
          <w:sz w:val="18"/>
        </w:rPr>
        <w:t xml:space="preserve">including all </w:t>
      </w:r>
      <w:r>
        <w:rPr>
          <w:rFonts w:ascii="Times New Roman;sans-serif" w:hAnsi="Times New Roman;sans-serif"/>
          <w:b w:val="false"/>
          <w:color w:val="0C0C0C"/>
          <w:sz w:val="18"/>
        </w:rPr>
        <w:t xml:space="preserve">Intellectual Property </w:t>
      </w:r>
      <w:r>
        <w:rPr>
          <w:rFonts w:ascii="Times New Roman;sans-serif" w:hAnsi="Times New Roman;sans-serif"/>
          <w:b w:val="false"/>
          <w:color w:val="1C1C1C"/>
          <w:sz w:val="18"/>
        </w:rPr>
        <w:t xml:space="preserve">rights which </w:t>
      </w:r>
      <w:r>
        <w:rPr>
          <w:rFonts w:ascii="Times New Roman;sans-serif" w:hAnsi="Times New Roman;sans-serif"/>
          <w:b w:val="false"/>
          <w:color w:val="0C0C0C"/>
          <w:sz w:val="18"/>
        </w:rPr>
        <w:t xml:space="preserve">are invented </w:t>
      </w:r>
      <w:r>
        <w:rPr>
          <w:rFonts w:ascii="Times New Roman;sans-serif" w:hAnsi="Times New Roman;sans-serif"/>
          <w:b w:val="false"/>
          <w:color w:val="1C1C1C"/>
          <w:sz w:val="18"/>
        </w:rPr>
        <w:t xml:space="preserve">or </w:t>
      </w:r>
      <w:r>
        <w:rPr>
          <w:rFonts w:ascii="Times New Roman;sans-serif" w:hAnsi="Times New Roman;sans-serif"/>
          <w:b w:val="false"/>
          <w:color w:val="0C0C0C"/>
          <w:sz w:val="18"/>
        </w:rPr>
        <w:t xml:space="preserve">developed by the </w:t>
      </w:r>
      <w:r>
        <w:rPr>
          <w:rFonts w:ascii="Times New Roman;sans-serif" w:hAnsi="Times New Roman;sans-serif"/>
          <w:b w:val="false"/>
          <w:color w:val="1C1C1C"/>
          <w:sz w:val="18"/>
        </w:rPr>
        <w:t xml:space="preserve">Consultant as a result of </w:t>
      </w:r>
      <w:r>
        <w:rPr>
          <w:rFonts w:ascii="Times New Roman;sans-serif" w:hAnsi="Times New Roman;sans-serif"/>
          <w:b w:val="false"/>
          <w:color w:val="0C0C0C"/>
          <w:sz w:val="18"/>
        </w:rPr>
        <w:t xml:space="preserve">providing </w:t>
      </w:r>
      <w:r>
        <w:rPr>
          <w:rFonts w:ascii="Times New Roman;sans-serif" w:hAnsi="Times New Roman;sans-serif"/>
          <w:b w:val="false"/>
          <w:color w:val="1C1C1C"/>
          <w:sz w:val="18"/>
        </w:rPr>
        <w:t xml:space="preserve">Services under this Agreement shall be exclusively and wholly-owned by the Company, and the Company shall </w:t>
      </w:r>
      <w:r>
        <w:rPr>
          <w:rFonts w:ascii="Times New Roman;sans-serif" w:hAnsi="Times New Roman;sans-serif"/>
          <w:b w:val="false"/>
          <w:color w:val="0C0C0C"/>
          <w:sz w:val="18"/>
        </w:rPr>
        <w:t xml:space="preserve">be </w:t>
      </w:r>
      <w:r>
        <w:rPr>
          <w:rFonts w:ascii="Times New Roman;sans-serif" w:hAnsi="Times New Roman;sans-serif"/>
          <w:b w:val="false"/>
          <w:color w:val="1C1C1C"/>
          <w:sz w:val="18"/>
        </w:rPr>
        <w:t xml:space="preserve">entitled to </w:t>
      </w:r>
      <w:r>
        <w:rPr>
          <w:rFonts w:ascii="Times New Roman;sans-serif" w:hAnsi="Times New Roman;sans-serif"/>
          <w:b w:val="false"/>
          <w:color w:val="0C0C0C"/>
          <w:sz w:val="18"/>
        </w:rPr>
        <w:t>d</w:t>
      </w:r>
      <w:r>
        <w:rPr>
          <w:rFonts w:ascii="Times New Roman;sans-serif" w:hAnsi="Times New Roman;sans-serif"/>
          <w:b w:val="false"/>
          <w:color w:val="2F2F2F"/>
          <w:sz w:val="18"/>
        </w:rPr>
        <w:t xml:space="preserve">eal </w:t>
      </w:r>
      <w:r>
        <w:rPr>
          <w:rFonts w:ascii="Times New Roman;sans-serif" w:hAnsi="Times New Roman;sans-serif"/>
          <w:b w:val="false"/>
          <w:color w:val="1C1C1C"/>
          <w:sz w:val="18"/>
        </w:rPr>
        <w:t xml:space="preserve">therewith as </w:t>
      </w:r>
      <w:r>
        <w:rPr>
          <w:rFonts w:ascii="Times New Roman;sans-serif" w:hAnsi="Times New Roman;sans-serif"/>
          <w:b w:val="false"/>
          <w:color w:val="0C0C0C"/>
          <w:sz w:val="18"/>
        </w:rPr>
        <w:t xml:space="preserve">it desires and register </w:t>
      </w:r>
      <w:r>
        <w:rPr>
          <w:rFonts w:ascii="Times New Roman;sans-serif" w:hAnsi="Times New Roman;sans-serif"/>
          <w:b w:val="false"/>
          <w:color w:val="1C1C1C"/>
          <w:sz w:val="18"/>
        </w:rPr>
        <w:t xml:space="preserve">the Intellectual </w:t>
      </w:r>
      <w:r>
        <w:rPr>
          <w:rFonts w:ascii="Times New Roman;sans-serif" w:hAnsi="Times New Roman;sans-serif"/>
          <w:b w:val="false"/>
          <w:color w:val="0C0C0C"/>
          <w:sz w:val="18"/>
        </w:rPr>
        <w:t xml:space="preserve">Property </w:t>
      </w:r>
      <w:r>
        <w:rPr>
          <w:rFonts w:ascii="Times New Roman;sans-serif" w:hAnsi="Times New Roman;sans-serif"/>
          <w:b w:val="false"/>
          <w:color w:val="2F2F2F"/>
          <w:sz w:val="18"/>
        </w:rPr>
        <w:t xml:space="preserve">in </w:t>
      </w:r>
      <w:r>
        <w:rPr>
          <w:rFonts w:ascii="Times New Roman;sans-serif" w:hAnsi="Times New Roman;sans-serif"/>
          <w:b w:val="false"/>
          <w:color w:val="1C1C1C"/>
          <w:sz w:val="18"/>
        </w:rPr>
        <w:t xml:space="preserve">its name or </w:t>
      </w:r>
      <w:r>
        <w:rPr>
          <w:rFonts w:ascii="Times New Roman;sans-serif" w:hAnsi="Times New Roman;sans-serif"/>
          <w:b w:val="false"/>
          <w:color w:val="0C0C0C"/>
          <w:sz w:val="18"/>
        </w:rPr>
        <w:t xml:space="preserve">in </w:t>
      </w:r>
      <w:r>
        <w:rPr>
          <w:rFonts w:ascii="Times New Roman;sans-serif" w:hAnsi="Times New Roman;sans-serif"/>
          <w:b w:val="false"/>
          <w:color w:val="1C1C1C"/>
          <w:sz w:val="18"/>
        </w:rPr>
        <w:t xml:space="preserve">the </w:t>
      </w:r>
      <w:r>
        <w:rPr>
          <w:rFonts w:ascii="Times New Roman;sans-serif" w:hAnsi="Times New Roman;sans-serif"/>
          <w:b w:val="false"/>
          <w:color w:val="0C0C0C"/>
          <w:sz w:val="18"/>
        </w:rPr>
        <w:t xml:space="preserve">name </w:t>
      </w:r>
      <w:r>
        <w:rPr>
          <w:rFonts w:ascii="Times New Roman;sans-serif" w:hAnsi="Times New Roman;sans-serif"/>
          <w:b w:val="false"/>
          <w:color w:val="1C1C1C"/>
          <w:sz w:val="18"/>
        </w:rPr>
        <w:t>of any of its affiliates.</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7.4    Upon request, the Consultant will execute any instrument required to vest in the Company or in any of its affiliates complete title and ownership to any Intellectual Property. At the request of the Company, the Consultant will execute any necessary instrument to obtain legal protection in the U.S. and foreign countries for any Intellectual Property and for the purposes of vesting title thereto in the Company or in any of its affiliates, all at the Company's expense and without any additional compensation of any kind to the Consultant. The Consultant agree to appoint the Company or the Company's designee as its attorney in its name and on its behalf to execute all documents and do all things required in order to give full effect to the provisions of this Section 7.</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7.5    The Consultant acknowledges that no further remuneration or compensation other than that provided for in this Agreement is or may become due to the Consultant in respect of the performance of its obligations under this clause 7.</w:t>
      </w:r>
    </w:p>
    <w:p>
      <w:pPr>
        <w:pStyle w:val="TextBody"/>
        <w:spacing w:lineRule="auto" w:line="288" w:before="0" w:after="180"/>
        <w:rPr/>
      </w:pPr>
      <w:r>
        <w:rPr>
          <w:rFonts w:ascii="Times New Roman;sans-serif" w:hAnsi="Times New Roman;sans-serif"/>
          <w:b/>
          <w:color w:val="010101"/>
          <w:sz w:val="18"/>
        </w:rPr>
        <w:t>8.    C</w:t>
      </w:r>
      <w:r>
        <w:rPr>
          <w:rFonts w:ascii="Times New Roman;sans-serif" w:hAnsi="Times New Roman;sans-serif"/>
          <w:b/>
          <w:color w:val="010101"/>
          <w:sz w:val="14"/>
        </w:rPr>
        <w:t xml:space="preserve">OMPETITIVE </w:t>
      </w:r>
      <w:r>
        <w:rPr>
          <w:rFonts w:ascii="Times New Roman;sans-serif" w:hAnsi="Times New Roman;sans-serif"/>
          <w:b/>
          <w:color w:val="010101"/>
          <w:sz w:val="18"/>
        </w:rPr>
        <w:t>A</w:t>
      </w:r>
      <w:r>
        <w:rPr>
          <w:rFonts w:ascii="Times New Roman;sans-serif" w:hAnsi="Times New Roman;sans-serif"/>
          <w:b/>
          <w:color w:val="010101"/>
          <w:sz w:val="14"/>
        </w:rPr>
        <w:t>CTIVITY</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8.l    For a period of twelve (12) months from and after the termination of this Agreement, the Consultant will not directly compete with the products or services of the Company or in any of its affiliates, or act as a consultant to or employee of, a venture, entity or other business that directly competes with the products or services of the Company or in any of its affiliates.</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 xml:space="preserve">8.2    For a period of twelve (12) months from and after the termination of this Agreement, neither the Consultant nor its affiliate shall, directly or indirectly, (i) retain, or employ (either for itself or as agent for another) or induce persuade or encourage any person to leave the Company's employ who, prior to the date hereof was, or during the term of this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73025"/>
                <wp:effectExtent l="0" t="0" r="0" b="0"/>
                <wp:wrapNone/>
                <wp:docPr id="554" name="Frame547"/>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jc w:val="both"/>
        <w:rPr>
          <w:rFonts w:ascii="Times New Roman;sans-serif" w:hAnsi="Times New Roman;sans-serif"/>
          <w:b w:val="false"/>
          <w:color w:val="010101"/>
          <w:sz w:val="18"/>
        </w:rPr>
      </w:pPr>
      <w:r>
        <w:rPr>
          <w:rFonts w:ascii="Times New Roman;sans-serif" w:hAnsi="Times New Roman;sans-serif"/>
          <w:b w:val="false"/>
          <w:color w:val="010101"/>
          <w:sz w:val="18"/>
        </w:rPr>
        <w:t>Agreement will be, employed or retained by the Company as a consultant, independent contractor, reporter, agent, employee or otherwise or (ii) divert or attempt to divert from the Company any business whatsoever by influencing or attempting to influence any client or supplier of the Company.</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8.3    The Consultant represents that his engagement with the Company will not, to his knowledge, require him (or any of its affiliates) to violate or breach any obligation to or agreement or confidence with any previous or current employer or third party. The Consultant further represents that no legal impediment exists to his entry into this Agreement and the performance of the Services. The Consultant shall disclose the existence of this Agreement to any previous or current employer or third party in connection with any transaction between the Company and such previous or current employer or third party, to the extent required by applicable law.</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8.4    The parties acknowledge that the time, scope and other provisions of Section 8 have been specifically negotiated by sophisticated commercial parties and agree that all such provisions are reasonable under the circumstances of the transactions contemplated by this Agreement. If any portion of Section 8 shall be determined to be invalid and unenforceable as written, each such portion shall be enforced to the extent reasonable under the circumstances and such determination shall not affect the validity or enforceability of the balance thereof, and such balance shall remain in full force and effect.</w:t>
      </w:r>
    </w:p>
    <w:p>
      <w:pPr>
        <w:pStyle w:val="TextBody"/>
        <w:spacing w:lineRule="auto" w:line="288" w:before="0" w:after="180"/>
        <w:rPr/>
      </w:pPr>
      <w:r>
        <w:rPr>
          <w:rFonts w:ascii="Times New Roman;sans-serif" w:hAnsi="Times New Roman;sans-serif"/>
          <w:b/>
          <w:color w:val="131313"/>
          <w:sz w:val="18"/>
        </w:rPr>
        <w:t>9.    S</w:t>
      </w:r>
      <w:r>
        <w:rPr>
          <w:rFonts w:ascii="Times New Roman;sans-serif" w:hAnsi="Times New Roman;sans-serif"/>
          <w:b/>
          <w:color w:val="131313"/>
          <w:sz w:val="14"/>
        </w:rPr>
        <w:t>PECI</w:t>
      </w:r>
      <w:r>
        <w:rPr>
          <w:rFonts w:ascii="Times New Roman;sans-serif" w:hAnsi="Times New Roman;sans-serif"/>
          <w:b/>
          <w:color w:val="3B3B3B"/>
          <w:sz w:val="14"/>
        </w:rPr>
        <w:t>F</w:t>
      </w:r>
      <w:r>
        <w:rPr>
          <w:rFonts w:ascii="Times New Roman;sans-serif" w:hAnsi="Times New Roman;sans-serif"/>
          <w:b/>
          <w:color w:val="131313"/>
          <w:sz w:val="14"/>
        </w:rPr>
        <w:t>IC</w:t>
      </w:r>
      <w:r>
        <w:rPr>
          <w:color w:val="131313"/>
        </w:rPr>
        <w:t xml:space="preserve"> </w:t>
      </w:r>
      <w:r>
        <w:rPr>
          <w:rFonts w:ascii="Times New Roman;sans-serif" w:hAnsi="Times New Roman;sans-serif"/>
          <w:b/>
          <w:color w:val="131313"/>
          <w:sz w:val="18"/>
        </w:rPr>
        <w:t>P</w:t>
      </w:r>
      <w:r>
        <w:rPr>
          <w:rFonts w:ascii="Times New Roman;sans-serif" w:hAnsi="Times New Roman;sans-serif"/>
          <w:b/>
          <w:color w:val="131313"/>
          <w:sz w:val="14"/>
        </w:rPr>
        <w:t>ERFORMANCE</w:t>
      </w:r>
    </w:p>
    <w:p>
      <w:pPr>
        <w:pStyle w:val="TextBody"/>
        <w:spacing w:lineRule="auto" w:line="288" w:before="0" w:after="180"/>
        <w:ind w:left="0" w:right="0" w:firstLine="720"/>
        <w:jc w:val="both"/>
        <w:rPr/>
      </w:pPr>
      <w:r>
        <w:rPr>
          <w:rFonts w:ascii="Times New Roman;sans-serif" w:hAnsi="Times New Roman;sans-serif"/>
          <w:b w:val="false"/>
          <w:color w:val="131313"/>
          <w:sz w:val="18"/>
        </w:rPr>
        <w:t>9.1    </w:t>
      </w:r>
      <w:r>
        <w:rPr>
          <w:rFonts w:ascii="Times New Roman;sans-serif" w:hAnsi="Times New Roman;sans-serif"/>
          <w:b w:val="false"/>
          <w:color w:val="3B3B3B"/>
          <w:sz w:val="18"/>
        </w:rPr>
        <w:t>T</w:t>
      </w:r>
      <w:r>
        <w:rPr>
          <w:rFonts w:ascii="Times New Roman;sans-serif" w:hAnsi="Times New Roman;sans-serif"/>
          <w:b w:val="false"/>
          <w:color w:val="131313"/>
          <w:sz w:val="18"/>
        </w:rPr>
        <w:t xml:space="preserve">he </w:t>
      </w:r>
      <w:r>
        <w:rPr>
          <w:rFonts w:ascii="Times New Roman;sans-serif" w:hAnsi="Times New Roman;sans-serif"/>
          <w:b w:val="false"/>
          <w:color w:val="262626"/>
          <w:sz w:val="18"/>
        </w:rPr>
        <w:t xml:space="preserve">Consultant </w:t>
      </w:r>
      <w:r>
        <w:rPr>
          <w:rFonts w:ascii="Times New Roman;sans-serif" w:hAnsi="Times New Roman;sans-serif"/>
          <w:b w:val="false"/>
          <w:color w:val="131313"/>
          <w:sz w:val="18"/>
        </w:rPr>
        <w:t xml:space="preserve">acknowledges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 xml:space="preserve">agrees that any breach of Sections 6, 7 or 8 of this Agreement is likely to result in irreparable injury to the Company, </w:t>
      </w:r>
      <w:r>
        <w:rPr>
          <w:rFonts w:ascii="Times New Roman;sans-serif" w:hAnsi="Times New Roman;sans-serif"/>
          <w:b w:val="false"/>
          <w:color w:val="262626"/>
          <w:sz w:val="18"/>
        </w:rPr>
        <w:t xml:space="preserve">that </w:t>
      </w:r>
      <w:r>
        <w:rPr>
          <w:rFonts w:ascii="Times New Roman;sans-serif" w:hAnsi="Times New Roman;sans-serif"/>
          <w:b w:val="false"/>
          <w:color w:val="131313"/>
          <w:sz w:val="18"/>
        </w:rPr>
        <w:t xml:space="preserve">monetary damages may be </w:t>
      </w:r>
      <w:r>
        <w:rPr>
          <w:rFonts w:ascii="Times New Roman;sans-serif" w:hAnsi="Times New Roman;sans-serif"/>
          <w:b w:val="false"/>
          <w:color w:val="262626"/>
          <w:sz w:val="18"/>
        </w:rPr>
        <w:t xml:space="preserve">an </w:t>
      </w:r>
      <w:r>
        <w:rPr>
          <w:rFonts w:ascii="Times New Roman;sans-serif" w:hAnsi="Times New Roman;sans-serif"/>
          <w:b w:val="false"/>
          <w:color w:val="131313"/>
          <w:sz w:val="18"/>
        </w:rPr>
        <w:t xml:space="preserve">inadequate remedy </w:t>
      </w:r>
      <w:r>
        <w:rPr>
          <w:rFonts w:ascii="Times New Roman;sans-serif" w:hAnsi="Times New Roman;sans-serif"/>
          <w:b w:val="false"/>
          <w:color w:val="262626"/>
          <w:sz w:val="18"/>
        </w:rPr>
        <w:t xml:space="preserve">of such breach </w:t>
      </w:r>
      <w:r>
        <w:rPr>
          <w:rFonts w:ascii="Times New Roman;sans-serif" w:hAnsi="Times New Roman;sans-serif"/>
          <w:b w:val="false"/>
          <w:color w:val="131313"/>
          <w:sz w:val="18"/>
        </w:rPr>
        <w:t>and that, accordingly</w:t>
      </w:r>
      <w:r>
        <w:rPr>
          <w:rFonts w:ascii="Times New Roman;sans-serif" w:hAnsi="Times New Roman;sans-serif"/>
          <w:b w:val="false"/>
          <w:color w:val="3B3B3B"/>
          <w:sz w:val="18"/>
        </w:rPr>
        <w:t xml:space="preserve">, </w:t>
      </w:r>
      <w:r>
        <w:rPr>
          <w:rFonts w:ascii="Times New Roman;sans-serif" w:hAnsi="Times New Roman;sans-serif"/>
          <w:b w:val="false"/>
          <w:color w:val="131313"/>
          <w:sz w:val="18"/>
        </w:rPr>
        <w:t xml:space="preserve">in </w:t>
      </w:r>
      <w:r>
        <w:rPr>
          <w:rFonts w:ascii="Times New Roman;sans-serif" w:hAnsi="Times New Roman;sans-serif"/>
          <w:b w:val="false"/>
          <w:color w:val="262626"/>
          <w:sz w:val="18"/>
        </w:rPr>
        <w:t xml:space="preserve">addition </w:t>
      </w:r>
      <w:r>
        <w:rPr>
          <w:rFonts w:ascii="Times New Roman;sans-serif" w:hAnsi="Times New Roman;sans-serif"/>
          <w:b w:val="false"/>
          <w:color w:val="131313"/>
          <w:sz w:val="18"/>
        </w:rPr>
        <w:t xml:space="preserve">to any other </w:t>
      </w:r>
      <w:r>
        <w:rPr>
          <w:rFonts w:ascii="Times New Roman;sans-serif" w:hAnsi="Times New Roman;sans-serif"/>
          <w:b w:val="false"/>
          <w:color w:val="262626"/>
          <w:sz w:val="18"/>
        </w:rPr>
        <w:t xml:space="preserve">remedy that the </w:t>
      </w:r>
      <w:r>
        <w:rPr>
          <w:rFonts w:ascii="Times New Roman;sans-serif" w:hAnsi="Times New Roman;sans-serif"/>
          <w:b w:val="false"/>
          <w:color w:val="131313"/>
          <w:sz w:val="18"/>
        </w:rPr>
        <w:t xml:space="preserve">Company </w:t>
      </w:r>
      <w:r>
        <w:rPr>
          <w:rFonts w:ascii="Times New Roman;sans-serif" w:hAnsi="Times New Roman;sans-serif"/>
          <w:b w:val="false"/>
          <w:color w:val="262626"/>
          <w:sz w:val="18"/>
        </w:rPr>
        <w:t xml:space="preserve">may have, </w:t>
      </w:r>
      <w:r>
        <w:rPr>
          <w:rFonts w:ascii="Times New Roman;sans-serif" w:hAnsi="Times New Roman;sans-serif"/>
          <w:b w:val="false"/>
          <w:color w:val="131313"/>
          <w:sz w:val="18"/>
        </w:rPr>
        <w:t xml:space="preserve">the Company shall be </w:t>
      </w:r>
      <w:r>
        <w:rPr>
          <w:rFonts w:ascii="Times New Roman;sans-serif" w:hAnsi="Times New Roman;sans-serif"/>
          <w:b w:val="false"/>
          <w:color w:val="262626"/>
          <w:sz w:val="18"/>
        </w:rPr>
        <w:t xml:space="preserve">entitled </w:t>
      </w:r>
      <w:r>
        <w:rPr>
          <w:rFonts w:ascii="Times New Roman;sans-serif" w:hAnsi="Times New Roman;sans-serif"/>
          <w:b w:val="false"/>
          <w:color w:val="131313"/>
          <w:sz w:val="18"/>
        </w:rPr>
        <w:t xml:space="preserve">to </w:t>
      </w:r>
      <w:r>
        <w:rPr>
          <w:rFonts w:ascii="Times New Roman;sans-serif" w:hAnsi="Times New Roman;sans-serif"/>
          <w:b w:val="false"/>
          <w:color w:val="262626"/>
          <w:sz w:val="18"/>
        </w:rPr>
        <w:t xml:space="preserve">enforce </w:t>
      </w:r>
      <w:r>
        <w:rPr>
          <w:rFonts w:ascii="Times New Roman;sans-serif" w:hAnsi="Times New Roman;sans-serif"/>
          <w:b w:val="false"/>
          <w:color w:val="131313"/>
          <w:sz w:val="18"/>
        </w:rPr>
        <w:t xml:space="preserve">the specific performance </w:t>
      </w:r>
      <w:r>
        <w:rPr>
          <w:rFonts w:ascii="Times New Roman;sans-serif" w:hAnsi="Times New Roman;sans-serif"/>
          <w:b w:val="false"/>
          <w:color w:val="262626"/>
          <w:sz w:val="18"/>
        </w:rPr>
        <w:t>of such Sections.</w:t>
      </w:r>
    </w:p>
    <w:p>
      <w:pPr>
        <w:pStyle w:val="TextBody"/>
        <w:spacing w:lineRule="auto" w:line="288" w:before="0" w:after="180"/>
        <w:rPr/>
      </w:pPr>
      <w:r>
        <w:rPr>
          <w:rFonts w:ascii="Times New Roman;sans-serif" w:hAnsi="Times New Roman;sans-serif"/>
          <w:b/>
          <w:color w:val="131313"/>
          <w:sz w:val="18"/>
        </w:rPr>
        <w:t>10.    </w:t>
      </w:r>
      <w:r>
        <w:rPr>
          <w:rFonts w:ascii="Times New Roman;sans-serif" w:hAnsi="Times New Roman;sans-serif"/>
          <w:b/>
          <w:color w:val="262626"/>
          <w:sz w:val="18"/>
        </w:rPr>
        <w:t>S</w:t>
      </w:r>
      <w:r>
        <w:rPr>
          <w:rFonts w:ascii="Times New Roman;sans-serif" w:hAnsi="Times New Roman;sans-serif"/>
          <w:b/>
          <w:color w:val="262626"/>
          <w:sz w:val="14"/>
        </w:rPr>
        <w:t>TATUS</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10.1    The </w:t>
      </w:r>
      <w:r>
        <w:rPr>
          <w:rFonts w:ascii="Times New Roman;sans-serif" w:hAnsi="Times New Roman;sans-serif"/>
          <w:b w:val="false"/>
          <w:color w:val="262626"/>
          <w:sz w:val="18"/>
        </w:rPr>
        <w:t xml:space="preserve">relationship </w:t>
      </w:r>
      <w:r>
        <w:rPr>
          <w:rFonts w:ascii="Times New Roman;sans-serif" w:hAnsi="Times New Roman;sans-serif"/>
          <w:b w:val="false"/>
          <w:color w:val="131313"/>
          <w:sz w:val="18"/>
        </w:rPr>
        <w:t xml:space="preserve">of the Consultant </w:t>
      </w:r>
      <w:r>
        <w:rPr>
          <w:rFonts w:ascii="Times New Roman;sans-serif" w:hAnsi="Times New Roman;sans-serif"/>
          <w:b w:val="false"/>
          <w:color w:val="262626"/>
          <w:sz w:val="18"/>
        </w:rPr>
        <w:t xml:space="preserve">to the </w:t>
      </w:r>
      <w:r>
        <w:rPr>
          <w:rFonts w:ascii="Times New Roman;sans-serif" w:hAnsi="Times New Roman;sans-serif"/>
          <w:b w:val="false"/>
          <w:color w:val="131313"/>
          <w:sz w:val="18"/>
        </w:rPr>
        <w:t xml:space="preserve">Company will be that of independent contractor </w:t>
      </w:r>
      <w:r>
        <w:rPr>
          <w:rFonts w:ascii="Times New Roman;sans-serif" w:hAnsi="Times New Roman;sans-serif"/>
          <w:b w:val="false"/>
          <w:color w:val="3B3B3B"/>
          <w:sz w:val="18"/>
        </w:rPr>
        <w:t>a</w:t>
      </w:r>
      <w:r>
        <w:rPr>
          <w:rFonts w:ascii="Times New Roman;sans-serif" w:hAnsi="Times New Roman;sans-serif"/>
          <w:b w:val="false"/>
          <w:color w:val="131313"/>
          <w:sz w:val="18"/>
        </w:rPr>
        <w:t xml:space="preserve">nd nothing in this Agreement shall render it (nor the Individual) an employee, worker, agent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 xml:space="preserve">partner of the Company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the Consultant shall not hold himself out as such.</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10.2    The </w:t>
      </w:r>
      <w:r>
        <w:rPr>
          <w:rFonts w:ascii="Times New Roman;sans-serif" w:hAnsi="Times New Roman;sans-serif"/>
          <w:b w:val="false"/>
          <w:color w:val="262626"/>
          <w:sz w:val="18"/>
        </w:rPr>
        <w:t xml:space="preserve">Consultant </w:t>
      </w:r>
      <w:r>
        <w:rPr>
          <w:rFonts w:ascii="Times New Roman;sans-serif" w:hAnsi="Times New Roman;sans-serif"/>
          <w:b w:val="false"/>
          <w:color w:val="131313"/>
          <w:sz w:val="18"/>
        </w:rPr>
        <w:t xml:space="preserve">understands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 xml:space="preserve">agrees that </w:t>
      </w:r>
      <w:r>
        <w:rPr>
          <w:rFonts w:ascii="Times New Roman;sans-serif" w:hAnsi="Times New Roman;sans-serif"/>
          <w:b w:val="false"/>
          <w:color w:val="262626"/>
          <w:sz w:val="18"/>
        </w:rPr>
        <w:t xml:space="preserve">except as </w:t>
      </w:r>
      <w:r>
        <w:rPr>
          <w:rFonts w:ascii="Times New Roman;sans-serif" w:hAnsi="Times New Roman;sans-serif"/>
          <w:b w:val="false"/>
          <w:color w:val="131313"/>
          <w:sz w:val="18"/>
        </w:rPr>
        <w:t xml:space="preserve">specifically provided in this </w:t>
      </w:r>
      <w:r>
        <w:rPr>
          <w:rFonts w:ascii="Times New Roman;sans-serif" w:hAnsi="Times New Roman;sans-serif"/>
          <w:b w:val="false"/>
          <w:color w:val="262626"/>
          <w:sz w:val="18"/>
        </w:rPr>
        <w:t xml:space="preserve">Agreement or except </w:t>
      </w:r>
      <w:r>
        <w:rPr>
          <w:rFonts w:ascii="Times New Roman;sans-serif" w:hAnsi="Times New Roman;sans-serif"/>
          <w:b w:val="false"/>
          <w:color w:val="131313"/>
          <w:sz w:val="18"/>
        </w:rPr>
        <w:t xml:space="preserve">as required </w:t>
      </w:r>
      <w:r>
        <w:rPr>
          <w:rFonts w:ascii="Times New Roman;sans-serif" w:hAnsi="Times New Roman;sans-serif"/>
          <w:b w:val="false"/>
          <w:color w:val="262626"/>
          <w:sz w:val="18"/>
        </w:rPr>
        <w:t xml:space="preserve">within the scope </w:t>
      </w:r>
      <w:r>
        <w:rPr>
          <w:rFonts w:ascii="Times New Roman;sans-serif" w:hAnsi="Times New Roman;sans-serif"/>
          <w:b w:val="false"/>
          <w:color w:val="131313"/>
          <w:sz w:val="18"/>
        </w:rPr>
        <w:t xml:space="preserve">of the Services, </w:t>
      </w:r>
      <w:r>
        <w:rPr>
          <w:rFonts w:ascii="Times New Roman;sans-serif" w:hAnsi="Times New Roman;sans-serif"/>
          <w:b w:val="false"/>
          <w:color w:val="262626"/>
          <w:sz w:val="18"/>
        </w:rPr>
        <w:t xml:space="preserve">the Company </w:t>
      </w:r>
      <w:r>
        <w:rPr>
          <w:rFonts w:ascii="Times New Roman;sans-serif" w:hAnsi="Times New Roman;sans-serif"/>
          <w:b w:val="false"/>
          <w:color w:val="131313"/>
          <w:sz w:val="18"/>
        </w:rPr>
        <w:t xml:space="preserve">does </w:t>
      </w:r>
      <w:r>
        <w:rPr>
          <w:rFonts w:ascii="Times New Roman;sans-serif" w:hAnsi="Times New Roman;sans-serif"/>
          <w:b w:val="false"/>
          <w:color w:val="262626"/>
          <w:sz w:val="18"/>
        </w:rPr>
        <w:t xml:space="preserve">not </w:t>
      </w:r>
      <w:r>
        <w:rPr>
          <w:rFonts w:ascii="Times New Roman;sans-serif" w:hAnsi="Times New Roman;sans-serif"/>
          <w:b w:val="false"/>
          <w:color w:val="131313"/>
          <w:sz w:val="18"/>
        </w:rPr>
        <w:t xml:space="preserve">grant to the Consultant the right </w:t>
      </w:r>
      <w:r>
        <w:rPr>
          <w:rFonts w:ascii="Times New Roman;sans-serif" w:hAnsi="Times New Roman;sans-serif"/>
          <w:b w:val="false"/>
          <w:color w:val="262626"/>
          <w:sz w:val="18"/>
        </w:rPr>
        <w:t xml:space="preserve">or authority </w:t>
      </w:r>
      <w:r>
        <w:rPr>
          <w:rFonts w:ascii="Times New Roman;sans-serif" w:hAnsi="Times New Roman;sans-serif"/>
          <w:b w:val="false"/>
          <w:color w:val="131313"/>
          <w:sz w:val="18"/>
        </w:rPr>
        <w:t xml:space="preserve">to make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give any agreement</w:t>
      </w:r>
      <w:r>
        <w:rPr>
          <w:rFonts w:ascii="Times New Roman;sans-serif" w:hAnsi="Times New Roman;sans-serif"/>
          <w:b w:val="false"/>
          <w:color w:val="3B3B3B"/>
          <w:sz w:val="18"/>
        </w:rPr>
        <w:t xml:space="preserve">, </w:t>
      </w:r>
      <w:r>
        <w:rPr>
          <w:rFonts w:ascii="Times New Roman;sans-serif" w:hAnsi="Times New Roman;sans-serif"/>
          <w:b w:val="false"/>
          <w:color w:val="262626"/>
          <w:sz w:val="18"/>
        </w:rPr>
        <w:t xml:space="preserve">statement, </w:t>
      </w:r>
      <w:r>
        <w:rPr>
          <w:rFonts w:ascii="Times New Roman;sans-serif" w:hAnsi="Times New Roman;sans-serif"/>
          <w:b w:val="false"/>
          <w:color w:val="131313"/>
          <w:sz w:val="18"/>
        </w:rPr>
        <w:t>representation</w:t>
      </w:r>
      <w:r>
        <w:rPr>
          <w:rFonts w:ascii="Times New Roman;sans-serif" w:hAnsi="Times New Roman;sans-serif"/>
          <w:b w:val="false"/>
          <w:color w:val="3B3B3B"/>
          <w:sz w:val="18"/>
        </w:rPr>
        <w:t xml:space="preserve">, </w:t>
      </w:r>
      <w:r>
        <w:rPr>
          <w:rFonts w:ascii="Times New Roman;sans-serif" w:hAnsi="Times New Roman;sans-serif"/>
          <w:b w:val="false"/>
          <w:color w:val="262626"/>
          <w:sz w:val="18"/>
        </w:rPr>
        <w:t xml:space="preserve">warranty or </w:t>
      </w:r>
      <w:r>
        <w:rPr>
          <w:rFonts w:ascii="Times New Roman;sans-serif" w:hAnsi="Times New Roman;sans-serif"/>
          <w:b w:val="false"/>
          <w:color w:val="131313"/>
          <w:sz w:val="18"/>
        </w:rPr>
        <w:t xml:space="preserve">other commitment, or to create any obligation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any kind</w:t>
      </w:r>
      <w:r>
        <w:rPr>
          <w:rFonts w:ascii="Times New Roman;sans-serif" w:hAnsi="Times New Roman;sans-serif"/>
          <w:b w:val="false"/>
          <w:color w:val="3B3B3B"/>
          <w:sz w:val="18"/>
        </w:rPr>
        <w:t xml:space="preserve">, </w:t>
      </w:r>
      <w:r>
        <w:rPr>
          <w:rFonts w:ascii="Times New Roman;sans-serif" w:hAnsi="Times New Roman;sans-serif"/>
          <w:b w:val="false"/>
          <w:color w:val="262626"/>
          <w:sz w:val="18"/>
        </w:rPr>
        <w:t xml:space="preserve">on </w:t>
      </w:r>
      <w:r>
        <w:rPr>
          <w:rFonts w:ascii="Times New Roman;sans-serif" w:hAnsi="Times New Roman;sans-serif"/>
          <w:b w:val="false"/>
          <w:color w:val="131313"/>
          <w:sz w:val="18"/>
        </w:rPr>
        <w:t xml:space="preserve">behalf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the </w:t>
      </w:r>
      <w:r>
        <w:rPr>
          <w:rFonts w:ascii="Times New Roman;sans-serif" w:hAnsi="Times New Roman;sans-serif"/>
          <w:b w:val="false"/>
          <w:color w:val="262626"/>
          <w:sz w:val="18"/>
        </w:rPr>
        <w:t xml:space="preserve">Company </w:t>
      </w:r>
      <w:r>
        <w:rPr>
          <w:rFonts w:ascii="Times New Roman;sans-serif" w:hAnsi="Times New Roman;sans-serif"/>
          <w:b w:val="false"/>
          <w:color w:val="131313"/>
          <w:sz w:val="18"/>
        </w:rPr>
        <w:t>or any subsidiary.</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10.3    This Agreement constitutes </w:t>
      </w:r>
      <w:r>
        <w:rPr>
          <w:rFonts w:ascii="Times New Roman;sans-serif" w:hAnsi="Times New Roman;sans-serif"/>
          <w:b w:val="false"/>
          <w:color w:val="262626"/>
          <w:sz w:val="18"/>
        </w:rPr>
        <w:t xml:space="preserve">a contract </w:t>
      </w:r>
      <w:r>
        <w:rPr>
          <w:rFonts w:ascii="Times New Roman;sans-serif" w:hAnsi="Times New Roman;sans-serif"/>
          <w:b w:val="false"/>
          <w:color w:val="131313"/>
          <w:sz w:val="18"/>
        </w:rPr>
        <w:t xml:space="preserve">for the provision of services and not a contract of employment and accordingly the Consultant shall be fully responsible for and in respect of payment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the following within </w:t>
      </w:r>
      <w:r>
        <w:rPr>
          <w:rFonts w:ascii="Times New Roman;sans-serif" w:hAnsi="Times New Roman;sans-serif"/>
          <w:b w:val="false"/>
          <w:color w:val="262626"/>
          <w:sz w:val="18"/>
        </w:rPr>
        <w:t xml:space="preserve">the prescribed </w:t>
      </w:r>
      <w:r>
        <w:rPr>
          <w:rFonts w:ascii="Times New Roman;sans-serif" w:hAnsi="Times New Roman;sans-serif"/>
          <w:b w:val="false"/>
          <w:color w:val="131313"/>
          <w:sz w:val="18"/>
        </w:rPr>
        <w:t xml:space="preserve">time limits: (a) </w:t>
      </w:r>
      <w:r>
        <w:rPr>
          <w:rFonts w:ascii="Times New Roman;sans-serif" w:hAnsi="Times New Roman;sans-serif"/>
          <w:b w:val="false"/>
          <w:color w:val="262626"/>
          <w:sz w:val="18"/>
        </w:rPr>
        <w:t xml:space="preserve">any income </w:t>
      </w:r>
      <w:r>
        <w:rPr>
          <w:rFonts w:ascii="Times New Roman;sans-serif" w:hAnsi="Times New Roman;sans-serif"/>
          <w:b w:val="false"/>
          <w:color w:val="131313"/>
          <w:sz w:val="18"/>
        </w:rPr>
        <w:t xml:space="preserve">tax, National Insurance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 xml:space="preserve">Social Security </w:t>
      </w:r>
      <w:r>
        <w:rPr>
          <w:rFonts w:ascii="Times New Roman;sans-serif" w:hAnsi="Times New Roman;sans-serif"/>
          <w:b w:val="false"/>
          <w:color w:val="262626"/>
          <w:sz w:val="18"/>
        </w:rPr>
        <w:t xml:space="preserve">contributions </w:t>
      </w:r>
      <w:r>
        <w:rPr>
          <w:rFonts w:ascii="Times New Roman;sans-serif" w:hAnsi="Times New Roman;sans-serif"/>
          <w:b w:val="false"/>
          <w:color w:val="131313"/>
          <w:sz w:val="18"/>
        </w:rPr>
        <w:t>and any other liability</w:t>
      </w:r>
      <w:r>
        <w:rPr>
          <w:rFonts w:ascii="Times New Roman;sans-serif" w:hAnsi="Times New Roman;sans-serif"/>
          <w:b w:val="false"/>
          <w:color w:val="4F4F4F"/>
          <w:sz w:val="18"/>
        </w:rPr>
        <w:t xml:space="preserve">, </w:t>
      </w:r>
      <w:r>
        <w:rPr>
          <w:rFonts w:ascii="Times New Roman;sans-serif" w:hAnsi="Times New Roman;sans-serif"/>
          <w:b w:val="false"/>
          <w:color w:val="262626"/>
          <w:sz w:val="18"/>
        </w:rPr>
        <w:t xml:space="preserve">deduction, </w:t>
      </w:r>
      <w:r>
        <w:rPr>
          <w:rFonts w:ascii="Times New Roman;sans-serif" w:hAnsi="Times New Roman;sans-serif"/>
          <w:b w:val="false"/>
          <w:color w:val="131313"/>
          <w:sz w:val="18"/>
        </w:rPr>
        <w:t xml:space="preserve">contribution, </w:t>
      </w:r>
      <w:r>
        <w:rPr>
          <w:rFonts w:ascii="Times New Roman;sans-serif" w:hAnsi="Times New Roman;sans-serif"/>
          <w:b w:val="false"/>
          <w:color w:val="262626"/>
          <w:sz w:val="18"/>
        </w:rPr>
        <w:t xml:space="preserve">assessment </w:t>
      </w:r>
      <w:r>
        <w:rPr>
          <w:rFonts w:ascii="Times New Roman;sans-serif" w:hAnsi="Times New Roman;sans-serif"/>
          <w:b w:val="false"/>
          <w:color w:val="131313"/>
          <w:sz w:val="18"/>
        </w:rPr>
        <w:t xml:space="preserve">or claim arising </w:t>
      </w:r>
      <w:r>
        <w:rPr>
          <w:rFonts w:ascii="Times New Roman;sans-serif" w:hAnsi="Times New Roman;sans-serif"/>
          <w:b w:val="false"/>
          <w:color w:val="262626"/>
          <w:sz w:val="18"/>
        </w:rPr>
        <w:t xml:space="preserve">from or </w:t>
      </w:r>
      <w:r>
        <w:rPr>
          <w:rFonts w:ascii="Times New Roman;sans-serif" w:hAnsi="Times New Roman;sans-serif"/>
          <w:b w:val="false"/>
          <w:color w:val="131313"/>
          <w:sz w:val="18"/>
        </w:rPr>
        <w:t xml:space="preserve">made in connection </w:t>
      </w:r>
      <w:r>
        <w:rPr>
          <w:rFonts w:ascii="Times New Roman;sans-serif" w:hAnsi="Times New Roman;sans-serif"/>
          <w:b w:val="false"/>
          <w:color w:val="262626"/>
          <w:sz w:val="18"/>
        </w:rPr>
        <w:t xml:space="preserve">with either </w:t>
      </w:r>
      <w:r>
        <w:rPr>
          <w:rFonts w:ascii="Times New Roman;sans-serif" w:hAnsi="Times New Roman;sans-serif"/>
          <w:b w:val="false"/>
          <w:color w:val="131313"/>
          <w:sz w:val="18"/>
        </w:rPr>
        <w:t xml:space="preserve">the performance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the </w:t>
      </w:r>
      <w:r>
        <w:rPr>
          <w:rFonts w:ascii="Times New Roman;sans-serif" w:hAnsi="Times New Roman;sans-serif"/>
          <w:b w:val="false"/>
          <w:color w:val="262626"/>
          <w:sz w:val="18"/>
        </w:rPr>
        <w:t xml:space="preserve">Services </w:t>
      </w:r>
      <w:r>
        <w:rPr>
          <w:rFonts w:ascii="Times New Roman;sans-serif" w:hAnsi="Times New Roman;sans-serif"/>
          <w:b w:val="false"/>
          <w:color w:val="131313"/>
          <w:sz w:val="18"/>
        </w:rPr>
        <w:t xml:space="preserve">or any payment or benefit received by </w:t>
      </w:r>
      <w:r>
        <w:rPr>
          <w:rFonts w:ascii="Times New Roman;sans-serif" w:hAnsi="Times New Roman;sans-serif"/>
          <w:b w:val="false"/>
          <w:color w:val="262626"/>
          <w:sz w:val="18"/>
        </w:rPr>
        <w:t xml:space="preserve">the </w:t>
      </w:r>
      <w:r>
        <w:rPr>
          <w:rFonts w:ascii="Times New Roman;sans-serif" w:hAnsi="Times New Roman;sans-serif"/>
          <w:b w:val="false"/>
          <w:color w:val="131313"/>
          <w:sz w:val="18"/>
        </w:rPr>
        <w:t xml:space="preserve">Consultant in respect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the </w:t>
      </w:r>
      <w:r>
        <w:rPr>
          <w:rFonts w:ascii="Times New Roman;sans-serif" w:hAnsi="Times New Roman;sans-serif"/>
          <w:b w:val="false"/>
          <w:color w:val="262626"/>
          <w:sz w:val="18"/>
        </w:rPr>
        <w:t xml:space="preserve">Services, where such </w:t>
      </w:r>
      <w:r>
        <w:rPr>
          <w:rFonts w:ascii="Times New Roman;sans-serif" w:hAnsi="Times New Roman;sans-serif"/>
          <w:b w:val="false"/>
          <w:color w:val="131313"/>
          <w:sz w:val="18"/>
        </w:rPr>
        <w:t>recovery is not prohibited by law</w:t>
      </w:r>
      <w:r>
        <w:rPr>
          <w:rFonts w:ascii="Times New Roman;sans-serif" w:hAnsi="Times New Roman;sans-serif"/>
          <w:b w:val="false"/>
          <w:color w:val="3B3B3B"/>
          <w:sz w:val="18"/>
        </w:rPr>
        <w:t xml:space="preserve">;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 xml:space="preserve">(b) </w:t>
      </w:r>
      <w:r>
        <w:rPr>
          <w:rFonts w:ascii="Times New Roman;sans-serif" w:hAnsi="Times New Roman;sans-serif"/>
          <w:b w:val="false"/>
          <w:color w:val="262626"/>
          <w:sz w:val="18"/>
        </w:rPr>
        <w:t xml:space="preserve">any </w:t>
      </w:r>
      <w:r>
        <w:rPr>
          <w:rFonts w:ascii="Times New Roman;sans-serif" w:hAnsi="Times New Roman;sans-serif"/>
          <w:b w:val="false"/>
          <w:color w:val="131313"/>
          <w:sz w:val="18"/>
        </w:rPr>
        <w:t xml:space="preserve">liability </w:t>
      </w:r>
      <w:r>
        <w:rPr>
          <w:rFonts w:ascii="Times New Roman;sans-serif" w:hAnsi="Times New Roman;sans-serif"/>
          <w:b w:val="false"/>
          <w:color w:val="262626"/>
          <w:sz w:val="18"/>
        </w:rPr>
        <w:t xml:space="preserve">for any employment-related </w:t>
      </w:r>
      <w:r>
        <w:rPr>
          <w:rFonts w:ascii="Times New Roman;sans-serif" w:hAnsi="Times New Roman;sans-serif"/>
          <w:b w:val="false"/>
          <w:color w:val="131313"/>
          <w:sz w:val="18"/>
        </w:rPr>
        <w:t xml:space="preserve">claim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 xml:space="preserve">any claim based on </w:t>
      </w:r>
      <w:r>
        <w:rPr>
          <w:rFonts w:ascii="Times New Roman;sans-serif" w:hAnsi="Times New Roman;sans-serif"/>
          <w:b w:val="false"/>
          <w:color w:val="262626"/>
          <w:sz w:val="18"/>
        </w:rPr>
        <w:t xml:space="preserve">worker status </w:t>
      </w:r>
      <w:r>
        <w:rPr>
          <w:rFonts w:ascii="Times New Roman;sans-serif" w:hAnsi="Times New Roman;sans-serif"/>
          <w:b w:val="false"/>
          <w:color w:val="131313"/>
          <w:sz w:val="18"/>
        </w:rPr>
        <w:t xml:space="preserve">(including reasonable </w:t>
      </w:r>
      <w:r>
        <w:rPr>
          <w:rFonts w:ascii="Times New Roman;sans-serif" w:hAnsi="Times New Roman;sans-serif"/>
          <w:b w:val="false"/>
          <w:color w:val="262626"/>
          <w:sz w:val="18"/>
        </w:rPr>
        <w:t xml:space="preserve">costs </w:t>
      </w:r>
      <w:r>
        <w:rPr>
          <w:rFonts w:ascii="Times New Roman;sans-serif" w:hAnsi="Times New Roman;sans-serif"/>
          <w:b w:val="false"/>
          <w:color w:val="131313"/>
          <w:sz w:val="18"/>
        </w:rPr>
        <w:t xml:space="preserve">and </w:t>
      </w:r>
      <w:r>
        <w:rPr>
          <w:rFonts w:ascii="Times New Roman;sans-serif" w:hAnsi="Times New Roman;sans-serif"/>
          <w:b w:val="false"/>
          <w:color w:val="262626"/>
          <w:sz w:val="18"/>
        </w:rPr>
        <w:t xml:space="preserve">expenses) </w:t>
      </w:r>
      <w:r>
        <w:rPr>
          <w:rFonts w:ascii="Times New Roman;sans-serif" w:hAnsi="Times New Roman;sans-serif"/>
          <w:b w:val="false"/>
          <w:color w:val="131313"/>
          <w:sz w:val="18"/>
        </w:rPr>
        <w:t xml:space="preserve">brought by Consultant against the Company arising out </w:t>
      </w:r>
      <w:r>
        <w:rPr>
          <w:rFonts w:ascii="Times New Roman;sans-serif" w:hAnsi="Times New Roman;sans-serif"/>
          <w:b w:val="false"/>
          <w:color w:val="262626"/>
          <w:sz w:val="18"/>
        </w:rPr>
        <w:t xml:space="preserve">of or </w:t>
      </w:r>
      <w:r>
        <w:rPr>
          <w:rFonts w:ascii="Times New Roman;sans-serif" w:hAnsi="Times New Roman;sans-serif"/>
          <w:b w:val="false"/>
          <w:color w:val="131313"/>
          <w:sz w:val="18"/>
        </w:rPr>
        <w:t xml:space="preserve">in </w:t>
      </w:r>
      <w:r>
        <w:rPr>
          <w:rFonts w:ascii="Times New Roman;sans-serif" w:hAnsi="Times New Roman;sans-serif"/>
          <w:b w:val="false"/>
          <w:color w:val="262626"/>
          <w:sz w:val="18"/>
        </w:rPr>
        <w:t xml:space="preserve">connection </w:t>
      </w:r>
      <w:r>
        <w:rPr>
          <w:rFonts w:ascii="Times New Roman;sans-serif" w:hAnsi="Times New Roman;sans-serif"/>
          <w:b w:val="false"/>
          <w:color w:val="131313"/>
          <w:sz w:val="18"/>
        </w:rPr>
        <w:t xml:space="preserve">with the </w:t>
      </w:r>
      <w:r>
        <w:rPr>
          <w:rFonts w:ascii="Times New Roman;sans-serif" w:hAnsi="Times New Roman;sans-serif"/>
          <w:b w:val="false"/>
          <w:color w:val="262626"/>
          <w:sz w:val="18"/>
        </w:rPr>
        <w:t xml:space="preserve">provision of </w:t>
      </w:r>
      <w:r>
        <w:rPr>
          <w:rFonts w:ascii="Times New Roman;sans-serif" w:hAnsi="Times New Roman;sans-serif"/>
          <w:b w:val="false"/>
          <w:color w:val="131313"/>
          <w:sz w:val="18"/>
        </w:rPr>
        <w:t>the Services, e</w:t>
      </w:r>
      <w:r>
        <w:rPr>
          <w:rFonts w:ascii="Times New Roman;sans-serif" w:hAnsi="Times New Roman;sans-serif"/>
          <w:b w:val="false"/>
          <w:color w:val="3B3B3B"/>
          <w:sz w:val="18"/>
        </w:rPr>
        <w:t>xcep</w:t>
      </w:r>
      <w:r>
        <w:rPr>
          <w:rFonts w:ascii="Times New Roman;sans-serif" w:hAnsi="Times New Roman;sans-serif"/>
          <w:b w:val="false"/>
          <w:color w:val="131313"/>
          <w:sz w:val="18"/>
        </w:rPr>
        <w:t xml:space="preserve">t </w:t>
      </w:r>
      <w:r>
        <w:rPr>
          <w:rFonts w:ascii="Times New Roman;sans-serif" w:hAnsi="Times New Roman;sans-serif"/>
          <w:b w:val="false"/>
          <w:color w:val="262626"/>
          <w:sz w:val="18"/>
        </w:rPr>
        <w:t xml:space="preserve">where such </w:t>
      </w:r>
      <w:r>
        <w:rPr>
          <w:rFonts w:ascii="Times New Roman;sans-serif" w:hAnsi="Times New Roman;sans-serif"/>
          <w:b w:val="false"/>
          <w:color w:val="131313"/>
          <w:sz w:val="18"/>
        </w:rPr>
        <w:t xml:space="preserve">claim is as </w:t>
      </w:r>
      <w:r>
        <w:rPr>
          <w:rFonts w:ascii="Times New Roman;sans-serif" w:hAnsi="Times New Roman;sans-serif"/>
          <w:b w:val="false"/>
          <w:color w:val="262626"/>
          <w:sz w:val="18"/>
        </w:rPr>
        <w:t xml:space="preserve">a result of </w:t>
      </w:r>
      <w:r>
        <w:rPr>
          <w:rFonts w:ascii="Times New Roman;sans-serif" w:hAnsi="Times New Roman;sans-serif"/>
          <w:b w:val="false"/>
          <w:color w:val="131313"/>
          <w:sz w:val="18"/>
        </w:rPr>
        <w:t xml:space="preserve">any act or omission of </w:t>
      </w:r>
      <w:r>
        <w:rPr>
          <w:rFonts w:ascii="Times New Roman;sans-serif" w:hAnsi="Times New Roman;sans-serif"/>
          <w:b w:val="false"/>
          <w:color w:val="262626"/>
          <w:sz w:val="18"/>
        </w:rPr>
        <w:t>the Company.</w:t>
      </w:r>
    </w:p>
    <w:p>
      <w:pPr>
        <w:pStyle w:val="TextBody"/>
        <w:spacing w:lineRule="auto" w:line="288" w:before="0" w:after="180"/>
        <w:rPr/>
      </w:pPr>
      <w:r>
        <w:rPr>
          <w:rFonts w:ascii="Times New Roman;sans-serif" w:hAnsi="Times New Roman;sans-serif"/>
          <w:b/>
          <w:color w:val="131313"/>
          <w:sz w:val="18"/>
        </w:rPr>
        <w:t>11.    N</w:t>
      </w:r>
      <w:r>
        <w:rPr>
          <w:rFonts w:ascii="Times New Roman;sans-serif" w:hAnsi="Times New Roman;sans-serif"/>
          <w:b/>
          <w:color w:val="131313"/>
          <w:sz w:val="14"/>
        </w:rPr>
        <w:t>OTICES</w:t>
      </w:r>
    </w:p>
    <w:p>
      <w:pPr>
        <w:pStyle w:val="TextBody"/>
        <w:spacing w:lineRule="auto" w:line="288" w:before="0" w:after="180"/>
        <w:ind w:left="0" w:right="0" w:firstLine="720"/>
        <w:jc w:val="both"/>
        <w:rPr/>
      </w:pPr>
      <w:r>
        <w:rPr>
          <w:rFonts w:ascii="Times New Roman;sans-serif" w:hAnsi="Times New Roman;sans-serif"/>
          <w:b w:val="false"/>
          <w:color w:val="131313"/>
          <w:sz w:val="18"/>
        </w:rPr>
        <w:t>11.1    </w:t>
      </w:r>
      <w:r>
        <w:rPr>
          <w:rFonts w:ascii="Times New Roman;sans-serif" w:hAnsi="Times New Roman;sans-serif"/>
          <w:b w:val="false"/>
          <w:color w:val="262626"/>
          <w:sz w:val="18"/>
        </w:rPr>
        <w:t xml:space="preserve">Any notice given </w:t>
      </w:r>
      <w:r>
        <w:rPr>
          <w:rFonts w:ascii="Times New Roman;sans-serif" w:hAnsi="Times New Roman;sans-serif"/>
          <w:b w:val="false"/>
          <w:color w:val="131313"/>
          <w:sz w:val="18"/>
        </w:rPr>
        <w:t xml:space="preserve">under 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shall be in writing </w:t>
      </w:r>
      <w:r>
        <w:rPr>
          <w:rFonts w:ascii="Times New Roman;sans-serif" w:hAnsi="Times New Roman;sans-serif"/>
          <w:b w:val="false"/>
          <w:color w:val="262626"/>
          <w:sz w:val="18"/>
        </w:rPr>
        <w:t xml:space="preserve">and signed </w:t>
      </w:r>
      <w:r>
        <w:rPr>
          <w:rFonts w:ascii="Times New Roman;sans-serif" w:hAnsi="Times New Roman;sans-serif"/>
          <w:b w:val="false"/>
          <w:color w:val="131313"/>
          <w:sz w:val="18"/>
        </w:rPr>
        <w:t xml:space="preserve">by or on behalf of the party </w:t>
      </w:r>
      <w:r>
        <w:rPr>
          <w:rFonts w:ascii="Times New Roman;sans-serif" w:hAnsi="Times New Roman;sans-serif"/>
          <w:b w:val="false"/>
          <w:color w:val="262626"/>
          <w:sz w:val="18"/>
        </w:rPr>
        <w:t xml:space="preserve">giving </w:t>
      </w:r>
      <w:r>
        <w:rPr>
          <w:rFonts w:ascii="Times New Roman;sans-serif" w:hAnsi="Times New Roman;sans-serif"/>
          <w:b w:val="false"/>
          <w:color w:val="131313"/>
          <w:sz w:val="18"/>
        </w:rPr>
        <w:t xml:space="preserve">it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 xml:space="preserve">shall be </w:t>
      </w:r>
      <w:r>
        <w:rPr>
          <w:rFonts w:ascii="Times New Roman;sans-serif" w:hAnsi="Times New Roman;sans-serif"/>
          <w:b w:val="false"/>
          <w:color w:val="262626"/>
          <w:sz w:val="18"/>
        </w:rPr>
        <w:t xml:space="preserve">served </w:t>
      </w:r>
      <w:r>
        <w:rPr>
          <w:rFonts w:ascii="Times New Roman;sans-serif" w:hAnsi="Times New Roman;sans-serif"/>
          <w:b w:val="false"/>
          <w:color w:val="131313"/>
          <w:sz w:val="18"/>
        </w:rPr>
        <w:t xml:space="preserve">by </w:t>
      </w:r>
      <w:r>
        <w:rPr>
          <w:rFonts w:ascii="Times New Roman;sans-serif" w:hAnsi="Times New Roman;sans-serif"/>
          <w:b w:val="false"/>
          <w:color w:val="262626"/>
          <w:sz w:val="18"/>
        </w:rPr>
        <w:t xml:space="preserve">delivering </w:t>
      </w:r>
      <w:r>
        <w:rPr>
          <w:rFonts w:ascii="Times New Roman;sans-serif" w:hAnsi="Times New Roman;sans-serif"/>
          <w:b w:val="false"/>
          <w:color w:val="131313"/>
          <w:sz w:val="18"/>
        </w:rPr>
        <w:t xml:space="preserve">it personally, </w:t>
      </w:r>
      <w:r>
        <w:rPr>
          <w:rFonts w:ascii="Times New Roman;sans-serif" w:hAnsi="Times New Roman;sans-serif"/>
          <w:b w:val="false"/>
          <w:color w:val="262626"/>
          <w:sz w:val="18"/>
        </w:rPr>
        <w:t xml:space="preserve">or </w:t>
      </w:r>
      <w:r>
        <w:rPr>
          <w:rFonts w:ascii="Times New Roman;sans-serif" w:hAnsi="Times New Roman;sans-serif"/>
          <w:b w:val="false"/>
          <w:color w:val="3B3B3B"/>
          <w:sz w:val="18"/>
        </w:rPr>
        <w:t>s</w:t>
      </w:r>
      <w:r>
        <w:rPr>
          <w:rFonts w:ascii="Times New Roman;sans-serif" w:hAnsi="Times New Roman;sans-serif"/>
          <w:b w:val="false"/>
          <w:color w:val="131313"/>
          <w:sz w:val="18"/>
        </w:rPr>
        <w:t xml:space="preserve">ending it by pre-paid recorded delivery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registered po</w:t>
      </w:r>
      <w:r>
        <w:rPr>
          <w:rFonts w:ascii="Times New Roman;sans-serif" w:hAnsi="Times New Roman;sans-serif"/>
          <w:b w:val="false"/>
          <w:color w:val="3B3B3B"/>
          <w:sz w:val="18"/>
        </w:rPr>
        <w:t>s</w:t>
      </w:r>
      <w:r>
        <w:rPr>
          <w:rFonts w:ascii="Times New Roman;sans-serif" w:hAnsi="Times New Roman;sans-serif"/>
          <w:b w:val="false"/>
          <w:color w:val="131313"/>
          <w:sz w:val="18"/>
        </w:rPr>
        <w:t xml:space="preserve">t to the relevant party at its registered office for the time being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 xml:space="preserve">by sending it by fax to </w:t>
      </w:r>
      <w:r>
        <w:rPr>
          <w:rFonts w:ascii="Times New Roman;sans-serif" w:hAnsi="Times New Roman;sans-serif"/>
          <w:b w:val="false"/>
          <w:color w:val="262626"/>
          <w:sz w:val="18"/>
        </w:rPr>
        <w:t xml:space="preserve">the fax </w:t>
      </w:r>
      <w:r>
        <w:rPr>
          <w:rFonts w:ascii="Times New Roman;sans-serif" w:hAnsi="Times New Roman;sans-serif"/>
          <w:b w:val="false"/>
          <w:color w:val="131313"/>
          <w:sz w:val="18"/>
        </w:rPr>
        <w:t>number notified by the relevant party to the other part</w:t>
      </w:r>
      <w:r>
        <w:rPr>
          <w:rFonts w:ascii="Times New Roman;sans-serif" w:hAnsi="Times New Roman;sans-serif"/>
          <w:b w:val="false"/>
          <w:color w:val="3B3B3B"/>
          <w:sz w:val="18"/>
        </w:rPr>
        <w:t xml:space="preserve">y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 xml:space="preserve">by </w:t>
      </w:r>
      <w:r>
        <w:rPr>
          <w:rFonts w:ascii="Times New Roman;sans-serif" w:hAnsi="Times New Roman;sans-serif"/>
          <w:b w:val="false"/>
          <w:color w:val="262626"/>
          <w:sz w:val="18"/>
        </w:rPr>
        <w:t xml:space="preserve">sending it </w:t>
      </w:r>
      <w:r>
        <w:rPr>
          <w:rFonts w:ascii="Times New Roman;sans-serif" w:hAnsi="Times New Roman;sans-serif"/>
          <w:b w:val="false"/>
          <w:color w:val="131313"/>
          <w:sz w:val="18"/>
        </w:rPr>
        <w:t xml:space="preserve">by electronic mail to the email address notified by the relevant party to </w:t>
      </w:r>
      <w:r>
        <w:rPr>
          <w:rFonts w:ascii="Times New Roman;sans-serif" w:hAnsi="Times New Roman;sans-serif"/>
          <w:b w:val="false"/>
          <w:color w:val="262626"/>
          <w:sz w:val="18"/>
        </w:rPr>
        <w:t xml:space="preserve">the other </w:t>
      </w:r>
      <w:r>
        <w:rPr>
          <w:rFonts w:ascii="Times New Roman;sans-serif" w:hAnsi="Times New Roman;sans-serif"/>
          <w:b w:val="false"/>
          <w:color w:val="131313"/>
          <w:sz w:val="18"/>
        </w:rPr>
        <w:t xml:space="preserve">party. Any such notice shall be deemed to have been </w:t>
      </w:r>
      <w:r>
        <w:rPr>
          <w:rFonts w:ascii="Times New Roman;sans-serif" w:hAnsi="Times New Roman;sans-serif"/>
          <w:b w:val="false"/>
          <w:color w:val="262626"/>
          <w:sz w:val="18"/>
        </w:rPr>
        <w:t xml:space="preserve">received: (a) </w:t>
      </w:r>
      <w:r>
        <w:rPr>
          <w:rFonts w:ascii="Times New Roman;sans-serif" w:hAnsi="Times New Roman;sans-serif"/>
          <w:b w:val="false"/>
          <w:color w:val="131313"/>
          <w:sz w:val="18"/>
        </w:rPr>
        <w:t xml:space="preserve">if delivered personally, </w:t>
      </w:r>
      <w:r>
        <w:rPr>
          <w:rFonts w:ascii="Times New Roman;sans-serif" w:hAnsi="Times New Roman;sans-serif"/>
          <w:b w:val="false"/>
          <w:color w:val="262626"/>
          <w:sz w:val="18"/>
        </w:rPr>
        <w:t xml:space="preserve">at </w:t>
      </w:r>
      <w:r>
        <w:rPr>
          <w:rFonts w:ascii="Times New Roman;sans-serif" w:hAnsi="Times New Roman;sans-serif"/>
          <w:b w:val="false"/>
          <w:color w:val="131313"/>
          <w:sz w:val="18"/>
        </w:rPr>
        <w:t xml:space="preserve">the time of delivery; </w:t>
      </w:r>
      <w:r>
        <w:rPr>
          <w:rFonts w:ascii="Times New Roman;sans-serif" w:hAnsi="Times New Roman;sans-serif"/>
          <w:b w:val="false"/>
          <w:color w:val="262626"/>
          <w:sz w:val="18"/>
        </w:rPr>
        <w:t xml:space="preserve">(b) </w:t>
      </w:r>
      <w:r>
        <w:rPr>
          <w:rFonts w:ascii="Times New Roman;sans-serif" w:hAnsi="Times New Roman;sans-serif"/>
          <w:b w:val="false"/>
          <w:color w:val="131313"/>
          <w:sz w:val="18"/>
        </w:rPr>
        <w:t>in the case of pre-paid recorded delivery or registered post</w:t>
      </w:r>
      <w:r>
        <w:rPr>
          <w:rFonts w:ascii="Times New Roman;sans-serif" w:hAnsi="Times New Roman;sans-serif"/>
          <w:b w:val="false"/>
          <w:color w:val="3B3B3B"/>
          <w:sz w:val="18"/>
        </w:rPr>
        <w:t xml:space="preserve">, </w:t>
      </w:r>
      <w:r>
        <w:rPr>
          <w:rFonts w:ascii="Times New Roman;sans-serif" w:hAnsi="Times New Roman;sans-serif"/>
          <w:b w:val="false"/>
          <w:color w:val="131313"/>
          <w:sz w:val="18"/>
        </w:rPr>
        <w:t>48 hours from the date of posting; (c) in the case of fax or electronic mail, at the time of transmission.</w:t>
      </w:r>
    </w:p>
    <w:p>
      <w:pPr>
        <w:pStyle w:val="TextBody"/>
        <w:spacing w:lineRule="auto" w:line="288" w:before="0" w:after="180"/>
        <w:ind w:left="0" w:right="0" w:firstLine="720"/>
        <w:jc w:val="both"/>
        <w:rPr/>
      </w:pPr>
      <w:r>
        <w:rPr>
          <w:rFonts w:ascii="Times New Roman;sans-serif" w:hAnsi="Times New Roman;sans-serif"/>
          <w:b w:val="false"/>
          <w:color w:val="131313"/>
          <w:sz w:val="18"/>
        </w:rPr>
        <w:t>11.2    </w:t>
      </w:r>
      <w:r>
        <w:rPr>
          <w:rFonts w:ascii="Times New Roman;sans-serif" w:hAnsi="Times New Roman;sans-serif"/>
          <w:b w:val="false"/>
          <w:color w:val="262626"/>
          <w:sz w:val="18"/>
        </w:rPr>
        <w:t xml:space="preserve">In </w:t>
      </w:r>
      <w:r>
        <w:rPr>
          <w:rFonts w:ascii="Times New Roman;sans-serif" w:hAnsi="Times New Roman;sans-serif"/>
          <w:b w:val="false"/>
          <w:color w:val="131313"/>
          <w:sz w:val="18"/>
        </w:rPr>
        <w:t xml:space="preserve">proving </w:t>
      </w:r>
      <w:r>
        <w:rPr>
          <w:rFonts w:ascii="Times New Roman;sans-serif" w:hAnsi="Times New Roman;sans-serif"/>
          <w:b w:val="false"/>
          <w:color w:val="262626"/>
          <w:sz w:val="18"/>
        </w:rPr>
        <w:t xml:space="preserve">such </w:t>
      </w:r>
      <w:r>
        <w:rPr>
          <w:rFonts w:ascii="Times New Roman;sans-serif" w:hAnsi="Times New Roman;sans-serif"/>
          <w:b w:val="false"/>
          <w:color w:val="131313"/>
          <w:sz w:val="18"/>
        </w:rPr>
        <w:t xml:space="preserve">service it shall be </w:t>
      </w:r>
      <w:r>
        <w:rPr>
          <w:rFonts w:ascii="Times New Roman;sans-serif" w:hAnsi="Times New Roman;sans-serif"/>
          <w:b w:val="false"/>
          <w:color w:val="262626"/>
          <w:sz w:val="18"/>
        </w:rPr>
        <w:t xml:space="preserve">sufficient </w:t>
      </w:r>
      <w:r>
        <w:rPr>
          <w:rFonts w:ascii="Times New Roman;sans-serif" w:hAnsi="Times New Roman;sans-serif"/>
          <w:b w:val="false"/>
          <w:color w:val="131313"/>
          <w:sz w:val="18"/>
        </w:rPr>
        <w:t xml:space="preserve">to prove that </w:t>
      </w:r>
      <w:r>
        <w:rPr>
          <w:rFonts w:ascii="Times New Roman;sans-serif" w:hAnsi="Times New Roman;sans-serif"/>
          <w:b w:val="false"/>
          <w:color w:val="262626"/>
          <w:sz w:val="18"/>
        </w:rPr>
        <w:t xml:space="preserve">the </w:t>
      </w:r>
      <w:r>
        <w:rPr>
          <w:rFonts w:ascii="Times New Roman;sans-serif" w:hAnsi="Times New Roman;sans-serif"/>
          <w:b w:val="false"/>
          <w:color w:val="131313"/>
          <w:sz w:val="18"/>
        </w:rPr>
        <w:t xml:space="preserve">envelope containing such notice </w:t>
      </w:r>
      <w:r>
        <w:rPr>
          <w:rFonts w:ascii="Times New Roman;sans-serif" w:hAnsi="Times New Roman;sans-serif"/>
          <w:b w:val="false"/>
          <w:color w:val="262626"/>
          <w:sz w:val="18"/>
        </w:rPr>
        <w:t xml:space="preserve">was </w:t>
      </w:r>
      <w:r>
        <w:rPr>
          <w:rFonts w:ascii="Times New Roman;sans-serif" w:hAnsi="Times New Roman;sans-serif"/>
          <w:b w:val="false"/>
          <w:color w:val="131313"/>
          <w:sz w:val="18"/>
        </w:rPr>
        <w:t xml:space="preserve">addressed to </w:t>
      </w:r>
      <w:r>
        <w:rPr>
          <w:rFonts w:ascii="Times New Roman;sans-serif" w:hAnsi="Times New Roman;sans-serif"/>
          <w:b w:val="false"/>
          <w:color w:val="262626"/>
          <w:sz w:val="18"/>
        </w:rPr>
        <w:t xml:space="preserve">the address </w:t>
      </w:r>
      <w:r>
        <w:rPr>
          <w:rFonts w:ascii="Times New Roman;sans-serif" w:hAnsi="Times New Roman;sans-serif"/>
          <w:b w:val="false"/>
          <w:color w:val="131313"/>
          <w:sz w:val="18"/>
        </w:rPr>
        <w:t xml:space="preserve">of the relevant party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 xml:space="preserve">delivered </w:t>
      </w:r>
      <w:r>
        <w:rPr>
          <w:rFonts w:ascii="Times New Roman;sans-serif" w:hAnsi="Times New Roman;sans-serif"/>
          <w:b w:val="false"/>
          <w:color w:val="262626"/>
          <w:sz w:val="18"/>
        </w:rPr>
        <w:t xml:space="preserve">either </w:t>
      </w:r>
      <w:r>
        <w:rPr>
          <w:rFonts w:ascii="Times New Roman;sans-serif" w:hAnsi="Times New Roman;sans-serif"/>
          <w:b w:val="false"/>
          <w:color w:val="131313"/>
          <w:sz w:val="18"/>
        </w:rPr>
        <w:t xml:space="preserve">to that address or </w:t>
      </w:r>
      <w:r>
        <w:rPr>
          <w:rFonts w:ascii="Times New Roman;sans-serif" w:hAnsi="Times New Roman;sans-serif"/>
          <w:b w:val="false"/>
          <w:color w:val="262626"/>
          <w:sz w:val="18"/>
        </w:rPr>
        <w:t xml:space="preserve">into </w:t>
      </w:r>
      <w:r>
        <w:rPr>
          <w:rFonts w:ascii="Times New Roman;sans-serif" w:hAnsi="Times New Roman;sans-serif"/>
          <w:b w:val="false"/>
          <w:color w:val="131313"/>
          <w:sz w:val="18"/>
        </w:rPr>
        <w:t xml:space="preserve">the custody of the postal </w:t>
      </w:r>
      <w:r>
        <w:rPr>
          <w:rFonts w:ascii="Times New Roman;sans-serif" w:hAnsi="Times New Roman;sans-serif"/>
          <w:b w:val="false"/>
          <w:color w:val="262626"/>
          <w:sz w:val="18"/>
        </w:rPr>
        <w:t xml:space="preserve">authorities </w:t>
      </w:r>
      <w:r>
        <w:rPr>
          <w:rFonts w:ascii="Times New Roman;sans-serif" w:hAnsi="Times New Roman;sans-serif"/>
          <w:b w:val="false"/>
          <w:color w:val="131313"/>
          <w:sz w:val="18"/>
        </w:rPr>
        <w:t xml:space="preserve">as </w:t>
      </w:r>
      <w:r>
        <w:rPr>
          <w:rFonts w:ascii="Times New Roman;sans-serif" w:hAnsi="Times New Roman;sans-serif"/>
          <w:b w:val="false"/>
          <w:color w:val="262626"/>
          <w:sz w:val="18"/>
        </w:rPr>
        <w:t xml:space="preserve">a </w:t>
      </w:r>
      <w:r>
        <w:rPr>
          <w:rFonts w:ascii="Times New Roman;sans-serif" w:hAnsi="Times New Roman;sans-serif"/>
          <w:b w:val="false"/>
          <w:color w:val="131313"/>
          <w:sz w:val="18"/>
        </w:rPr>
        <w:t xml:space="preserve">pre-paid recorded delivery or </w:t>
      </w:r>
      <w:r>
        <w:rPr>
          <w:rFonts w:ascii="Times New Roman;sans-serif" w:hAnsi="Times New Roman;sans-serif"/>
          <w:b w:val="false"/>
          <w:color w:val="262626"/>
          <w:sz w:val="18"/>
        </w:rPr>
        <w:t xml:space="preserve">registered </w:t>
      </w:r>
      <w:r>
        <w:rPr>
          <w:rFonts w:ascii="Times New Roman;sans-serif" w:hAnsi="Times New Roman;sans-serif"/>
          <w:b w:val="false"/>
          <w:color w:val="131313"/>
          <w:sz w:val="18"/>
        </w:rPr>
        <w:t xml:space="preserve">post or that </w:t>
      </w:r>
      <w:r>
        <w:rPr>
          <w:rFonts w:ascii="Times New Roman;sans-serif" w:hAnsi="Times New Roman;sans-serif"/>
          <w:b w:val="false"/>
          <w:color w:val="262626"/>
          <w:sz w:val="18"/>
        </w:rPr>
        <w:t xml:space="preserve">the </w:t>
      </w:r>
      <w:r>
        <w:rPr>
          <w:rFonts w:ascii="Times New Roman;sans-serif" w:hAnsi="Times New Roman;sans-serif"/>
          <w:b w:val="false"/>
          <w:color w:val="131313"/>
          <w:sz w:val="18"/>
        </w:rPr>
        <w:t xml:space="preserve">notice </w:t>
      </w:r>
      <w:r>
        <w:rPr>
          <w:rFonts w:ascii="Times New Roman;sans-serif" w:hAnsi="Times New Roman;sans-serif"/>
          <w:b w:val="false"/>
          <w:color w:val="262626"/>
          <w:sz w:val="18"/>
        </w:rPr>
        <w:t xml:space="preserve">was </w:t>
      </w:r>
      <w:r>
        <w:rPr>
          <w:rFonts w:ascii="Times New Roman;sans-serif" w:hAnsi="Times New Roman;sans-serif"/>
          <w:b w:val="false"/>
          <w:color w:val="131313"/>
          <w:sz w:val="18"/>
        </w:rPr>
        <w:t xml:space="preserve">transmitted by fax to the </w:t>
      </w:r>
      <w:r>
        <w:rPr>
          <w:rFonts w:ascii="Times New Roman;sans-serif" w:hAnsi="Times New Roman;sans-serif"/>
          <w:b w:val="false"/>
          <w:color w:val="262626"/>
          <w:sz w:val="18"/>
        </w:rPr>
        <w:t xml:space="preserve">fax </w:t>
      </w:r>
      <w:r>
        <w:rPr>
          <w:rFonts w:ascii="Times New Roman;sans-serif" w:hAnsi="Times New Roman;sans-serif"/>
          <w:b w:val="false"/>
          <w:color w:val="131313"/>
          <w:sz w:val="18"/>
        </w:rPr>
        <w:t xml:space="preserve">number or by </w:t>
      </w:r>
      <w:r>
        <w:rPr>
          <w:rFonts w:ascii="Times New Roman;sans-serif" w:hAnsi="Times New Roman;sans-serif"/>
          <w:b w:val="false"/>
          <w:color w:val="262626"/>
          <w:sz w:val="18"/>
        </w:rPr>
        <w:t xml:space="preserve">electronic </w:t>
      </w:r>
      <w:r>
        <w:rPr>
          <w:rFonts w:ascii="Times New Roman;sans-serif" w:hAnsi="Times New Roman;sans-serif"/>
          <w:b w:val="false"/>
          <w:color w:val="131313"/>
          <w:sz w:val="18"/>
        </w:rPr>
        <w:t xml:space="preserve">mail </w:t>
      </w:r>
      <w:r>
        <w:rPr>
          <w:rFonts w:ascii="Times New Roman;sans-serif" w:hAnsi="Times New Roman;sans-serif"/>
          <w:b w:val="false"/>
          <w:color w:val="262626"/>
          <w:sz w:val="18"/>
        </w:rPr>
        <w:t xml:space="preserve">to </w:t>
      </w:r>
      <w:r>
        <w:rPr>
          <w:rFonts w:ascii="Times New Roman;sans-serif" w:hAnsi="Times New Roman;sans-serif"/>
          <w:b w:val="false"/>
          <w:color w:val="131313"/>
          <w:sz w:val="18"/>
        </w:rPr>
        <w:t xml:space="preserve">the email </w:t>
      </w:r>
      <w:r>
        <w:rPr>
          <w:rFonts w:ascii="Times New Roman;sans-serif" w:hAnsi="Times New Roman;sans-serif"/>
          <w:b w:val="false"/>
          <w:color w:val="262626"/>
          <w:sz w:val="18"/>
        </w:rPr>
        <w:t xml:space="preserve">address </w:t>
      </w:r>
      <w:r>
        <w:rPr>
          <w:rFonts w:ascii="Times New Roman;sans-serif" w:hAnsi="Times New Roman;sans-serif"/>
          <w:b w:val="false"/>
          <w:color w:val="131313"/>
          <w:sz w:val="18"/>
        </w:rPr>
        <w:t>of the relevant party.</w:t>
      </w:r>
    </w:p>
    <w:p>
      <w:pPr>
        <w:pStyle w:val="TextBody"/>
        <w:spacing w:lineRule="auto" w:line="288" w:before="0" w:after="180"/>
        <w:rPr/>
      </w:pPr>
      <w:r>
        <w:rPr>
          <w:rFonts w:ascii="Times New Roman;sans-serif" w:hAnsi="Times New Roman;sans-serif"/>
          <w:b/>
          <w:color w:val="131313"/>
          <w:sz w:val="18"/>
        </w:rPr>
        <w:t>12.    M</w:t>
      </w:r>
      <w:r>
        <w:rPr>
          <w:rFonts w:ascii="Times New Roman;sans-serif" w:hAnsi="Times New Roman;sans-serif"/>
          <w:b/>
          <w:color w:val="131313"/>
          <w:sz w:val="14"/>
        </w:rPr>
        <w:t>ISCELLANEOUS</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12.1    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constitutes the entire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between the parties hereto and supersedes </w:t>
      </w:r>
      <w:r>
        <w:rPr>
          <w:rFonts w:ascii="Times New Roman;sans-serif" w:hAnsi="Times New Roman;sans-serif"/>
          <w:b w:val="false"/>
          <w:color w:val="262626"/>
          <w:sz w:val="18"/>
        </w:rPr>
        <w:t xml:space="preserve">all </w:t>
      </w:r>
      <w:r>
        <w:rPr>
          <w:rFonts w:ascii="Times New Roman;sans-serif" w:hAnsi="Times New Roman;sans-serif"/>
          <w:b w:val="false"/>
          <w:color w:val="131313"/>
          <w:sz w:val="18"/>
        </w:rPr>
        <w:t xml:space="preserve">prior </w:t>
      </w:r>
      <w:r>
        <w:rPr>
          <w:rFonts w:ascii="Times New Roman;sans-serif" w:hAnsi="Times New Roman;sans-serif"/>
          <w:b w:val="false"/>
          <w:color w:val="262626"/>
          <w:sz w:val="18"/>
        </w:rPr>
        <w:t xml:space="preserve">agreements, </w:t>
      </w:r>
      <w:r>
        <w:rPr>
          <w:rFonts w:ascii="Times New Roman;sans-serif" w:hAnsi="Times New Roman;sans-serif"/>
          <w:b w:val="false"/>
          <w:color w:val="131313"/>
          <w:sz w:val="18"/>
        </w:rPr>
        <w:t>understandings and arrangements</w:t>
      </w:r>
      <w:r>
        <w:rPr>
          <w:rFonts w:ascii="Times New Roman;sans-serif" w:hAnsi="Times New Roman;sans-serif"/>
          <w:b w:val="false"/>
          <w:color w:val="3D3D3D"/>
          <w:sz w:val="18"/>
        </w:rPr>
        <w:t xml:space="preserve">, </w:t>
      </w:r>
      <w:r>
        <w:rPr>
          <w:rFonts w:ascii="Times New Roman;sans-serif" w:hAnsi="Times New Roman;sans-serif"/>
          <w:b w:val="false"/>
          <w:color w:val="262626"/>
          <w:sz w:val="18"/>
        </w:rPr>
        <w:t xml:space="preserve">oral </w:t>
      </w:r>
      <w:r>
        <w:rPr>
          <w:rFonts w:ascii="Times New Roman;sans-serif" w:hAnsi="Times New Roman;sans-serif"/>
          <w:b w:val="false"/>
          <w:color w:val="131313"/>
          <w:sz w:val="18"/>
        </w:rPr>
        <w:t xml:space="preserve">or written, between the parties hereto with respect to the </w:t>
      </w:r>
      <w:r>
        <w:rPr>
          <w:rFonts w:ascii="Times New Roman;sans-serif" w:hAnsi="Times New Roman;sans-serif"/>
          <w:b w:val="false"/>
          <w:color w:val="262626"/>
          <w:sz w:val="18"/>
        </w:rPr>
        <w:t xml:space="preserve">subject </w:t>
      </w:r>
      <w:r>
        <w:rPr>
          <w:rFonts w:ascii="Times New Roman;sans-serif" w:hAnsi="Times New Roman;sans-serif"/>
          <w:b w:val="false"/>
          <w:color w:val="131313"/>
          <w:sz w:val="18"/>
        </w:rPr>
        <w:t xml:space="preserve">matter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73025"/>
                <wp:effectExtent l="0" t="0" r="0" b="0"/>
                <wp:wrapNone/>
                <wp:docPr id="555" name="Frame548"/>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131313"/>
          <w:sz w:val="18"/>
        </w:rPr>
        <w:t>hereof. No agreement or representations, oral or otherwise, express or implied</w:t>
      </w:r>
      <w:r>
        <w:rPr>
          <w:rFonts w:ascii="Times New Roman;sans-serif" w:hAnsi="Times New Roman;sans-serif"/>
          <w:b w:val="false"/>
          <w:color w:val="3D3D3D"/>
          <w:sz w:val="18"/>
        </w:rPr>
        <w:t xml:space="preserve">, </w:t>
      </w:r>
      <w:r>
        <w:rPr>
          <w:rFonts w:ascii="Times New Roman;sans-serif" w:hAnsi="Times New Roman;sans-serif"/>
          <w:b w:val="false"/>
          <w:color w:val="131313"/>
          <w:sz w:val="18"/>
        </w:rPr>
        <w:t xml:space="preserve">with respect </w:t>
      </w:r>
      <w:r>
        <w:rPr>
          <w:rFonts w:ascii="Times New Roman;sans-serif" w:hAnsi="Times New Roman;sans-serif"/>
          <w:b w:val="false"/>
          <w:color w:val="262626"/>
          <w:sz w:val="18"/>
        </w:rPr>
        <w:t xml:space="preserve">to the </w:t>
      </w:r>
      <w:r>
        <w:rPr>
          <w:rFonts w:ascii="Times New Roman;sans-serif" w:hAnsi="Times New Roman;sans-serif"/>
          <w:b w:val="false"/>
          <w:color w:val="131313"/>
          <w:sz w:val="18"/>
        </w:rPr>
        <w:t xml:space="preserve">subject </w:t>
      </w:r>
      <w:r>
        <w:rPr>
          <w:rFonts w:ascii="Times New Roman;sans-serif" w:hAnsi="Times New Roman;sans-serif"/>
          <w:b w:val="false"/>
          <w:color w:val="262626"/>
          <w:sz w:val="18"/>
        </w:rPr>
        <w:t xml:space="preserve">matter </w:t>
      </w:r>
      <w:r>
        <w:rPr>
          <w:rFonts w:ascii="Times New Roman;sans-serif" w:hAnsi="Times New Roman;sans-serif"/>
          <w:b w:val="false"/>
          <w:color w:val="131313"/>
          <w:sz w:val="18"/>
        </w:rPr>
        <w:t xml:space="preserve">hereof have been made </w:t>
      </w:r>
      <w:r>
        <w:rPr>
          <w:rFonts w:ascii="Times New Roman;sans-serif" w:hAnsi="Times New Roman;sans-serif"/>
          <w:b w:val="false"/>
          <w:color w:val="262626"/>
          <w:sz w:val="18"/>
        </w:rPr>
        <w:t xml:space="preserve">either party </w:t>
      </w:r>
      <w:r>
        <w:rPr>
          <w:rFonts w:ascii="Times New Roman;sans-serif" w:hAnsi="Times New Roman;sans-serif"/>
          <w:b w:val="false"/>
          <w:color w:val="131313"/>
          <w:sz w:val="18"/>
        </w:rPr>
        <w:t xml:space="preserve">which </w:t>
      </w:r>
      <w:r>
        <w:rPr>
          <w:rFonts w:ascii="Times New Roman;sans-serif" w:hAnsi="Times New Roman;sans-serif"/>
          <w:b w:val="false"/>
          <w:color w:val="262626"/>
          <w:sz w:val="18"/>
        </w:rPr>
        <w:t xml:space="preserve">are </w:t>
      </w:r>
      <w:r>
        <w:rPr>
          <w:rFonts w:ascii="Times New Roman;sans-serif" w:hAnsi="Times New Roman;sans-serif"/>
          <w:b w:val="false"/>
          <w:color w:val="131313"/>
          <w:sz w:val="18"/>
        </w:rPr>
        <w:t xml:space="preserve">not expressly </w:t>
      </w:r>
      <w:r>
        <w:rPr>
          <w:rFonts w:ascii="Times New Roman;sans-serif" w:hAnsi="Times New Roman;sans-serif"/>
          <w:b w:val="false"/>
          <w:color w:val="262626"/>
          <w:sz w:val="18"/>
        </w:rPr>
        <w:t xml:space="preserve">set </w:t>
      </w:r>
      <w:r>
        <w:rPr>
          <w:rFonts w:ascii="Times New Roman;sans-serif" w:hAnsi="Times New Roman;sans-serif"/>
          <w:b w:val="false"/>
          <w:color w:val="131313"/>
          <w:sz w:val="18"/>
        </w:rPr>
        <w:t xml:space="preserve">forth in </w:t>
      </w:r>
      <w:r>
        <w:rPr>
          <w:rFonts w:ascii="Times New Roman;sans-serif" w:hAnsi="Times New Roman;sans-serif"/>
          <w:b w:val="false"/>
          <w:color w:val="262626"/>
          <w:sz w:val="18"/>
        </w:rPr>
        <w:t>this Agreement.</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12.2    This Agreement may </w:t>
      </w:r>
      <w:r>
        <w:rPr>
          <w:rFonts w:ascii="Times New Roman;sans-serif" w:hAnsi="Times New Roman;sans-serif"/>
          <w:b w:val="false"/>
          <w:color w:val="262626"/>
          <w:sz w:val="18"/>
        </w:rPr>
        <w:t xml:space="preserve">be </w:t>
      </w:r>
      <w:r>
        <w:rPr>
          <w:rFonts w:ascii="Times New Roman;sans-serif" w:hAnsi="Times New Roman;sans-serif"/>
          <w:b w:val="false"/>
          <w:color w:val="131313"/>
          <w:sz w:val="18"/>
        </w:rPr>
        <w:t xml:space="preserve">executed in </w:t>
      </w:r>
      <w:r>
        <w:rPr>
          <w:rFonts w:ascii="Times New Roman;sans-serif" w:hAnsi="Times New Roman;sans-serif"/>
          <w:b w:val="false"/>
          <w:color w:val="262626"/>
          <w:sz w:val="18"/>
        </w:rPr>
        <w:t xml:space="preserve">any </w:t>
      </w:r>
      <w:r>
        <w:rPr>
          <w:rFonts w:ascii="Times New Roman;sans-serif" w:hAnsi="Times New Roman;sans-serif"/>
          <w:b w:val="false"/>
          <w:color w:val="131313"/>
          <w:sz w:val="18"/>
        </w:rPr>
        <w:t xml:space="preserve">number of </w:t>
      </w:r>
      <w:r>
        <w:rPr>
          <w:rFonts w:ascii="Times New Roman;sans-serif" w:hAnsi="Times New Roman;sans-serif"/>
          <w:b w:val="false"/>
          <w:color w:val="262626"/>
          <w:sz w:val="18"/>
        </w:rPr>
        <w:t xml:space="preserve">counterparts, each </w:t>
      </w:r>
      <w:r>
        <w:rPr>
          <w:rFonts w:ascii="Times New Roman;sans-serif" w:hAnsi="Times New Roman;sans-serif"/>
          <w:b w:val="false"/>
          <w:color w:val="131313"/>
          <w:sz w:val="18"/>
        </w:rPr>
        <w:t xml:space="preserve">of which, when executed </w:t>
      </w:r>
      <w:r>
        <w:rPr>
          <w:rFonts w:ascii="Times New Roman;sans-serif" w:hAnsi="Times New Roman;sans-serif"/>
          <w:b w:val="false"/>
          <w:color w:val="262626"/>
          <w:sz w:val="18"/>
        </w:rPr>
        <w:t xml:space="preserve">and </w:t>
      </w:r>
      <w:r>
        <w:rPr>
          <w:rFonts w:ascii="Times New Roman;sans-serif" w:hAnsi="Times New Roman;sans-serif"/>
          <w:b w:val="false"/>
          <w:color w:val="131313"/>
          <w:sz w:val="18"/>
        </w:rPr>
        <w:t>delivered</w:t>
      </w:r>
      <w:r>
        <w:rPr>
          <w:rFonts w:ascii="Times New Roman;sans-serif" w:hAnsi="Times New Roman;sans-serif"/>
          <w:b w:val="false"/>
          <w:color w:val="3D3D3D"/>
          <w:sz w:val="18"/>
        </w:rPr>
        <w:t xml:space="preserve">, </w:t>
      </w:r>
      <w:r>
        <w:rPr>
          <w:rFonts w:ascii="Times New Roman;sans-serif" w:hAnsi="Times New Roman;sans-serif"/>
          <w:b w:val="false"/>
          <w:color w:val="262626"/>
          <w:sz w:val="18"/>
        </w:rPr>
        <w:t xml:space="preserve">shall </w:t>
      </w:r>
      <w:r>
        <w:rPr>
          <w:rFonts w:ascii="Times New Roman;sans-serif" w:hAnsi="Times New Roman;sans-serif"/>
          <w:b w:val="false"/>
          <w:color w:val="131313"/>
          <w:sz w:val="18"/>
        </w:rPr>
        <w:t xml:space="preserve">be an </w:t>
      </w:r>
      <w:r>
        <w:rPr>
          <w:rFonts w:ascii="Times New Roman;sans-serif" w:hAnsi="Times New Roman;sans-serif"/>
          <w:b w:val="false"/>
          <w:color w:val="262626"/>
          <w:sz w:val="18"/>
        </w:rPr>
        <w:t xml:space="preserve">original, </w:t>
      </w:r>
      <w:r>
        <w:rPr>
          <w:rFonts w:ascii="Times New Roman;sans-serif" w:hAnsi="Times New Roman;sans-serif"/>
          <w:b w:val="false"/>
          <w:color w:val="131313"/>
          <w:sz w:val="18"/>
        </w:rPr>
        <w:t xml:space="preserve">and all the counterparts together shall </w:t>
      </w:r>
      <w:r>
        <w:rPr>
          <w:rFonts w:ascii="Times New Roman;sans-serif" w:hAnsi="Times New Roman;sans-serif"/>
          <w:b w:val="false"/>
          <w:color w:val="262626"/>
          <w:sz w:val="18"/>
        </w:rPr>
        <w:t xml:space="preserve">constitute </w:t>
      </w:r>
      <w:r>
        <w:rPr>
          <w:rFonts w:ascii="Times New Roman;sans-serif" w:hAnsi="Times New Roman;sans-serif"/>
          <w:b w:val="false"/>
          <w:color w:val="131313"/>
          <w:sz w:val="18"/>
        </w:rPr>
        <w:t xml:space="preserve">one and the </w:t>
      </w:r>
      <w:r>
        <w:rPr>
          <w:rFonts w:ascii="Times New Roman;sans-serif" w:hAnsi="Times New Roman;sans-serif"/>
          <w:b w:val="false"/>
          <w:color w:val="262626"/>
          <w:sz w:val="18"/>
        </w:rPr>
        <w:t xml:space="preserve">same </w:t>
      </w:r>
      <w:r>
        <w:rPr>
          <w:rFonts w:ascii="Times New Roman;sans-serif" w:hAnsi="Times New Roman;sans-serif"/>
          <w:b w:val="false"/>
          <w:color w:val="131313"/>
          <w:sz w:val="18"/>
        </w:rPr>
        <w:t>instrument.</w:t>
      </w:r>
    </w:p>
    <w:p>
      <w:pPr>
        <w:pStyle w:val="TextBody"/>
        <w:spacing w:lineRule="auto" w:line="288" w:before="0" w:after="180"/>
        <w:ind w:left="0" w:right="0" w:firstLine="720"/>
        <w:jc w:val="both"/>
        <w:rPr/>
      </w:pPr>
      <w:r>
        <w:rPr>
          <w:rFonts w:ascii="Times New Roman;sans-serif" w:hAnsi="Times New Roman;sans-serif"/>
          <w:b w:val="false"/>
          <w:color w:val="262626"/>
          <w:sz w:val="18"/>
        </w:rPr>
        <w:t>12.3    </w:t>
      </w:r>
      <w:r>
        <w:rPr>
          <w:rFonts w:ascii="Times New Roman;sans-serif" w:hAnsi="Times New Roman;sans-serif"/>
          <w:b w:val="false"/>
          <w:color w:val="131313"/>
          <w:sz w:val="18"/>
        </w:rPr>
        <w:t xml:space="preserve">The provisions of Sections 6 through 12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shall </w:t>
      </w:r>
      <w:r>
        <w:rPr>
          <w:rFonts w:ascii="Times New Roman;sans-serif" w:hAnsi="Times New Roman;sans-serif"/>
          <w:b w:val="false"/>
          <w:color w:val="262626"/>
          <w:sz w:val="18"/>
        </w:rPr>
        <w:t xml:space="preserve">survive </w:t>
      </w:r>
      <w:r>
        <w:rPr>
          <w:rFonts w:ascii="Times New Roman;sans-serif" w:hAnsi="Times New Roman;sans-serif"/>
          <w:b w:val="false"/>
          <w:color w:val="131313"/>
          <w:sz w:val="18"/>
        </w:rPr>
        <w:t>the rescission or termination</w:t>
      </w:r>
      <w:r>
        <w:rPr>
          <w:rFonts w:ascii="Times New Roman;sans-serif" w:hAnsi="Times New Roman;sans-serif"/>
          <w:b w:val="false"/>
          <w:color w:val="3D3D3D"/>
          <w:sz w:val="18"/>
        </w:rPr>
        <w:t xml:space="preserve">, </w:t>
      </w:r>
      <w:r>
        <w:rPr>
          <w:rFonts w:ascii="Times New Roman;sans-serif" w:hAnsi="Times New Roman;sans-serif"/>
          <w:b w:val="false"/>
          <w:color w:val="131313"/>
          <w:sz w:val="18"/>
        </w:rPr>
        <w:t>for any reason, of this Agreement.</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12.4    The </w:t>
      </w:r>
      <w:r>
        <w:rPr>
          <w:rFonts w:ascii="Times New Roman;sans-serif" w:hAnsi="Times New Roman;sans-serif"/>
          <w:b w:val="false"/>
          <w:color w:val="262626"/>
          <w:sz w:val="18"/>
        </w:rPr>
        <w:t xml:space="preserve">Contracts (Rights of Third </w:t>
      </w:r>
      <w:r>
        <w:rPr>
          <w:rFonts w:ascii="Times New Roman;sans-serif" w:hAnsi="Times New Roman;sans-serif"/>
          <w:b w:val="false"/>
          <w:color w:val="131313"/>
          <w:sz w:val="18"/>
        </w:rPr>
        <w:t xml:space="preserve">Parties) </w:t>
      </w:r>
      <w:r>
        <w:rPr>
          <w:rFonts w:ascii="Times New Roman;sans-serif" w:hAnsi="Times New Roman;sans-serif"/>
          <w:b w:val="false"/>
          <w:color w:val="262626"/>
          <w:sz w:val="18"/>
        </w:rPr>
        <w:t xml:space="preserve">Act </w:t>
      </w:r>
      <w:r>
        <w:rPr>
          <w:rFonts w:ascii="Times New Roman;sans-serif" w:hAnsi="Times New Roman;sans-serif"/>
          <w:b w:val="false"/>
          <w:color w:val="131313"/>
          <w:sz w:val="18"/>
        </w:rPr>
        <w:t xml:space="preserve">1999 </w:t>
      </w:r>
      <w:r>
        <w:rPr>
          <w:rFonts w:ascii="Times New Roman;sans-serif" w:hAnsi="Times New Roman;sans-serif"/>
          <w:b w:val="false"/>
          <w:color w:val="262626"/>
          <w:sz w:val="18"/>
        </w:rPr>
        <w:t xml:space="preserve">shall </w:t>
      </w:r>
      <w:r>
        <w:rPr>
          <w:rFonts w:ascii="Times New Roman;sans-serif" w:hAnsi="Times New Roman;sans-serif"/>
          <w:b w:val="false"/>
          <w:color w:val="131313"/>
          <w:sz w:val="18"/>
        </w:rPr>
        <w:t xml:space="preserve">not </w:t>
      </w:r>
      <w:r>
        <w:rPr>
          <w:rFonts w:ascii="Times New Roman;sans-serif" w:hAnsi="Times New Roman;sans-serif"/>
          <w:b w:val="false"/>
          <w:color w:val="262626"/>
          <w:sz w:val="18"/>
        </w:rPr>
        <w:t xml:space="preserve">apply to this </w:t>
      </w:r>
      <w:r>
        <w:rPr>
          <w:rFonts w:ascii="Times New Roman;sans-serif" w:hAnsi="Times New Roman;sans-serif"/>
          <w:b w:val="false"/>
          <w:color w:val="131313"/>
          <w:sz w:val="18"/>
        </w:rPr>
        <w:t xml:space="preserve">Agreement and no person other than the Consultant and the </w:t>
      </w:r>
      <w:r>
        <w:rPr>
          <w:rFonts w:ascii="Times New Roman;sans-serif" w:hAnsi="Times New Roman;sans-serif"/>
          <w:b w:val="false"/>
          <w:color w:val="262626"/>
          <w:sz w:val="18"/>
        </w:rPr>
        <w:t>Company (</w:t>
      </w:r>
      <w:r>
        <w:rPr>
          <w:rFonts w:ascii="Times New Roman;sans-serif" w:hAnsi="Times New Roman;sans-serif"/>
          <w:b w:val="false"/>
          <w:color w:val="131313"/>
          <w:sz w:val="18"/>
        </w:rPr>
        <w:t xml:space="preserve">and any of its affiliates) </w:t>
      </w:r>
      <w:r>
        <w:rPr>
          <w:rFonts w:ascii="Times New Roman;sans-serif" w:hAnsi="Times New Roman;sans-serif"/>
          <w:b w:val="false"/>
          <w:color w:val="262626"/>
          <w:sz w:val="18"/>
        </w:rPr>
        <w:t xml:space="preserve">shall </w:t>
      </w:r>
      <w:r>
        <w:rPr>
          <w:rFonts w:ascii="Times New Roman;sans-serif" w:hAnsi="Times New Roman;sans-serif"/>
          <w:b w:val="false"/>
          <w:color w:val="131313"/>
          <w:sz w:val="18"/>
        </w:rPr>
        <w:t xml:space="preserve">have </w:t>
      </w:r>
      <w:r>
        <w:rPr>
          <w:rFonts w:ascii="Times New Roman;sans-serif" w:hAnsi="Times New Roman;sans-serif"/>
          <w:b w:val="false"/>
          <w:color w:val="262626"/>
          <w:sz w:val="18"/>
        </w:rPr>
        <w:t xml:space="preserve">any </w:t>
      </w:r>
      <w:r>
        <w:rPr>
          <w:rFonts w:ascii="Times New Roman;sans-serif" w:hAnsi="Times New Roman;sans-serif"/>
          <w:b w:val="false"/>
          <w:color w:val="131313"/>
          <w:sz w:val="18"/>
        </w:rPr>
        <w:t xml:space="preserve">rights under </w:t>
      </w:r>
      <w:r>
        <w:rPr>
          <w:rFonts w:ascii="Times New Roman;sans-serif" w:hAnsi="Times New Roman;sans-serif"/>
          <w:b w:val="false"/>
          <w:color w:val="262626"/>
          <w:sz w:val="18"/>
        </w:rPr>
        <w:t xml:space="preserve">it. The </w:t>
      </w:r>
      <w:r>
        <w:rPr>
          <w:rFonts w:ascii="Times New Roman;sans-serif" w:hAnsi="Times New Roman;sans-serif"/>
          <w:b w:val="false"/>
          <w:color w:val="131313"/>
          <w:sz w:val="18"/>
        </w:rPr>
        <w:t xml:space="preserve">terms of this Agreement or any of them may be varied, amended or </w:t>
      </w:r>
      <w:r>
        <w:rPr>
          <w:rFonts w:ascii="Times New Roman;sans-serif" w:hAnsi="Times New Roman;sans-serif"/>
          <w:b w:val="false"/>
          <w:color w:val="262626"/>
          <w:sz w:val="18"/>
        </w:rPr>
        <w:t xml:space="preserve">modified </w:t>
      </w:r>
      <w:r>
        <w:rPr>
          <w:rFonts w:ascii="Times New Roman;sans-serif" w:hAnsi="Times New Roman;sans-serif"/>
          <w:b w:val="false"/>
          <w:color w:val="131313"/>
          <w:sz w:val="18"/>
        </w:rPr>
        <w:t xml:space="preserve">or 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may be suspended, cancelled or terminated, in each </w:t>
      </w:r>
      <w:r>
        <w:rPr>
          <w:rFonts w:ascii="Times New Roman;sans-serif" w:hAnsi="Times New Roman;sans-serif"/>
          <w:b w:val="false"/>
          <w:color w:val="262626"/>
          <w:sz w:val="18"/>
        </w:rPr>
        <w:t xml:space="preserve">case </w:t>
      </w:r>
      <w:r>
        <w:rPr>
          <w:rFonts w:ascii="Times New Roman;sans-serif" w:hAnsi="Times New Roman;sans-serif"/>
          <w:b w:val="false"/>
          <w:color w:val="131313"/>
          <w:sz w:val="18"/>
        </w:rPr>
        <w:t xml:space="preserve">by agreement in writing between the parties or this Agreement, </w:t>
      </w:r>
      <w:r>
        <w:rPr>
          <w:rFonts w:ascii="Times New Roman;sans-serif" w:hAnsi="Times New Roman;sans-serif"/>
          <w:b w:val="false"/>
          <w:color w:val="262626"/>
          <w:sz w:val="18"/>
        </w:rPr>
        <w:t xml:space="preserve">without </w:t>
      </w:r>
      <w:r>
        <w:rPr>
          <w:rFonts w:ascii="Times New Roman;sans-serif" w:hAnsi="Times New Roman;sans-serif"/>
          <w:b w:val="false"/>
          <w:color w:val="131313"/>
          <w:sz w:val="18"/>
        </w:rPr>
        <w:t xml:space="preserve">the consent </w:t>
      </w:r>
      <w:r>
        <w:rPr>
          <w:rFonts w:ascii="Times New Roman;sans-serif" w:hAnsi="Times New Roman;sans-serif"/>
          <w:b w:val="false"/>
          <w:color w:val="262626"/>
          <w:sz w:val="18"/>
        </w:rPr>
        <w:t xml:space="preserve">of any </w:t>
      </w:r>
      <w:r>
        <w:rPr>
          <w:rFonts w:ascii="Times New Roman;sans-serif" w:hAnsi="Times New Roman;sans-serif"/>
          <w:b w:val="false"/>
          <w:color w:val="131313"/>
          <w:sz w:val="18"/>
        </w:rPr>
        <w:t>third party.</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12.5    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and </w:t>
      </w:r>
      <w:r>
        <w:rPr>
          <w:rFonts w:ascii="Times New Roman;sans-serif" w:hAnsi="Times New Roman;sans-serif"/>
          <w:b w:val="false"/>
          <w:color w:val="262626"/>
          <w:sz w:val="18"/>
        </w:rPr>
        <w:t xml:space="preserve">any </w:t>
      </w:r>
      <w:r>
        <w:rPr>
          <w:rFonts w:ascii="Times New Roman;sans-serif" w:hAnsi="Times New Roman;sans-serif"/>
          <w:b w:val="false"/>
          <w:color w:val="131313"/>
          <w:sz w:val="18"/>
        </w:rPr>
        <w:t xml:space="preserve">dispute or claim arising out </w:t>
      </w:r>
      <w:r>
        <w:rPr>
          <w:rFonts w:ascii="Times New Roman;sans-serif" w:hAnsi="Times New Roman;sans-serif"/>
          <w:b w:val="false"/>
          <w:color w:val="262626"/>
          <w:sz w:val="18"/>
        </w:rPr>
        <w:t xml:space="preserve">of or in </w:t>
      </w:r>
      <w:r>
        <w:rPr>
          <w:rFonts w:ascii="Times New Roman;sans-serif" w:hAnsi="Times New Roman;sans-serif"/>
          <w:b w:val="false"/>
          <w:color w:val="131313"/>
          <w:sz w:val="18"/>
        </w:rPr>
        <w:t xml:space="preserve">connection with it or its </w:t>
      </w:r>
      <w:r>
        <w:rPr>
          <w:rFonts w:ascii="Times New Roman;sans-serif" w:hAnsi="Times New Roman;sans-serif"/>
          <w:b w:val="false"/>
          <w:color w:val="262626"/>
          <w:sz w:val="18"/>
        </w:rPr>
        <w:t xml:space="preserve">subject </w:t>
      </w:r>
      <w:r>
        <w:rPr>
          <w:rFonts w:ascii="Times New Roman;sans-serif" w:hAnsi="Times New Roman;sans-serif"/>
          <w:b w:val="false"/>
          <w:color w:val="131313"/>
          <w:sz w:val="18"/>
        </w:rPr>
        <w:t xml:space="preserve">matter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 xml:space="preserve">formation (including non-contractual disputes or claims) </w:t>
      </w:r>
      <w:r>
        <w:rPr>
          <w:rFonts w:ascii="Times New Roman;sans-serif" w:hAnsi="Times New Roman;sans-serif"/>
          <w:b w:val="false"/>
          <w:color w:val="262626"/>
          <w:sz w:val="18"/>
        </w:rPr>
        <w:t xml:space="preserve">shall </w:t>
      </w:r>
      <w:r>
        <w:rPr>
          <w:rFonts w:ascii="Times New Roman;sans-serif" w:hAnsi="Times New Roman;sans-serif"/>
          <w:b w:val="false"/>
          <w:color w:val="131313"/>
          <w:sz w:val="18"/>
        </w:rPr>
        <w:t xml:space="preserve">be governed by and construed in accordance </w:t>
      </w:r>
      <w:r>
        <w:rPr>
          <w:rFonts w:ascii="Times New Roman;sans-serif" w:hAnsi="Times New Roman;sans-serif"/>
          <w:b w:val="false"/>
          <w:color w:val="262626"/>
          <w:sz w:val="18"/>
        </w:rPr>
        <w:t xml:space="preserve">with </w:t>
      </w:r>
      <w:r>
        <w:rPr>
          <w:rFonts w:ascii="Times New Roman;sans-serif" w:hAnsi="Times New Roman;sans-serif"/>
          <w:b w:val="false"/>
          <w:color w:val="131313"/>
          <w:sz w:val="18"/>
        </w:rPr>
        <w:t>English law.</w:t>
      </w:r>
    </w:p>
    <w:p>
      <w:pPr>
        <w:pStyle w:val="TextBody"/>
        <w:spacing w:lineRule="auto" w:line="288" w:before="0" w:after="180"/>
        <w:ind w:left="0" w:right="0" w:firstLine="720"/>
        <w:jc w:val="both"/>
        <w:rPr/>
      </w:pPr>
      <w:r>
        <w:rPr>
          <w:rFonts w:ascii="Times New Roman;sans-serif" w:hAnsi="Times New Roman;sans-serif"/>
          <w:b w:val="false"/>
          <w:color w:val="131313"/>
          <w:sz w:val="18"/>
        </w:rPr>
        <w:t xml:space="preserve">12.6    The </w:t>
      </w:r>
      <w:r>
        <w:rPr>
          <w:rFonts w:ascii="Times New Roman;sans-serif" w:hAnsi="Times New Roman;sans-serif"/>
          <w:b w:val="false"/>
          <w:color w:val="262626"/>
          <w:sz w:val="18"/>
        </w:rPr>
        <w:t xml:space="preserve">Company </w:t>
      </w:r>
      <w:r>
        <w:rPr>
          <w:rFonts w:ascii="Times New Roman;sans-serif" w:hAnsi="Times New Roman;sans-serif"/>
          <w:b w:val="false"/>
          <w:color w:val="131313"/>
          <w:sz w:val="18"/>
        </w:rPr>
        <w:t xml:space="preserve">shall have the right to assign 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to </w:t>
      </w:r>
      <w:r>
        <w:rPr>
          <w:rFonts w:ascii="Times New Roman;sans-serif" w:hAnsi="Times New Roman;sans-serif"/>
          <w:b w:val="false"/>
          <w:color w:val="262626"/>
          <w:sz w:val="18"/>
        </w:rPr>
        <w:t xml:space="preserve">any of its </w:t>
      </w:r>
      <w:r>
        <w:rPr>
          <w:rFonts w:ascii="Times New Roman;sans-serif" w:hAnsi="Times New Roman;sans-serif"/>
          <w:b w:val="false"/>
          <w:color w:val="131313"/>
          <w:sz w:val="18"/>
        </w:rPr>
        <w:t xml:space="preserve">affiliates or any corporation or other </w:t>
      </w:r>
      <w:r>
        <w:rPr>
          <w:rFonts w:ascii="Times New Roman;sans-serif" w:hAnsi="Times New Roman;sans-serif"/>
          <w:b w:val="false"/>
          <w:color w:val="262626"/>
          <w:sz w:val="18"/>
        </w:rPr>
        <w:t xml:space="preserve">entity </w:t>
      </w:r>
      <w:r>
        <w:rPr>
          <w:rFonts w:ascii="Times New Roman;sans-serif" w:hAnsi="Times New Roman;sans-serif"/>
          <w:b w:val="false"/>
          <w:color w:val="131313"/>
          <w:sz w:val="18"/>
        </w:rPr>
        <w:t xml:space="preserve">acquiring all or substantially all the </w:t>
      </w:r>
      <w:r>
        <w:rPr>
          <w:rFonts w:ascii="Times New Roman;sans-serif" w:hAnsi="Times New Roman;sans-serif"/>
          <w:b w:val="false"/>
          <w:color w:val="262626"/>
          <w:sz w:val="18"/>
        </w:rPr>
        <w:t xml:space="preserve">assets </w:t>
      </w:r>
      <w:r>
        <w:rPr>
          <w:rFonts w:ascii="Times New Roman;sans-serif" w:hAnsi="Times New Roman;sans-serif"/>
          <w:b w:val="false"/>
          <w:color w:val="131313"/>
          <w:sz w:val="18"/>
        </w:rPr>
        <w:t xml:space="preserve">and business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any of its </w:t>
      </w:r>
      <w:r>
        <w:rPr>
          <w:rFonts w:ascii="Times New Roman;sans-serif" w:hAnsi="Times New Roman;sans-serif"/>
          <w:b w:val="false"/>
          <w:color w:val="262626"/>
          <w:sz w:val="18"/>
        </w:rPr>
        <w:t xml:space="preserve">affiliates </w:t>
      </w:r>
      <w:r>
        <w:rPr>
          <w:rFonts w:ascii="Times New Roman;sans-serif" w:hAnsi="Times New Roman;sans-serif"/>
          <w:b w:val="false"/>
          <w:color w:val="131313"/>
          <w:sz w:val="18"/>
        </w:rPr>
        <w:t xml:space="preserve">(including this Agreement), whether by operation of law or otherwise. </w:t>
      </w:r>
      <w:r>
        <w:rPr>
          <w:rFonts w:ascii="Times New Roman;sans-serif" w:hAnsi="Times New Roman;sans-serif"/>
          <w:b w:val="false"/>
          <w:color w:val="262626"/>
          <w:sz w:val="18"/>
        </w:rPr>
        <w:t xml:space="preserve">Neither </w:t>
      </w:r>
      <w:r>
        <w:rPr>
          <w:rFonts w:ascii="Times New Roman;sans-serif" w:hAnsi="Times New Roman;sans-serif"/>
          <w:b w:val="false"/>
          <w:color w:val="131313"/>
          <w:sz w:val="18"/>
        </w:rPr>
        <w:t xml:space="preserve">this </w:t>
      </w:r>
      <w:r>
        <w:rPr>
          <w:rFonts w:ascii="Times New Roman;sans-serif" w:hAnsi="Times New Roman;sans-serif"/>
          <w:b w:val="false"/>
          <w:color w:val="262626"/>
          <w:sz w:val="18"/>
        </w:rPr>
        <w:t xml:space="preserve">Agreement </w:t>
      </w:r>
      <w:r>
        <w:rPr>
          <w:rFonts w:ascii="Times New Roman;sans-serif" w:hAnsi="Times New Roman;sans-serif"/>
          <w:b w:val="false"/>
          <w:color w:val="131313"/>
          <w:sz w:val="18"/>
        </w:rPr>
        <w:t xml:space="preserve">nor </w:t>
      </w:r>
      <w:r>
        <w:rPr>
          <w:rFonts w:ascii="Times New Roman;sans-serif" w:hAnsi="Times New Roman;sans-serif"/>
          <w:b w:val="false"/>
          <w:color w:val="262626"/>
          <w:sz w:val="18"/>
        </w:rPr>
        <w:t xml:space="preserve">any </w:t>
      </w:r>
      <w:r>
        <w:rPr>
          <w:rFonts w:ascii="Times New Roman;sans-serif" w:hAnsi="Times New Roman;sans-serif"/>
          <w:b w:val="false"/>
          <w:color w:val="131313"/>
          <w:sz w:val="18"/>
        </w:rPr>
        <w:t xml:space="preserve">right or interest hereunder </w:t>
      </w:r>
      <w:r>
        <w:rPr>
          <w:rFonts w:ascii="Times New Roman;sans-serif" w:hAnsi="Times New Roman;sans-serif"/>
          <w:b w:val="false"/>
          <w:color w:val="262626"/>
          <w:sz w:val="18"/>
        </w:rPr>
        <w:t xml:space="preserve">shall </w:t>
      </w:r>
      <w:r>
        <w:rPr>
          <w:rFonts w:ascii="Times New Roman;sans-serif" w:hAnsi="Times New Roman;sans-serif"/>
          <w:b w:val="false"/>
          <w:color w:val="131313"/>
          <w:sz w:val="18"/>
        </w:rPr>
        <w:t xml:space="preserve">be assignable or transferable by the </w:t>
      </w:r>
      <w:r>
        <w:rPr>
          <w:rFonts w:ascii="Times New Roman;sans-serif" w:hAnsi="Times New Roman;sans-serif"/>
          <w:b w:val="false"/>
          <w:color w:val="262626"/>
          <w:sz w:val="18"/>
        </w:rPr>
        <w:t xml:space="preserve">Consultant, </w:t>
      </w:r>
      <w:r>
        <w:rPr>
          <w:rFonts w:ascii="Times New Roman;sans-serif" w:hAnsi="Times New Roman;sans-serif"/>
          <w:b w:val="false"/>
          <w:color w:val="131313"/>
          <w:sz w:val="18"/>
        </w:rPr>
        <w:t>its beneficiaries or legal representatives.</w:t>
      </w:r>
    </w:p>
    <w:p>
      <w:pPr>
        <w:pStyle w:val="TextBody"/>
        <w:spacing w:lineRule="auto" w:line="288" w:before="0" w:after="180"/>
        <w:ind w:left="0" w:right="0" w:firstLine="720"/>
        <w:jc w:val="both"/>
        <w:rPr/>
      </w:pPr>
      <w:r>
        <w:rPr>
          <w:rFonts w:ascii="Times New Roman;sans-serif" w:hAnsi="Times New Roman;sans-serif"/>
          <w:b w:val="false"/>
          <w:color w:val="262626"/>
          <w:sz w:val="18"/>
        </w:rPr>
        <w:t>12.7    </w:t>
      </w:r>
      <w:r>
        <w:rPr>
          <w:rFonts w:ascii="Times New Roman;sans-serif" w:hAnsi="Times New Roman;sans-serif"/>
          <w:b w:val="false"/>
          <w:color w:val="131313"/>
          <w:sz w:val="18"/>
        </w:rPr>
        <w:t xml:space="preserve">No waiver by either party hereto at </w:t>
      </w:r>
      <w:r>
        <w:rPr>
          <w:rFonts w:ascii="Times New Roman;sans-serif" w:hAnsi="Times New Roman;sans-serif"/>
          <w:b w:val="false"/>
          <w:color w:val="262626"/>
          <w:sz w:val="18"/>
        </w:rPr>
        <w:t xml:space="preserve">any time </w:t>
      </w:r>
      <w:r>
        <w:rPr>
          <w:rFonts w:ascii="Times New Roman;sans-serif" w:hAnsi="Times New Roman;sans-serif"/>
          <w:b w:val="false"/>
          <w:color w:val="131313"/>
          <w:sz w:val="18"/>
        </w:rPr>
        <w:t xml:space="preserve">of any breach by the other party hereto </w:t>
      </w:r>
      <w:r>
        <w:rPr>
          <w:rFonts w:ascii="Times New Roman;sans-serif" w:hAnsi="Times New Roman;sans-serif"/>
          <w:b w:val="false"/>
          <w:color w:val="262626"/>
          <w:sz w:val="18"/>
        </w:rPr>
        <w:t xml:space="preserve">of, </w:t>
      </w:r>
      <w:r>
        <w:rPr>
          <w:rFonts w:ascii="Times New Roman;sans-serif" w:hAnsi="Times New Roman;sans-serif"/>
          <w:b w:val="false"/>
          <w:color w:val="131313"/>
          <w:sz w:val="18"/>
        </w:rPr>
        <w:t xml:space="preserve">or compliance with, any condition or provision of this Agreement to be performed by such other party shall be deemed </w:t>
      </w:r>
      <w:r>
        <w:rPr>
          <w:rFonts w:ascii="Times New Roman;sans-serif" w:hAnsi="Times New Roman;sans-serif"/>
          <w:b w:val="false"/>
          <w:color w:val="262626"/>
          <w:sz w:val="18"/>
        </w:rPr>
        <w:t xml:space="preserve">a </w:t>
      </w:r>
      <w:r>
        <w:rPr>
          <w:rFonts w:ascii="Times New Roman;sans-serif" w:hAnsi="Times New Roman;sans-serif"/>
          <w:b w:val="false"/>
          <w:color w:val="131313"/>
          <w:sz w:val="18"/>
        </w:rPr>
        <w:t xml:space="preserve">waiver of similar </w:t>
      </w:r>
      <w:r>
        <w:rPr>
          <w:rFonts w:ascii="Times New Roman;sans-serif" w:hAnsi="Times New Roman;sans-serif"/>
          <w:b w:val="false"/>
          <w:color w:val="262626"/>
          <w:sz w:val="18"/>
        </w:rPr>
        <w:t xml:space="preserve">or </w:t>
      </w:r>
      <w:r>
        <w:rPr>
          <w:rFonts w:ascii="Times New Roman;sans-serif" w:hAnsi="Times New Roman;sans-serif"/>
          <w:b w:val="false"/>
          <w:color w:val="131313"/>
          <w:sz w:val="18"/>
        </w:rPr>
        <w:t xml:space="preserve">dissimilar provisions or conditions at the </w:t>
      </w:r>
      <w:r>
        <w:rPr>
          <w:rFonts w:ascii="Times New Roman;sans-serif" w:hAnsi="Times New Roman;sans-serif"/>
          <w:b w:val="false"/>
          <w:color w:val="262626"/>
          <w:sz w:val="18"/>
        </w:rPr>
        <w:t xml:space="preserve">same </w:t>
      </w:r>
      <w:r>
        <w:rPr>
          <w:rFonts w:ascii="Times New Roman;sans-serif" w:hAnsi="Times New Roman;sans-serif"/>
          <w:b w:val="false"/>
          <w:color w:val="131313"/>
          <w:sz w:val="18"/>
        </w:rPr>
        <w:t xml:space="preserve">or at any prior or </w:t>
      </w:r>
      <w:r>
        <w:rPr>
          <w:rFonts w:ascii="Times New Roman;sans-serif" w:hAnsi="Times New Roman;sans-serif"/>
          <w:b w:val="false"/>
          <w:color w:val="262626"/>
          <w:sz w:val="18"/>
        </w:rPr>
        <w:t xml:space="preserve">subsequent </w:t>
      </w:r>
      <w:r>
        <w:rPr>
          <w:rFonts w:ascii="Times New Roman;sans-serif" w:hAnsi="Times New Roman;sans-serif"/>
          <w:b w:val="false"/>
          <w:color w:val="131313"/>
          <w:sz w:val="18"/>
        </w:rPr>
        <w:t>time.</w:t>
      </w:r>
    </w:p>
    <w:p>
      <w:pPr>
        <w:pStyle w:val="TextBody"/>
        <w:spacing w:lineRule="auto" w:line="288" w:before="0" w:after="180"/>
        <w:ind w:left="0" w:right="0" w:firstLine="720"/>
        <w:jc w:val="both"/>
        <w:rPr/>
      </w:pPr>
      <w:r>
        <w:rPr>
          <w:rFonts w:ascii="Times New Roman;sans-serif" w:hAnsi="Times New Roman;sans-serif"/>
          <w:b w:val="false"/>
          <w:color w:val="262626"/>
          <w:sz w:val="18"/>
        </w:rPr>
        <w:t>12.8    </w:t>
      </w:r>
      <w:r>
        <w:rPr>
          <w:rFonts w:ascii="Times New Roman;sans-serif" w:hAnsi="Times New Roman;sans-serif"/>
          <w:b w:val="false"/>
          <w:color w:val="131313"/>
          <w:sz w:val="18"/>
        </w:rPr>
        <w:t xml:space="preserve">The provisions of this Agreement shall be deemed severable and the </w:t>
      </w:r>
      <w:r>
        <w:rPr>
          <w:rFonts w:ascii="Times New Roman;sans-serif" w:hAnsi="Times New Roman;sans-serif"/>
          <w:b w:val="false"/>
          <w:color w:val="262626"/>
          <w:sz w:val="18"/>
        </w:rPr>
        <w:t xml:space="preserve">invalidity </w:t>
      </w:r>
      <w:r>
        <w:rPr>
          <w:rFonts w:ascii="Times New Roman;sans-serif" w:hAnsi="Times New Roman;sans-serif"/>
          <w:b w:val="false"/>
          <w:color w:val="131313"/>
          <w:sz w:val="18"/>
        </w:rPr>
        <w:t xml:space="preserve">or unenforceability of </w:t>
      </w:r>
      <w:r>
        <w:rPr>
          <w:rFonts w:ascii="Times New Roman;sans-serif" w:hAnsi="Times New Roman;sans-serif"/>
          <w:b w:val="false"/>
          <w:color w:val="262626"/>
          <w:sz w:val="18"/>
        </w:rPr>
        <w:t xml:space="preserve">any provision </w:t>
      </w:r>
      <w:r>
        <w:rPr>
          <w:rFonts w:ascii="Times New Roman;sans-serif" w:hAnsi="Times New Roman;sans-serif"/>
          <w:b w:val="false"/>
          <w:color w:val="131313"/>
          <w:sz w:val="18"/>
        </w:rPr>
        <w:t>shall not affect the validity or enforceability of the other provisions hereof.</w:t>
      </w:r>
    </w:p>
    <w:p>
      <w:pPr>
        <w:pStyle w:val="TextBody"/>
        <w:spacing w:lineRule="auto" w:line="288" w:before="0" w:after="180"/>
        <w:jc w:val="center"/>
        <w:rPr/>
      </w:pPr>
      <w:r>
        <w:rPr>
          <w:rFonts w:ascii="Times New Roman;sans-serif" w:hAnsi="Times New Roman;sans-serif"/>
          <w:b w:val="false"/>
          <w:i/>
          <w:color w:val="131313"/>
          <w:sz w:val="18"/>
        </w:rPr>
        <w:t>[Signature pag</w:t>
      </w:r>
      <w:r>
        <w:rPr>
          <w:rFonts w:ascii="Times New Roman;sans-serif" w:hAnsi="Times New Roman;sans-serif"/>
          <w:b w:val="false"/>
          <w:i/>
          <w:color w:val="3D3D3D"/>
          <w:sz w:val="18"/>
        </w:rPr>
        <w:t xml:space="preserve">e </w:t>
      </w:r>
      <w:r>
        <w:rPr>
          <w:rFonts w:ascii="Times New Roman;sans-serif" w:hAnsi="Times New Roman;sans-serif"/>
          <w:b w:val="false"/>
          <w:i/>
          <w:color w:val="262626"/>
          <w:sz w:val="18"/>
        </w:rPr>
        <w:t>to follow</w:t>
      </w:r>
      <w:r>
        <w:rPr>
          <w:rFonts w:ascii="Times New Roman;sans-serif" w:hAnsi="Times New Roman;sans-serif"/>
          <w:b w:val="false"/>
          <w:i/>
          <w:color w:val="131313"/>
          <w:sz w:val="18"/>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73025"/>
                <wp:effectExtent l="0" t="0" r="0" b="0"/>
                <wp:wrapNone/>
                <wp:docPr id="556" name="Frame549"/>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both"/>
        <w:rPr/>
      </w:pPr>
      <w:r>
        <w:rPr>
          <w:rFonts w:ascii="Times New Roman;sans-serif" w:hAnsi="Times New Roman;sans-serif"/>
          <w:b/>
          <w:color w:val="08080A"/>
          <w:sz w:val="18"/>
        </w:rPr>
        <w:t xml:space="preserve">IN </w:t>
      </w:r>
      <w:r>
        <w:rPr>
          <w:rFonts w:ascii="Times New Roman;sans-serif" w:hAnsi="Times New Roman;sans-serif"/>
          <w:b/>
          <w:color w:val="1C1C1C"/>
          <w:sz w:val="18"/>
        </w:rPr>
        <w:t xml:space="preserve">WITNESS </w:t>
      </w:r>
      <w:r>
        <w:rPr>
          <w:rFonts w:ascii="Times New Roman;sans-serif" w:hAnsi="Times New Roman;sans-serif"/>
          <w:b/>
          <w:color w:val="08080A"/>
          <w:sz w:val="18"/>
        </w:rPr>
        <w:t xml:space="preserve">WHEREOF, </w:t>
      </w:r>
      <w:r>
        <w:rPr>
          <w:rFonts w:ascii="Times New Roman;sans-serif" w:hAnsi="Times New Roman;sans-serif"/>
          <w:b w:val="false"/>
          <w:color w:val="08080A"/>
          <w:sz w:val="18"/>
        </w:rPr>
        <w:t xml:space="preserve">the </w:t>
      </w:r>
      <w:r>
        <w:rPr>
          <w:rFonts w:ascii="Times New Roman;sans-serif" w:hAnsi="Times New Roman;sans-serif"/>
          <w:b w:val="false"/>
          <w:color w:val="1C1C1C"/>
          <w:sz w:val="18"/>
        </w:rPr>
        <w:t xml:space="preserve">Company has caused </w:t>
      </w:r>
      <w:r>
        <w:rPr>
          <w:rFonts w:ascii="Times New Roman;sans-serif" w:hAnsi="Times New Roman;sans-serif"/>
          <w:b w:val="false"/>
          <w:color w:val="08080A"/>
          <w:sz w:val="18"/>
        </w:rPr>
        <w:t xml:space="preserve">this Agreement </w:t>
      </w:r>
      <w:r>
        <w:rPr>
          <w:rFonts w:ascii="Times New Roman;sans-serif" w:hAnsi="Times New Roman;sans-serif"/>
          <w:b w:val="false"/>
          <w:color w:val="1C1C1C"/>
          <w:sz w:val="18"/>
        </w:rPr>
        <w:t xml:space="preserve">to be executed by its </w:t>
      </w:r>
      <w:r>
        <w:rPr>
          <w:rFonts w:ascii="Times New Roman;sans-serif" w:hAnsi="Times New Roman;sans-serif"/>
          <w:b w:val="false"/>
          <w:color w:val="08080A"/>
          <w:sz w:val="18"/>
        </w:rPr>
        <w:t xml:space="preserve">duly </w:t>
      </w:r>
      <w:r>
        <w:rPr>
          <w:rFonts w:ascii="Times New Roman;sans-serif" w:hAnsi="Times New Roman;sans-serif"/>
          <w:b w:val="false"/>
          <w:color w:val="1C1C1C"/>
          <w:sz w:val="18"/>
        </w:rPr>
        <w:t xml:space="preserve">authorized officers </w:t>
      </w:r>
      <w:r>
        <w:rPr>
          <w:rFonts w:ascii="Times New Roman;sans-serif" w:hAnsi="Times New Roman;sans-serif"/>
          <w:b w:val="false"/>
          <w:color w:val="08080A"/>
          <w:sz w:val="18"/>
        </w:rPr>
        <w:t xml:space="preserve">and the </w:t>
      </w:r>
      <w:r>
        <w:rPr>
          <w:rFonts w:ascii="Times New Roman;sans-serif" w:hAnsi="Times New Roman;sans-serif"/>
          <w:b w:val="false"/>
          <w:color w:val="1C1C1C"/>
          <w:sz w:val="18"/>
        </w:rPr>
        <w:t xml:space="preserve">Consultant has executed </w:t>
      </w:r>
      <w:r>
        <w:rPr>
          <w:rFonts w:ascii="Times New Roman;sans-serif" w:hAnsi="Times New Roman;sans-serif"/>
          <w:b w:val="false"/>
          <w:color w:val="08080A"/>
          <w:sz w:val="18"/>
        </w:rPr>
        <w:t xml:space="preserve">this </w:t>
      </w:r>
      <w:r>
        <w:rPr>
          <w:rFonts w:ascii="Times New Roman;sans-serif" w:hAnsi="Times New Roman;sans-serif"/>
          <w:b w:val="false"/>
          <w:color w:val="1C1C1C"/>
          <w:sz w:val="18"/>
        </w:rPr>
        <w:t xml:space="preserve">Agreement as of </w:t>
      </w:r>
      <w:r>
        <w:rPr>
          <w:rFonts w:ascii="Times New Roman;sans-serif" w:hAnsi="Times New Roman;sans-serif"/>
          <w:b w:val="false"/>
          <w:color w:val="08080A"/>
          <w:sz w:val="18"/>
        </w:rPr>
        <w:t xml:space="preserve">the date indicated </w:t>
      </w:r>
      <w:r>
        <w:rPr>
          <w:rFonts w:ascii="Times New Roman;sans-serif" w:hAnsi="Times New Roman;sans-serif"/>
          <w:b w:val="false"/>
          <w:color w:val="1C1C1C"/>
          <w:sz w:val="18"/>
        </w:rPr>
        <w:t>below.</w:t>
      </w:r>
    </w:p>
    <w:tbl>
      <w:tblPr>
        <w:tblW w:w="10205" w:type="dxa"/>
        <w:jc w:val="left"/>
        <w:tblInd w:w="0" w:type="dxa"/>
        <w:tblCellMar>
          <w:top w:w="28" w:type="dxa"/>
          <w:left w:w="28" w:type="dxa"/>
          <w:bottom w:w="28" w:type="dxa"/>
          <w:right w:w="28" w:type="dxa"/>
        </w:tblCellMar>
      </w:tblPr>
      <w:tblGrid>
        <w:gridCol w:w="2559"/>
        <w:gridCol w:w="2254"/>
        <w:gridCol w:w="2263"/>
        <w:gridCol w:w="109"/>
        <w:gridCol w:w="109"/>
        <w:gridCol w:w="109"/>
        <w:gridCol w:w="273"/>
        <w:gridCol w:w="273"/>
        <w:gridCol w:w="275"/>
        <w:gridCol w:w="577"/>
        <w:gridCol w:w="577"/>
        <w:gridCol w:w="827"/>
      </w:tblGrid>
      <w:tr>
        <w:trPr/>
        <w:tc>
          <w:tcPr>
            <w:tcW w:w="2559"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r>
      <w:tr>
        <w:trPr/>
        <w:tc>
          <w:tcPr>
            <w:tcW w:w="707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Executed as a deed by </w:t>
            </w:r>
            <w:r>
              <w:rPr>
                <w:rFonts w:ascii="Times New Roman;sans-serif" w:hAnsi="Times New Roman;sans-serif"/>
                <w:b/>
                <w:i/>
                <w:color w:val="000000"/>
                <w:sz w:val="18"/>
              </w:rPr>
              <w:t xml:space="preserve">Kaltura Europe Limited </w:t>
            </w:r>
            <w:r>
              <w:rPr>
                <w:rFonts w:ascii="Times New Roman;sans-serif" w:hAnsi="Times New Roman;sans-serif"/>
                <w:b w:val="false"/>
                <w:color w:val="000000"/>
                <w:sz w:val="18"/>
              </w:rPr>
              <w:t>acting by Shay David, a director, in the presence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9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Dr. Michal Bur-Shalev</w:t>
            </w:r>
          </w:p>
        </w:tc>
      </w:tr>
      <w:tr>
        <w:trPr/>
        <w:tc>
          <w:tcPr>
            <w:tcW w:w="70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981"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Executed as a deed by </w:t>
            </w:r>
            <w:r>
              <w:rPr>
                <w:rFonts w:ascii="Times New Roman;sans-serif" w:hAnsi="Times New Roman;sans-serif"/>
                <w:b/>
                <w:i/>
                <w:color w:val="000000"/>
                <w:sz w:val="18"/>
              </w:rPr>
              <w:t>Ron Yekutiel</w:t>
            </w:r>
            <w:r>
              <w:rPr>
                <w:rFonts w:ascii="Times New Roman;sans-serif" w:hAnsi="Times New Roman;sans-serif"/>
                <w:b w:val="false"/>
                <w:color w:val="000000"/>
                <w:sz w:val="18"/>
              </w:rPr>
              <w:t>, in the presence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981" w:type="dxa"/>
            <w:gridSpan w:val="3"/>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Ron Yekutiel</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73025"/>
                <wp:effectExtent l="0" t="0" r="0" b="0"/>
                <wp:wrapNone/>
                <wp:docPr id="557" name="Frame550"/>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10101"/>
          <w:sz w:val="18"/>
          <w:u w:val="single"/>
        </w:rPr>
      </w:pPr>
      <w:r>
        <w:rPr>
          <w:rFonts w:ascii="Times New Roman;sans-serif" w:hAnsi="Times New Roman;sans-serif"/>
          <w:b/>
          <w:color w:val="010101"/>
          <w:sz w:val="18"/>
          <w:u w:val="single"/>
        </w:rPr>
        <w:t>Exhibit A</w:t>
      </w:r>
    </w:p>
    <w:p>
      <w:pPr>
        <w:pStyle w:val="TextBody"/>
        <w:spacing w:lineRule="auto" w:line="288" w:before="0" w:after="180"/>
        <w:jc w:val="center"/>
        <w:rPr>
          <w:rFonts w:ascii="Times New Roman;sans-serif" w:hAnsi="Times New Roman;sans-serif"/>
          <w:b/>
          <w:i/>
          <w:color w:val="010101"/>
          <w:sz w:val="18"/>
        </w:rPr>
      </w:pPr>
      <w:r>
        <w:rPr>
          <w:rFonts w:ascii="Times New Roman;sans-serif" w:hAnsi="Times New Roman;sans-serif"/>
          <w:b/>
          <w:i/>
          <w:color w:val="010101"/>
          <w:sz w:val="18"/>
        </w:rPr>
        <w:t>to the consulting agreement (the "Agreement') by and between Kaltura Europe Limited (the "Company') and Ron Yekutiel (the "Consultant')</w:t>
      </w:r>
    </w:p>
    <w:p>
      <w:pPr>
        <w:pStyle w:val="TextBody"/>
        <w:spacing w:lineRule="auto" w:line="288" w:before="0" w:after="0"/>
        <w:rPr>
          <w:rFonts w:ascii="Times New Roman;sans-serif" w:hAnsi="Times New Roman;sans-serif"/>
          <w:b/>
          <w:color w:val="010101"/>
          <w:sz w:val="18"/>
          <w:u w:val="single"/>
        </w:rPr>
      </w:pPr>
      <w:r>
        <w:rPr>
          <w:rFonts w:ascii="Times New Roman;sans-serif" w:hAnsi="Times New Roman;sans-serif"/>
          <w:b/>
          <w:color w:val="010101"/>
          <w:sz w:val="18"/>
          <w:u w:val="single"/>
        </w:rPr>
        <w:t>Description of the Services:</w:t>
      </w:r>
    </w:p>
    <w:p>
      <w:pPr>
        <w:pStyle w:val="TextBody"/>
        <w:spacing w:lineRule="auto" w:line="288" w:before="0" w:after="180"/>
        <w:jc w:val="both"/>
        <w:rPr/>
      </w:pPr>
      <w:r>
        <w:rPr>
          <w:rFonts w:ascii="Times New Roman;sans-serif" w:hAnsi="Times New Roman;sans-serif"/>
          <w:b w:val="false"/>
          <w:color w:val="010101"/>
          <w:sz w:val="18"/>
        </w:rPr>
        <w:t xml:space="preserve">The Consultant shall provide the following services (the </w:t>
      </w:r>
      <w:r>
        <w:rPr>
          <w:rFonts w:ascii="Times New Roman;sans-serif" w:hAnsi="Times New Roman;sans-serif"/>
          <w:b/>
          <w:color w:val="010101"/>
          <w:sz w:val="18"/>
        </w:rPr>
        <w:t xml:space="preserve">"Services") </w:t>
      </w:r>
      <w:r>
        <w:rPr>
          <w:rFonts w:ascii="Times New Roman;sans-serif" w:hAnsi="Times New Roman;sans-serif"/>
          <w:b w:val="false"/>
          <w:color w:val="010101"/>
          <w:sz w:val="18"/>
        </w:rPr>
        <w:t>as an independent contractor: corporate and business development services.</w:t>
      </w:r>
    </w:p>
    <w:p>
      <w:pPr>
        <w:pStyle w:val="TextBody"/>
        <w:spacing w:lineRule="auto" w:line="288" w:before="0" w:after="180"/>
        <w:rPr/>
      </w:pPr>
      <w:r>
        <w:rPr>
          <w:rFonts w:ascii="Times New Roman;sans-serif" w:hAnsi="Times New Roman;sans-serif"/>
          <w:b/>
          <w:color w:val="010101"/>
          <w:sz w:val="18"/>
          <w:u w:val="single"/>
        </w:rPr>
        <w:t>Consideration</w:t>
      </w:r>
      <w:r>
        <w:rPr>
          <w:rFonts w:ascii="Times New Roman;sans-serif" w:hAnsi="Times New Roman;sans-serif"/>
          <w:b/>
          <w:color w:val="010101"/>
          <w:sz w:val="18"/>
        </w:rPr>
        <w:t>:</w:t>
      </w:r>
    </w:p>
    <w:p>
      <w:pPr>
        <w:pStyle w:val="TextBody"/>
        <w:spacing w:lineRule="auto" w:line="288" w:before="0" w:after="0"/>
        <w:jc w:val="both"/>
        <w:rPr/>
      </w:pPr>
      <w:r>
        <w:rPr>
          <w:rFonts w:ascii="Times New Roman;sans-serif" w:hAnsi="Times New Roman;sans-serif"/>
          <w:b w:val="false"/>
          <w:color w:val="010101"/>
          <w:sz w:val="18"/>
          <w:u w:val="single"/>
        </w:rPr>
        <w:t>Consulting Fee</w:t>
      </w:r>
      <w:r>
        <w:rPr>
          <w:rFonts w:ascii="Times New Roman;sans-serif" w:hAnsi="Times New Roman;sans-serif"/>
          <w:b w:val="false"/>
          <w:color w:val="010101"/>
          <w:sz w:val="18"/>
        </w:rPr>
        <w:t>: In consideration of the provision of the Services, the Company shall pay the Consultant the following fees in accordance with the terms and conditions of the Agreement:</w:t>
      </w:r>
    </w:p>
    <w:p>
      <w:pPr>
        <w:pStyle w:val="TextBody"/>
        <w:spacing w:lineRule="auto" w:line="288" w:before="0" w:after="0"/>
        <w:jc w:val="both"/>
        <w:rPr/>
      </w:pPr>
      <w:r>
        <w:rPr>
          <w:color w:val="010101"/>
        </w:rPr>
        <w:t>•    </w:t>
      </w:r>
      <w:r>
        <w:rPr>
          <w:rFonts w:ascii="Times New Roman;sans-serif" w:hAnsi="Times New Roman;sans-serif"/>
          <w:b w:val="false"/>
          <w:color w:val="010101"/>
          <w:sz w:val="18"/>
        </w:rPr>
        <w:t xml:space="preserve">For all Services provided during the period commencing on May 1 2014 and ending on April 30, 2015 a one-time payment of GPB £_156,115.18____ exclusive of Value Added Tax (if applicable) (the </w:t>
      </w:r>
      <w:r>
        <w:rPr>
          <w:rFonts w:ascii="Times New Roman;sans-serif" w:hAnsi="Times New Roman;sans-serif"/>
          <w:b/>
          <w:color w:val="010101"/>
          <w:sz w:val="18"/>
        </w:rPr>
        <w:t xml:space="preserve">"Special Consideration"). </w:t>
      </w:r>
      <w:r>
        <w:rPr>
          <w:rFonts w:ascii="Times New Roman;sans-serif" w:hAnsi="Times New Roman;sans-serif"/>
          <w:b w:val="false"/>
          <w:color w:val="010101"/>
          <w:sz w:val="18"/>
        </w:rPr>
        <w:t>The Special Consideration shall be paid to the Consultant within 5 days following the date of the Agreement, subject to of receipt of an invoice submitted in accordance with the terms of the Agreement.</w:t>
      </w:r>
    </w:p>
    <w:p>
      <w:pPr>
        <w:pStyle w:val="TextBody"/>
        <w:spacing w:lineRule="auto" w:line="288" w:before="0" w:after="0"/>
        <w:jc w:val="both"/>
        <w:rPr/>
      </w:pPr>
      <w:r>
        <w:rPr>
          <w:color w:val="010101"/>
        </w:rPr>
        <w:t>•    </w:t>
      </w:r>
      <w:r>
        <w:rPr>
          <w:rFonts w:ascii="Times New Roman;sans-serif" w:hAnsi="Times New Roman;sans-serif"/>
          <w:b w:val="false"/>
          <w:color w:val="010101"/>
          <w:sz w:val="18"/>
        </w:rPr>
        <w:t xml:space="preserve">For all Services to be provided commencing on May 1 2015 and until termination of the Agreement, a monthly fee of GPB£ 6,319 exclusive of Value Added Tax (if applicable) (the </w:t>
      </w:r>
      <w:r>
        <w:rPr>
          <w:rFonts w:ascii="Times New Roman;sans-serif" w:hAnsi="Times New Roman;sans-serif"/>
          <w:b/>
          <w:color w:val="010101"/>
          <w:sz w:val="18"/>
        </w:rPr>
        <w:t xml:space="preserve">"Monthly Fee"). </w:t>
      </w:r>
      <w:r>
        <w:rPr>
          <w:rFonts w:ascii="Times New Roman;sans-serif" w:hAnsi="Times New Roman;sans-serif"/>
          <w:b w:val="false"/>
          <w:color w:val="010101"/>
          <w:sz w:val="18"/>
        </w:rPr>
        <w:t>The Monthly Fee shall be paid to the Consultant within 10 days of receipt of an invoice submitted in accordance with the terms of the Agreement.</w:t>
      </w:r>
    </w:p>
    <w:p>
      <w:pPr>
        <w:pStyle w:val="TextBody"/>
        <w:spacing w:lineRule="auto" w:line="288" w:before="0" w:after="180"/>
        <w:jc w:val="both"/>
        <w:rPr/>
      </w:pPr>
      <w:r>
        <w:rPr>
          <w:color w:val="010101"/>
        </w:rPr>
        <w:t>•    </w:t>
      </w:r>
      <w:r>
        <w:rPr>
          <w:rFonts w:ascii="Times New Roman;sans-serif" w:hAnsi="Times New Roman;sans-serif"/>
          <w:b w:val="false"/>
          <w:color w:val="010101"/>
          <w:sz w:val="18"/>
        </w:rPr>
        <w:t xml:space="preserve">The Monthly Fee set forth above, and the Maximum Yearly Bonus Amount detailed below, is based on a US$- GPB£ exchange rate of GPB £0.65 per one USD (the </w:t>
      </w:r>
      <w:r>
        <w:rPr>
          <w:rFonts w:ascii="Times New Roman;sans-serif" w:hAnsi="Times New Roman;sans-serif"/>
          <w:b/>
          <w:color w:val="010101"/>
          <w:sz w:val="18"/>
        </w:rPr>
        <w:t xml:space="preserve">"Base Rate"). </w:t>
      </w:r>
      <w:r>
        <w:rPr>
          <w:rFonts w:ascii="Times New Roman;sans-serif" w:hAnsi="Times New Roman;sans-serif"/>
          <w:b w:val="false"/>
          <w:color w:val="010101"/>
          <w:sz w:val="18"/>
        </w:rPr>
        <w:t>The Monthly Fee shall be linked to the US Dollar, so that it will maintain the same value in US Dollars per the Base Rate, as defined above.</w:t>
      </w:r>
    </w:p>
    <w:p>
      <w:pPr>
        <w:pStyle w:val="TextBody"/>
        <w:spacing w:lineRule="auto" w:line="288" w:before="0" w:after="180"/>
        <w:jc w:val="both"/>
        <w:rPr/>
      </w:pPr>
      <w:r>
        <w:rPr>
          <w:rFonts w:ascii="Times New Roman;sans-serif" w:hAnsi="Times New Roman;sans-serif"/>
          <w:b w:val="false"/>
          <w:color w:val="010101"/>
          <w:sz w:val="18"/>
          <w:u w:val="single"/>
        </w:rPr>
        <w:t>Bonus:</w:t>
      </w:r>
      <w:r>
        <w:rPr>
          <w:color w:val="010101"/>
        </w:rPr>
        <w:t xml:space="preserve"> </w:t>
      </w:r>
      <w:r>
        <w:rPr>
          <w:rFonts w:ascii="Times New Roman;sans-serif" w:hAnsi="Times New Roman;sans-serif"/>
          <w:b w:val="false"/>
          <w:color w:val="010101"/>
          <w:sz w:val="18"/>
        </w:rPr>
        <w:t xml:space="preserve">Consultant shall be entitled to annual On Target Earnings bonus, under the following terms (the </w:t>
      </w:r>
      <w:r>
        <w:rPr>
          <w:rFonts w:ascii="Times New Roman;sans-serif" w:hAnsi="Times New Roman;sans-serif"/>
          <w:b/>
          <w:color w:val="010101"/>
          <w:sz w:val="18"/>
        </w:rPr>
        <w:t>"Bonus"):</w:t>
      </w:r>
    </w:p>
    <w:p>
      <w:pPr>
        <w:pStyle w:val="TextBody"/>
        <w:spacing w:lineRule="auto" w:line="288" w:before="0" w:after="180"/>
        <w:jc w:val="both"/>
        <w:rPr/>
      </w:pPr>
      <w:r>
        <w:rPr>
          <w:rFonts w:ascii="Times New Roman;sans-serif" w:hAnsi="Times New Roman;sans-serif"/>
          <w:b w:val="false"/>
          <w:color w:val="010101"/>
          <w:sz w:val="18"/>
        </w:rPr>
        <w:t>(1)</w:t>
      </w:r>
      <w:r>
        <w:rPr>
          <w:color w:val="010101"/>
        </w:rPr>
        <w:t>    </w:t>
      </w:r>
      <w:r>
        <w:rPr>
          <w:rFonts w:ascii="Times New Roman;sans-serif" w:hAnsi="Times New Roman;sans-serif"/>
          <w:b w:val="false"/>
          <w:color w:val="010101"/>
          <w:sz w:val="18"/>
        </w:rPr>
        <w:t xml:space="preserve">The maximum amount of the Bonus payment per calendar year (12 months) shall be up to GPB £48,750 (gross) (the </w:t>
      </w:r>
      <w:r>
        <w:rPr>
          <w:rFonts w:ascii="Times New Roman;sans-serif" w:hAnsi="Times New Roman;sans-serif"/>
          <w:b/>
          <w:color w:val="010101"/>
          <w:sz w:val="18"/>
        </w:rPr>
        <w:t>"Maximum Yearly Bonus Amount").</w:t>
      </w:r>
    </w:p>
    <w:p>
      <w:pPr>
        <w:pStyle w:val="TextBody"/>
        <w:spacing w:lineRule="auto" w:line="288" w:before="0" w:after="180"/>
        <w:jc w:val="both"/>
        <w:rPr/>
      </w:pPr>
      <w:r>
        <w:rPr>
          <w:rFonts w:ascii="Times New Roman;sans-serif" w:hAnsi="Times New Roman;sans-serif"/>
          <w:b w:val="false"/>
          <w:color w:val="010101"/>
          <w:sz w:val="18"/>
        </w:rPr>
        <w:t xml:space="preserve">(2)    The entitlement of the Consultant to the Bonus amount with respect to each calendar quarter shall be subject to the achievement and attainment of the goals and objectives set forth in the table attached hereto (the </w:t>
      </w:r>
      <w:r>
        <w:rPr>
          <w:rFonts w:ascii="Times New Roman;sans-serif" w:hAnsi="Times New Roman;sans-serif"/>
          <w:b/>
          <w:color w:val="010101"/>
          <w:sz w:val="18"/>
        </w:rPr>
        <w:t xml:space="preserve">"Qualifying Objectives" </w:t>
      </w:r>
      <w:r>
        <w:rPr>
          <w:rFonts w:ascii="Times New Roman;sans-serif" w:hAnsi="Times New Roman;sans-serif"/>
          <w:b w:val="false"/>
          <w:color w:val="010101"/>
          <w:sz w:val="18"/>
        </w:rPr>
        <w:t xml:space="preserve">and </w:t>
      </w:r>
      <w:r>
        <w:rPr>
          <w:rFonts w:ascii="Times New Roman;sans-serif" w:hAnsi="Times New Roman;sans-serif"/>
          <w:b/>
          <w:color w:val="010101"/>
          <w:sz w:val="18"/>
        </w:rPr>
        <w:t xml:space="preserve">"Bonus Table", </w:t>
      </w:r>
      <w:r>
        <w:rPr>
          <w:rFonts w:ascii="Times New Roman;sans-serif" w:hAnsi="Times New Roman;sans-serif"/>
          <w:b w:val="false"/>
          <w:color w:val="010101"/>
          <w:sz w:val="18"/>
        </w:rPr>
        <w:t>respectively).</w:t>
      </w:r>
    </w:p>
    <w:p>
      <w:pPr>
        <w:pStyle w:val="TextBody"/>
        <w:spacing w:lineRule="auto" w:line="288" w:before="0" w:after="180"/>
        <w:jc w:val="both"/>
        <w:rPr/>
      </w:pPr>
      <w:r>
        <w:rPr>
          <w:rFonts w:ascii="Times New Roman;sans-serif" w:hAnsi="Times New Roman;sans-serif"/>
          <w:b w:val="false"/>
          <w:color w:val="010101"/>
          <w:sz w:val="18"/>
        </w:rPr>
        <w:t xml:space="preserve">(3)    During each calendar month of each calendar year, the Company shall pay the Consultant a monthly amount as further detailed in the Bonus Table attached hereto (the </w:t>
      </w:r>
      <w:r>
        <w:rPr>
          <w:rFonts w:ascii="Times New Roman;sans-serif" w:hAnsi="Times New Roman;sans-serif"/>
          <w:b/>
          <w:color w:val="010101"/>
          <w:sz w:val="18"/>
        </w:rPr>
        <w:t xml:space="preserve">"Monthly Bonus Amount"), </w:t>
      </w:r>
      <w:r>
        <w:rPr>
          <w:rFonts w:ascii="Times New Roman;sans-serif" w:hAnsi="Times New Roman;sans-serif"/>
          <w:b w:val="false"/>
          <w:color w:val="010101"/>
          <w:sz w:val="18"/>
        </w:rPr>
        <w:t>which payments of the Monthly Bonus Amount shall be on account of the applicable Quarterly Bonus Amount (as such term is defined below).</w:t>
      </w:r>
    </w:p>
    <w:p>
      <w:pPr>
        <w:pStyle w:val="TextBody"/>
        <w:spacing w:lineRule="auto" w:line="288" w:before="0" w:after="180"/>
        <w:jc w:val="both"/>
        <w:rPr/>
      </w:pPr>
      <w:r>
        <w:rPr>
          <w:rFonts w:ascii="Times New Roman;sans-serif" w:hAnsi="Times New Roman;sans-serif"/>
          <w:b w:val="false"/>
          <w:color w:val="010101"/>
          <w:sz w:val="18"/>
        </w:rPr>
        <w:t xml:space="preserve">(4)    With respect to each calendar quarter, the Company will assess the achievement and attainment of the Qualifying Objectives, and will calculate the entitlement to the Bonus payment for the applicable calendar quarter as detailed in Section 5 below (the </w:t>
      </w:r>
      <w:r>
        <w:rPr>
          <w:rFonts w:ascii="Times New Roman;sans-serif" w:hAnsi="Times New Roman;sans-serif"/>
          <w:b/>
          <w:color w:val="010101"/>
          <w:sz w:val="18"/>
        </w:rPr>
        <w:t xml:space="preserve">"Quarterly Bonus Amount") </w:t>
      </w:r>
      <w:r>
        <w:rPr>
          <w:rFonts w:ascii="Times New Roman;sans-serif" w:hAnsi="Times New Roman;sans-serif"/>
          <w:b w:val="false"/>
          <w:color w:val="010101"/>
          <w:sz w:val="18"/>
        </w:rPr>
        <w:t>in accordance with the formula set forth in the Bonus Table attached hereto.</w:t>
      </w:r>
    </w:p>
    <w:p>
      <w:pPr>
        <w:pStyle w:val="TextBody"/>
        <w:spacing w:lineRule="auto" w:line="288" w:before="0" w:after="180"/>
        <w:jc w:val="both"/>
        <w:rPr>
          <w:rFonts w:ascii="Times New Roman;sans-serif" w:hAnsi="Times New Roman;sans-serif"/>
          <w:b w:val="false"/>
          <w:color w:val="010101"/>
          <w:sz w:val="18"/>
        </w:rPr>
      </w:pPr>
      <w:r>
        <w:rPr>
          <w:rFonts w:ascii="Times New Roman;sans-serif" w:hAnsi="Times New Roman;sans-serif"/>
          <w:b w:val="false"/>
          <w:color w:val="010101"/>
          <w:sz w:val="18"/>
        </w:rPr>
        <w:t>(5)    The Quarterly Bonus Amounts shall be calculated by the end of the calendar month subsequent to the applicable quarter as follows: (i)</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a.    the Quarterly Bonus Amount for Q1 will be calculated by the end of April of the applicable year,</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b.    the Quarterly Bonus Amount for Q2 will be calculated by the end of July of the applicable year,</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c.    the Quarterly Bonus Amount for Q3 will be calculated by the end of October of the applicable year, and</w:t>
      </w:r>
    </w:p>
    <w:p>
      <w:pPr>
        <w:pStyle w:val="TextBody"/>
        <w:spacing w:lineRule="auto" w:line="288" w:before="0" w:after="180"/>
        <w:ind w:left="0" w:right="0" w:firstLine="720"/>
        <w:jc w:val="both"/>
        <w:rPr>
          <w:rFonts w:ascii="Times New Roman;sans-serif" w:hAnsi="Times New Roman;sans-serif"/>
          <w:b w:val="false"/>
          <w:color w:val="010101"/>
          <w:sz w:val="18"/>
        </w:rPr>
      </w:pPr>
      <w:r>
        <w:rPr>
          <w:rFonts w:ascii="Times New Roman;sans-serif" w:hAnsi="Times New Roman;sans-serif"/>
          <w:b w:val="false"/>
          <w:color w:val="010101"/>
          <w:sz w:val="18"/>
        </w:rPr>
        <w:t>d.    the Quarterly Bonus Amount for Q4 will be calculated by the end of January of the subsequent calendar year.</w:t>
      </w:r>
    </w:p>
    <w:p>
      <w:pPr>
        <w:pStyle w:val="TextBody"/>
        <w:spacing w:lineRule="auto" w:line="288" w:before="0" w:after="180"/>
        <w:jc w:val="both"/>
        <w:rPr>
          <w:rFonts w:ascii="Times New Roman;sans-serif" w:hAnsi="Times New Roman;sans-serif"/>
          <w:b w:val="false"/>
          <w:color w:val="010101"/>
          <w:sz w:val="18"/>
        </w:rPr>
      </w:pPr>
      <w:r>
        <w:rPr>
          <w:rFonts w:ascii="Times New Roman;sans-serif" w:hAnsi="Times New Roman;sans-serif"/>
          <w:b w:val="false"/>
          <w:color w:val="010101"/>
          <w:sz w:val="18"/>
        </w:rPr>
        <w:t>(6)    In the event that the applicable Quarterly Bonus Amount exceeds the aggregate Monthly Bonus Amounts paid during such applicable calendar quarter, then the Consultant shall be entitled to receive such balance of the Quarterly Bonus Amount, which will be paid to you in the subsequent month. In the event that the applicable Quarterly Bonus Amount is lower than the aggregate Monthly Bonus Amounts paid during such applicable quarter, then such shortfall amount will be taken into account and deducted from the Quarterly Bonus Amount payable in the subsequent quarter.</w:t>
      </w:r>
    </w:p>
    <w:p>
      <w:pPr>
        <w:pStyle w:val="TextBody"/>
        <w:spacing w:lineRule="auto" w:line="288" w:before="0" w:after="180"/>
        <w:jc w:val="both"/>
        <w:rPr>
          <w:rFonts w:ascii="Times New Roman;sans-serif" w:hAnsi="Times New Roman;sans-serif"/>
          <w:b w:val="false"/>
          <w:color w:val="010101"/>
          <w:sz w:val="18"/>
        </w:rPr>
      </w:pPr>
      <w:r>
        <w:rPr>
          <w:rFonts w:ascii="Times New Roman;sans-serif" w:hAnsi="Times New Roman;sans-serif"/>
          <w:b w:val="false"/>
          <w:color w:val="010101"/>
          <w:sz w:val="18"/>
        </w:rPr>
        <w:t>(7)    All Bonus payments are stated in gross amounts and are subject to taxes, withholdings, and other required deductions.</w:t>
      </w:r>
      <w:r>
        <w:br w:type="page"/>
      </w:r>
    </w:p>
    <w:p>
      <w:pPr>
        <w:pStyle w:val="TextBody"/>
        <w:spacing w:before="0" w:after="0"/>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73025"/>
                <wp:effectExtent l="0" t="0" r="0" b="0"/>
                <wp:wrapNone/>
                <wp:docPr id="558" name="Frame551"/>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jc w:val="both"/>
        <w:rPr>
          <w:rFonts w:ascii="Times New Roman;sans-serif" w:hAnsi="Times New Roman;sans-serif"/>
          <w:b/>
          <w:color w:val="010101"/>
          <w:sz w:val="18"/>
        </w:rPr>
      </w:pPr>
      <w:r>
        <w:rPr>
          <w:rFonts w:ascii="Times New Roman;sans-serif" w:hAnsi="Times New Roman;sans-serif"/>
          <w:b/>
          <w:color w:val="010101"/>
          <w:sz w:val="18"/>
        </w:rPr>
        <w:t>BY THEIR SIGNATURE BELOW, THE PARTIES ACKNOWLEDGE THAT THE FOREGOING EXHIBIT REFLECTS THE PARTIES' AGREEMENT:</w:t>
      </w:r>
    </w:p>
    <w:tbl>
      <w:tblPr>
        <w:tblW w:w="10205" w:type="dxa"/>
        <w:jc w:val="left"/>
        <w:tblInd w:w="0" w:type="dxa"/>
        <w:tblCellMar>
          <w:top w:w="28" w:type="dxa"/>
          <w:left w:w="28" w:type="dxa"/>
          <w:bottom w:w="28" w:type="dxa"/>
          <w:right w:w="28" w:type="dxa"/>
        </w:tblCellMar>
      </w:tblPr>
      <w:tblGrid>
        <w:gridCol w:w="2559"/>
        <w:gridCol w:w="2254"/>
        <w:gridCol w:w="2263"/>
        <w:gridCol w:w="109"/>
        <w:gridCol w:w="109"/>
        <w:gridCol w:w="109"/>
        <w:gridCol w:w="273"/>
        <w:gridCol w:w="273"/>
        <w:gridCol w:w="275"/>
        <w:gridCol w:w="577"/>
        <w:gridCol w:w="577"/>
        <w:gridCol w:w="827"/>
      </w:tblGrid>
      <w:tr>
        <w:trPr/>
        <w:tc>
          <w:tcPr>
            <w:tcW w:w="2559"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r>
      <w:tr>
        <w:trPr/>
        <w:tc>
          <w:tcPr>
            <w:tcW w:w="707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Executed as a deed by </w:t>
            </w:r>
            <w:r>
              <w:rPr>
                <w:rFonts w:ascii="Times New Roman;sans-serif" w:hAnsi="Times New Roman;sans-serif"/>
                <w:b/>
                <w:i/>
                <w:color w:val="000000"/>
                <w:sz w:val="18"/>
              </w:rPr>
              <w:t xml:space="preserve">Kaltura Europe Limited </w:t>
            </w:r>
            <w:r>
              <w:rPr>
                <w:rFonts w:ascii="Times New Roman;sans-serif" w:hAnsi="Times New Roman;sans-serif"/>
                <w:b w:val="false"/>
                <w:color w:val="000000"/>
                <w:sz w:val="18"/>
              </w:rPr>
              <w:t>acting by Shay David, a director, in the presence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9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Dr. Michal Bur-Shalev</w:t>
            </w:r>
          </w:p>
        </w:tc>
      </w:tr>
      <w:tr>
        <w:trPr/>
        <w:tc>
          <w:tcPr>
            <w:tcW w:w="70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981" w:type="dxa"/>
            <w:gridSpan w:val="3"/>
            <w:tcBorders>
              <w:top w:val="dott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Executed as a deed by </w:t>
            </w:r>
            <w:r>
              <w:rPr>
                <w:rFonts w:ascii="Times New Roman;sans-serif" w:hAnsi="Times New Roman;sans-serif"/>
                <w:b/>
                <w:i/>
                <w:color w:val="000000"/>
                <w:sz w:val="18"/>
              </w:rPr>
              <w:t>Ron Yekutiel</w:t>
            </w:r>
            <w:r>
              <w:rPr>
                <w:rFonts w:ascii="Times New Roman;sans-serif" w:hAnsi="Times New Roman;sans-serif"/>
                <w:b w:val="false"/>
                <w:color w:val="000000"/>
                <w:sz w:val="18"/>
              </w:rPr>
              <w:t>, in the presence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981" w:type="dxa"/>
            <w:gridSpan w:val="3"/>
            <w:tcBorders>
              <w:bottom w:val="dotted"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Ron Yekutiel</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73025"/>
                <wp:effectExtent l="0" t="0" r="0" b="0"/>
                <wp:wrapNone/>
                <wp:docPr id="559" name="Frame552"/>
                <a:graphic xmlns:a="http://schemas.openxmlformats.org/drawingml/2006/main">
                  <a:graphicData uri="http://schemas.microsoft.com/office/word/2010/wordprocessingShape">
                    <wps:wsp>
                      <wps:cNvSpPr txBox="1"/>
                      <wps:spPr>
                        <a:xfrm>
                          <a:off x="0" y="0"/>
                          <a:ext cx="6480175" cy="73025"/>
                        </a:xfrm>
                        <a:prstGeom prst="rect"/>
                      </wps:spPr>
                      <wps:txb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ind w:left="0" w:right="0" w:firstLine="720"/>
        <w:rPr>
          <w:rFonts w:ascii="Times New Roman;sans-serif" w:hAnsi="Times New Roman;sans-serif"/>
          <w:b/>
          <w:color w:val="000000"/>
          <w:sz w:val="24"/>
        </w:rPr>
      </w:pPr>
      <w:r>
        <w:rPr>
          <w:rFonts w:ascii="Times New Roman;sans-serif" w:hAnsi="Times New Roman;sans-serif"/>
          <w:b/>
          <w:color w:val="000000"/>
          <w:sz w:val="24"/>
        </w:rPr>
        <w:t>AMENDMENT TO CONSULTING AGREEMENT (RON YEKUTIEL)</w:t>
      </w:r>
    </w:p>
    <w:p>
      <w:pPr>
        <w:pStyle w:val="TextBody"/>
        <w:spacing w:lineRule="auto" w:line="288" w:before="0" w:after="180"/>
        <w:ind w:left="0" w:right="0" w:firstLine="720"/>
        <w:jc w:val="both"/>
        <w:rPr/>
      </w:pPr>
      <w:r>
        <w:rPr>
          <w:rFonts w:ascii="Times New Roman;sans-serif" w:hAnsi="Times New Roman;sans-serif"/>
          <w:b w:val="false"/>
          <w:color w:val="000000"/>
          <w:sz w:val="24"/>
        </w:rPr>
        <w:t>THIS AMENDMENT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to the consulting agreement (the "Agreement") in effect between Kaltura Europe Limited ("</w:t>
      </w:r>
      <w:r>
        <w:rPr>
          <w:rFonts w:ascii="Times New Roman;sans-serif" w:hAnsi="Times New Roman;sans-serif"/>
          <w:b w:val="false"/>
          <w:color w:val="000000"/>
          <w:sz w:val="24"/>
          <w:u w:val="single"/>
        </w:rPr>
        <w:t>Company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 xml:space="preserve">and Ron Yekutiel ("Consultant") shall be effective as of January 1, 2018 </w:t>
      </w:r>
      <w:r>
        <w:rPr>
          <w:rFonts w:ascii="Times New Roman;sans-serif" w:hAnsi="Times New Roman;sans-serif"/>
          <w:b w:val="false"/>
          <w:color w:val="000000"/>
          <w:sz w:val="24"/>
          <w:u w:val="single"/>
        </w:rPr>
        <w:t>Amendment Effective Date</w:t>
      </w:r>
      <w:r>
        <w:rPr>
          <w:rFonts w:ascii="Times New Roman;sans-serif" w:hAnsi="Times New Roman;sans-serif"/>
          <w:b w:val="false"/>
          <w:color w:val="000000"/>
          <w:sz w:val="24"/>
        </w:rPr>
        <w: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Company and Consultant entered into the Agreement on or about July 1, 2016 (effective as of May 1, 2014); and</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now desire to amend the Agreement as set forth herein.</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these premises and for other good and valuable consideration, the receipt and sufficiency of which are hereby acknowledged, the Parties agree as follows:</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Unless expressly defined herein, capitalized terms shall have the meaning set forth in the Agreement.</w:t>
      </w:r>
    </w:p>
    <w:p>
      <w:pPr>
        <w:pStyle w:val="TextBody"/>
        <w:spacing w:lineRule="auto" w:line="288" w:before="0" w:after="180"/>
        <w:ind w:left="0" w:right="0" w:hanging="720"/>
        <w:jc w:val="both"/>
        <w:rPr/>
      </w:pPr>
      <w:r>
        <w:rPr>
          <w:rFonts w:ascii="Times New Roman;sans-serif" w:hAnsi="Times New Roman;sans-serif"/>
          <w:b w:val="false"/>
          <w:color w:val="000000"/>
          <w:sz w:val="24"/>
        </w:rPr>
        <w:t xml:space="preserve">2.    The following language hereby replaces and supersedes the </w:t>
      </w:r>
      <w:r>
        <w:rPr>
          <w:rFonts w:ascii="Times New Roman;sans-serif" w:hAnsi="Times New Roman;sans-serif"/>
          <w:b/>
          <w:color w:val="000000"/>
          <w:sz w:val="24"/>
        </w:rPr>
        <w:t>"</w:t>
      </w:r>
      <w:r>
        <w:rPr>
          <w:rFonts w:ascii="Times New Roman;sans-serif" w:hAnsi="Times New Roman;sans-serif"/>
          <w:b/>
          <w:color w:val="000000"/>
          <w:sz w:val="24"/>
          <w:u w:val="single"/>
        </w:rPr>
        <w:t>Consideration</w:t>
      </w:r>
      <w:r>
        <w:rPr>
          <w:rFonts w:ascii="Times New Roman;sans-serif" w:hAnsi="Times New Roman;sans-serif"/>
          <w:b/>
          <w:color w:val="000000"/>
          <w:sz w:val="24"/>
        </w:rPr>
        <w:t xml:space="preserve">" </w:t>
      </w:r>
      <w:r>
        <w:rPr>
          <w:rFonts w:ascii="Times New Roman;sans-serif" w:hAnsi="Times New Roman;sans-serif"/>
          <w:b w:val="false"/>
          <w:color w:val="000000"/>
          <w:sz w:val="24"/>
        </w:rPr>
        <w:t>section in Exhibit A</w:t>
      </w:r>
      <w:r>
        <w:rPr>
          <w:color w:val="000000"/>
        </w:rPr>
        <w:t xml:space="preserve"> </w:t>
      </w:r>
      <w:r>
        <w:rPr>
          <w:rFonts w:ascii="Times New Roman;sans-serif" w:hAnsi="Times New Roman;sans-serif"/>
          <w:b w:val="false"/>
          <w:color w:val="000000"/>
          <w:sz w:val="24"/>
        </w:rPr>
        <w:t>the Agreement:</w:t>
      </w:r>
    </w:p>
    <w:p>
      <w:pPr>
        <w:pStyle w:val="TextBody"/>
        <w:spacing w:lineRule="auto" w:line="288" w:before="0" w:after="180"/>
        <w:ind w:left="0" w:right="0" w:firstLine="72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Consulting Fee</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For all Services provided commencing July 1, 2018 and until termination of the Agreement, the applicable Monthly Fee payable by Company to Consultant shall be USD $12,500. The Monthly Fees for the second half of the 2018 calendar year (i.e., July 1, 2018 through December 31, 2018) shall be paid as follows: (a) USD $9,722 shall be payable at the end of each calendar month; and (b) USD $16,668 shall be payable by the end of January 2019. From January 1, 2019 until the termination of the Agreement, the full Monthly Fee (USD $12,500) shall be payable on a monthly basis, within 10 days of Company's receipt of an invoice submitted in accordance with the terms of the Agreement.</w:t>
      </w:r>
    </w:p>
    <w:p>
      <w:pPr>
        <w:pStyle w:val="TextBody"/>
        <w:spacing w:lineRule="auto" w:line="288" w:before="0" w:after="18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Bonus</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The applicable Bonus for the 2018 calendar year, and any subsequent calendar years until the termination of the Agreement, shall be as follows:</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The maximum amount of the Bonus payment per calendar year (12 months) shall be: (a) a maximum Annual Bonus of USD $93,100 (gross); and (b) a maximum Annual Additional Stretch Bonus of USD $22,403 (gross).</w:t>
      </w:r>
    </w:p>
    <w:p>
      <w:pPr>
        <w:pStyle w:val="TextBody"/>
        <w:spacing w:lineRule="auto" w:line="288" w:before="0" w:after="18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 xml:space="preserve">Consultant's entitlement to the Bonus shall be determined, for each </w:t>
      </w:r>
      <w:r>
        <w:rPr>
          <w:rFonts w:ascii="Times New Roman;sans-serif" w:hAnsi="Times New Roman;sans-serif"/>
          <w:b w:val="false"/>
          <w:color w:val="000000"/>
          <w:sz w:val="24"/>
        </w:rPr>
        <w:t>calendar year, on the basis of the attainment of the goals and objectives defined by Company (the ("</w:t>
      </w:r>
      <w:r>
        <w:rPr>
          <w:rFonts w:ascii="Times New Roman;sans-serif" w:hAnsi="Times New Roman;sans-serif"/>
          <w:b w:val="false"/>
          <w:color w:val="000000"/>
          <w:sz w:val="24"/>
          <w:u w:val="single"/>
        </w:rPr>
        <w:t>Qualifying Objectives")</w:t>
      </w:r>
      <w:r>
        <w:rPr>
          <w:rFonts w:ascii="Times New Roman;sans-serif" w:hAnsi="Times New Roman;sans-serif"/>
          <w:b w:val="false"/>
          <w:color w:val="000000"/>
          <w:sz w:val="24"/>
        </w:rPr>
        <w:t>. The</w:t>
      </w:r>
      <w:r>
        <w:rPr>
          <w:color w:val="000000"/>
        </w:rPr>
        <w:t xml:space="preserve"> </w:t>
      </w:r>
      <w:r>
        <w:rPr>
          <w:rFonts w:ascii="Times New Roman;sans-serif" w:hAnsi="Times New Roman;sans-serif"/>
          <w:b w:val="false"/>
          <w:color w:val="000000"/>
          <w:sz w:val="24"/>
        </w:rPr>
        <w:t>Qualifying Objectives for each calendar year shall be those defined and approved by the Kaltura, Inc. Board of Directors. For the 2018 calendar year, the Qualifying Objectives shall be those set forth in Exhibit A hereto.</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60655"/>
                <wp:effectExtent l="0" t="0" r="0" b="0"/>
                <wp:wrapNone/>
                <wp:docPr id="560" name="Frame5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From September 2018 through the end of December 2018, Company shall pay Consultant USD $2,083 per month (i.e., the equivalent of 50% of the pro-rated annual bonus in effect prior to the execution of this contract) on account of the Bonus (the "Monthly Bonus Amount"). Beginning from January 2019, the Monthly Bonus Amount shall increase to a total of USD $5,431 per month (i.e., the equivalent of 70% of the pro-rated Annual Bonus). The Monthly Bonus Amount shall be payable on a monthly basis, within 10 days of Company's receipt of an invoice submitted in accordance with the terms of the Agreement.</w:t>
      </w:r>
    </w:p>
    <w:p>
      <w:pPr>
        <w:pStyle w:val="TextBody"/>
        <w:spacing w:lineRule="auto" w:line="288" w:before="0" w:after="18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d.    At the end of Q2 of each calendar year, and again at the end of the calendar year, Company will assess attainment of the Qualifying Objectives, and will calculate Consultant's entitlement to the Bonus (or any portion thereof). In the event that Annual Bonus and Annual Additional Stretch Bonus attainment amounts exceed the aggregate Monthly Bonus Amounts paid during the applicable calendar year, then Consultant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 year, then such shortfall amount will be taken into account and deducted from Consultant's future Bonus payments. For the avoidance of doubt, for the 2018 calendar year, the difference between the Monthly Bonus Amounts paid in 2018 (inclusive of any monthly amounts paid prior to the execution of this Amendment) and the Annual Bonus and Annual Additional Stretch Bonus attainment calculated at the end of the calendar year shall be paid by the end of March 2019.</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    For the avoidance of doubt, Company shall have exclusive discretion in determining whether or not any Bonus payment is paid to Consultant.</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Except as expressly set forth herein, all terms of the Agreement shall remain in full force and effect. If there is any conflict between the provisions of this Amendment and the provisions of the Agreement, the provisions of this Amendment shall prevail.</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[SIGNATURE PAGE FOLLOWS]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60655"/>
                <wp:effectExtent l="0" t="0" r="0" b="0"/>
                <wp:wrapNone/>
                <wp:docPr id="561" name="Frame5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tbl>
      <w:tblPr>
        <w:tblW w:w="5965" w:type="dxa"/>
        <w:jc w:val="left"/>
        <w:tblInd w:w="0" w:type="dxa"/>
        <w:tblCellMar>
          <w:top w:w="28" w:type="dxa"/>
          <w:left w:w="28" w:type="dxa"/>
          <w:bottom w:w="28" w:type="dxa"/>
          <w:right w:w="28" w:type="dxa"/>
        </w:tblCellMar>
      </w:tblPr>
      <w:tblGrid>
        <w:gridCol w:w="401"/>
        <w:gridCol w:w="353"/>
        <w:gridCol w:w="355"/>
        <w:gridCol w:w="630"/>
        <w:gridCol w:w="630"/>
        <w:gridCol w:w="645"/>
        <w:gridCol w:w="109"/>
        <w:gridCol w:w="109"/>
        <w:gridCol w:w="109"/>
        <w:gridCol w:w="364"/>
        <w:gridCol w:w="364"/>
        <w:gridCol w:w="366"/>
        <w:gridCol w:w="446"/>
        <w:gridCol w:w="446"/>
        <w:gridCol w:w="638"/>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r>
      <w:tr>
        <w:trPr/>
        <w:tc>
          <w:tcPr>
            <w:tcW w:w="301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Kaltura Europe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Ron Yekutiel</w:t>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Signature:</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Signature:</w:t>
            </w:r>
          </w:p>
        </w:tc>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 Ron Yekutiel</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1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Date Signed:</w:t>
            </w:r>
          </w:p>
        </w:tc>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November 5, 2018</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SVP Human Resources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Date Signed:</w:t>
            </w:r>
          </w:p>
        </w:tc>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60655"/>
                <wp:effectExtent l="0" t="0" r="0" b="0"/>
                <wp:wrapNone/>
                <wp:docPr id="562" name="Frame5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4"/>
        </w:rPr>
        <w:t>18.5% of the on-target Annual Bonus shall be based on attainment of the New MRR Booking Goal ($2.163M)</w:t>
      </w:r>
    </w:p>
    <w:p>
      <w:pPr>
        <w:pStyle w:val="TextBody"/>
        <w:spacing w:lineRule="auto" w:line="288" w:before="0" w:after="180"/>
        <w:ind w:left="0" w:right="0" w:hanging="720"/>
        <w:jc w:val="both"/>
        <w:rPr/>
      </w:pPr>
      <w:r>
        <w:rPr>
          <w:rFonts w:ascii="Courier New;monospace" w:hAnsi="Courier New;monospace"/>
          <w:b w:val="false"/>
          <w:color w:val="000000"/>
          <w:sz w:val="24"/>
        </w:rPr>
        <w:t>o    </w:t>
      </w:r>
      <w:r>
        <w:rPr>
          <w:rFonts w:ascii="Times New Roman;sans-serif" w:hAnsi="Times New Roman;sans-serif"/>
          <w:b w:val="false"/>
          <w:color w:val="000000"/>
          <w:sz w:val="24"/>
        </w:rPr>
        <w:t>Linear from 75% to 100% of Annual New MRR Booking Goal; zero under 75% attainment (i.e., under $1.62M new MRR booking). Double rate north of 100% attainment up to a maximum of 150% attainment (which is attained at 125% of the Annual New MRR Booking Goal, i.e., at $2.7038M new MRR booking)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4"/>
        </w:rPr>
        <w:t>18.5% of the on-target Annual Bonus shall be based on attainment of the Average % Gross MRR Churn Goal (-9.8%)</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150% for better than 7.5%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140% for 7.5-8%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130% for 8-8.5%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120% for 8.5-9%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110% for 9-9.5%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100% for 9.5-10%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90% for 10-11%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80% for 11-12%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70% for 12-13%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60% for 13-14%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50% for 14-15% Gross MRR Churn</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No bonus for the churn component if over 15% Gross MRR Churn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4"/>
        </w:rPr>
        <w:t>18.5% of the on-target Annual Bonus shall be based on attainment of the Free Cash Flow Annual Goal (negative $11.546M)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130% for better than ($7.0M)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120% for ($7.0M)    ($8.5M)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110% for ($8.5M)    ($10.0M)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100% for ($10.0M)    ($11.5M)</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60655"/>
                <wp:effectExtent l="0" t="0" r="0" b="0"/>
                <wp:wrapNone/>
                <wp:docPr id="563" name="Frame5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90% for ($11.5M)    ($12.0M)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80% for ($12.0M)    ($12.5M)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70% for ($12.5M)    ($13.0M)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60% for ($13.0M)    ($13.5M)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50% for ($13.5M)    ($14.0M)</w:t>
      </w:r>
    </w:p>
    <w:p>
      <w:pPr>
        <w:pStyle w:val="TextBody"/>
        <w:spacing w:lineRule="auto" w:line="288" w:before="0" w:after="180"/>
        <w:ind w:left="0" w:right="0" w:firstLine="720"/>
        <w:rPr/>
      </w:pPr>
      <w:r>
        <w:rPr>
          <w:rFonts w:ascii="Courier New;monospace" w:hAnsi="Courier New;monospace"/>
          <w:b w:val="false"/>
          <w:color w:val="000000"/>
          <w:sz w:val="24"/>
        </w:rPr>
        <w:t>o    </w:t>
      </w:r>
      <w:r>
        <w:rPr>
          <w:rFonts w:ascii="Times New Roman;sans-serif" w:hAnsi="Times New Roman;sans-serif"/>
          <w:b w:val="false"/>
          <w:color w:val="000000"/>
          <w:sz w:val="24"/>
        </w:rPr>
        <w:t>0% under ($14.0M)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4"/>
        </w:rPr>
        <w:t>44.5% of the on-target Annual Bonus shall be based on the attainement of OKRs defined by Company (no attainment beyond 100%)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60655"/>
                <wp:effectExtent l="0" t="0" r="0" b="0"/>
                <wp:wrapNone/>
                <wp:docPr id="564" name="Frame5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AMENDMENT TO CONSULTING AGREEMENT (RON YEKUTIEL)</w:t>
      </w:r>
    </w:p>
    <w:p>
      <w:pPr>
        <w:pStyle w:val="TextBody"/>
        <w:spacing w:lineRule="auto" w:line="288" w:before="0" w:after="180"/>
        <w:ind w:left="0" w:right="0" w:firstLine="720"/>
        <w:jc w:val="both"/>
        <w:rPr/>
      </w:pPr>
      <w:r>
        <w:rPr>
          <w:rFonts w:ascii="Times New Roman;sans-serif" w:hAnsi="Times New Roman;sans-serif"/>
          <w:b w:val="false"/>
          <w:color w:val="000000"/>
          <w:sz w:val="24"/>
        </w:rPr>
        <w:t>THIS AMENDMENT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to the consulting Agreement (the "Agreement") in effect between Kaltura Europe Limited ("</w:t>
      </w:r>
      <w:r>
        <w:rPr>
          <w:rFonts w:ascii="Times New Roman;sans-serif" w:hAnsi="Times New Roman;sans-serif"/>
          <w:b w:val="false"/>
          <w:color w:val="000000"/>
          <w:sz w:val="24"/>
          <w:u w:val="single"/>
        </w:rPr>
        <w:t>Company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4"/>
        </w:rPr>
        <w:t xml:space="preserve">and Ron Yekutiel ("Consultant") shall be effective as of January 1, 2018 </w:t>
      </w:r>
      <w:r>
        <w:rPr>
          <w:rFonts w:ascii="Times New Roman;sans-serif" w:hAnsi="Times New Roman;sans-serif"/>
          <w:b w:val="false"/>
          <w:color w:val="000000"/>
          <w:sz w:val="24"/>
          <w:u w:val="single"/>
        </w:rPr>
        <w:t>Amendment Effective Date</w:t>
      </w:r>
      <w:r>
        <w:rPr>
          <w:rFonts w:ascii="Times New Roman;sans-serif" w:hAnsi="Times New Roman;sans-serif"/>
          <w:b w:val="false"/>
          <w:color w:val="000000"/>
          <w:sz w:val="24"/>
        </w:rPr>
        <w: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Company and Consultant entered into the Agreement on or about July 1, 2016 (effective as of May 1, 2014); and</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now desire to amend the Agreement as set forth herein.</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these premises and for other good and valuable consideration, the receipt and sufficiency of which are hereby acknowledged, the Parties agree as follows:</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Unless expressly defined herein, capitalized terms shall have the meaning set forth in the Agreement.</w:t>
      </w:r>
    </w:p>
    <w:p>
      <w:pPr>
        <w:pStyle w:val="TextBody"/>
        <w:spacing w:lineRule="auto" w:line="288" w:before="0" w:after="180"/>
        <w:ind w:left="0" w:right="0" w:hanging="720"/>
        <w:jc w:val="both"/>
        <w:rPr/>
      </w:pPr>
      <w:r>
        <w:rPr>
          <w:rFonts w:ascii="Times New Roman;sans-serif" w:hAnsi="Times New Roman;sans-serif"/>
          <w:b w:val="false"/>
          <w:color w:val="000000"/>
          <w:sz w:val="24"/>
        </w:rPr>
        <w:t xml:space="preserve">2.    The following language hereby replaces and supersedes the </w:t>
      </w:r>
      <w:r>
        <w:rPr>
          <w:rFonts w:ascii="Times New Roman;sans-serif" w:hAnsi="Times New Roman;sans-serif"/>
          <w:b/>
          <w:color w:val="000000"/>
          <w:sz w:val="24"/>
        </w:rPr>
        <w:t>"</w:t>
      </w:r>
      <w:r>
        <w:rPr>
          <w:rFonts w:ascii="Times New Roman;sans-serif" w:hAnsi="Times New Roman;sans-serif"/>
          <w:b/>
          <w:color w:val="000000"/>
          <w:sz w:val="24"/>
          <w:u w:val="single"/>
        </w:rPr>
        <w:t>Consideration</w:t>
      </w:r>
      <w:r>
        <w:rPr>
          <w:rFonts w:ascii="Times New Roman;sans-serif" w:hAnsi="Times New Roman;sans-serif"/>
          <w:b/>
          <w:color w:val="000000"/>
          <w:sz w:val="24"/>
        </w:rPr>
        <w:t xml:space="preserve">" </w:t>
      </w:r>
      <w:r>
        <w:rPr>
          <w:rFonts w:ascii="Times New Roman;sans-serif" w:hAnsi="Times New Roman;sans-serif"/>
          <w:b w:val="false"/>
          <w:color w:val="000000"/>
          <w:sz w:val="24"/>
        </w:rPr>
        <w:t>section in Exhibit A</w:t>
      </w:r>
      <w:r>
        <w:rPr>
          <w:color w:val="000000"/>
        </w:rPr>
        <w:t xml:space="preserve"> </w:t>
      </w:r>
      <w:r>
        <w:rPr>
          <w:rFonts w:ascii="Times New Roman;sans-serif" w:hAnsi="Times New Roman;sans-serif"/>
          <w:b w:val="false"/>
          <w:color w:val="000000"/>
          <w:sz w:val="24"/>
        </w:rPr>
        <w:t xml:space="preserve">the Agreement: </w:t>
      </w:r>
    </w:p>
    <w:p>
      <w:pPr>
        <w:pStyle w:val="TextBody"/>
        <w:spacing w:lineRule="auto" w:line="288" w:before="0" w:after="180"/>
        <w:ind w:left="0" w:right="0" w:firstLine="72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Consulting Fee</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From January 1, 2020 until the termination of the Agreement, the full Monthly Fee shall be $13,750.00 and such fee shall be payable on a monthly basis, within 10 days of Company's receipt of an invoice submitted in accordance with the terms of the Agreement. </w:t>
      </w:r>
    </w:p>
    <w:p>
      <w:pPr>
        <w:pStyle w:val="TextBody"/>
        <w:spacing w:lineRule="auto" w:line="288" w:before="0" w:after="180"/>
        <w:rPr/>
      </w:pPr>
      <w:r>
        <w:rPr>
          <w:rFonts w:ascii="Times New Roman;sans-serif" w:hAnsi="Times New Roman;sans-serif"/>
          <w:b w:val="false"/>
          <w:color w:val="000000"/>
          <w:sz w:val="24"/>
          <w:u w:val="single"/>
        </w:rPr>
        <w:t>Bonus</w:t>
      </w:r>
      <w:r>
        <w:rPr>
          <w:color w:val="000000"/>
        </w:rPr>
        <w:t xml:space="preserve">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The applicable Bonus for the 2020 calendar year, and any subsequent calendar years until the termination of the Agreement, shall be as follows:</w:t>
      </w:r>
    </w:p>
    <w:p>
      <w:pPr>
        <w:pStyle w:val="TextBody"/>
        <w:spacing w:lineRule="auto" w:line="288" w:before="0" w:after="180"/>
        <w:ind w:left="0" w:right="0" w:hanging="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4"/>
        </w:rPr>
        <w:t>The maximum amount of the Bonus payment per calendar year (12 months) shall be: (a) a maximum Annual Bonus of USD $102,440.00; and (b) a maximum Annual Additional Stretch Bonus of USD $24,657.00.</w:t>
      </w:r>
    </w:p>
    <w:p>
      <w:pPr>
        <w:pStyle w:val="TextBody"/>
        <w:spacing w:lineRule="auto" w:line="288" w:before="0" w:after="18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Consultant's entitlement to the Bonus shall be determined, for each</w:t>
      </w:r>
      <w:r>
        <w:rPr>
          <w:color w:val="000000"/>
        </w:rPr>
        <w:t xml:space="preserve"> </w:t>
      </w:r>
      <w:r>
        <w:rPr>
          <w:rFonts w:ascii="Times New Roman;sans-serif" w:hAnsi="Times New Roman;sans-serif"/>
          <w:b w:val="false"/>
          <w:color w:val="000000"/>
          <w:sz w:val="24"/>
        </w:rPr>
        <w:t>calendar year, on the basis of the attainment of the goals and objectives defined by Company (the "</w:t>
      </w:r>
      <w:r>
        <w:rPr>
          <w:rFonts w:ascii="Times New Roman;sans-serif" w:hAnsi="Times New Roman;sans-serif"/>
          <w:b w:val="false"/>
          <w:color w:val="000000"/>
          <w:sz w:val="24"/>
          <w:u w:val="single"/>
        </w:rPr>
        <w:t>Qualifying Objectives</w:t>
      </w:r>
      <w:r>
        <w:rPr>
          <w:rFonts w:ascii="Times New Roman;sans-serif" w:hAnsi="Times New Roman;sans-serif"/>
          <w:b w:val="false"/>
          <w:color w:val="000000"/>
          <w:sz w:val="24"/>
        </w:rPr>
        <w:t>"). For the 2020 calendar year, the Qualifying Objectives shall be those determined and approved by the Compensation Committee of the Kaltura, Inc. Board of Directors in February 2020.</w:t>
      </w:r>
    </w:p>
    <w:p>
      <w:pPr>
        <w:pStyle w:val="TextBody"/>
        <w:spacing w:lineRule="auto" w:line="288" w:before="0" w:after="180"/>
        <w:ind w:left="0" w:right="0" w:hanging="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4"/>
        </w:rPr>
        <w:t>Beginning from January 1, 2020, Company shall pay Consultant USD $5,976.00 per month (i.e., the equivalent of 70% of the pro- rated Annual Bonus) on account of the Bonus (the "</w:t>
      </w:r>
      <w:r>
        <w:rPr>
          <w:rFonts w:ascii="Times New Roman;sans-serif" w:hAnsi="Times New Roman;sans-serif"/>
          <w:b w:val="false"/>
          <w:color w:val="000000"/>
          <w:sz w:val="24"/>
          <w:u w:val="single"/>
        </w:rPr>
        <w:t>Monthly Bonus Amount</w:t>
      </w:r>
      <w:r>
        <w:rPr>
          <w:rFonts w:ascii="Times New Roman;sans-serif" w:hAnsi="Times New Roman;sans-serif"/>
          <w:b w:val="false"/>
          <w:color w:val="000000"/>
          <w:sz w:val="24"/>
        </w:rPr>
        <w:t xml:space="preserve">"). The Monthly Bonus Amount shall be payable on a monthly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60655"/>
                <wp:effectExtent l="0" t="0" r="0" b="0"/>
                <wp:wrapNone/>
                <wp:docPr id="565" name="Frame5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4"/>
        </w:rPr>
        <w:t xml:space="preserve">basis, within 10 days of Company's receipt of an </w:t>
      </w:r>
      <w:r>
        <w:rPr>
          <w:rFonts w:ascii="Times New Roman;sans-serif" w:hAnsi="Times New Roman;sans-serif"/>
          <w:b w:val="false"/>
          <w:color w:val="000000"/>
          <w:sz w:val="22"/>
        </w:rPr>
        <w:t>in</w:t>
      </w:r>
      <w:r>
        <w:rPr>
          <w:rFonts w:ascii="Times New Roman;sans-serif" w:hAnsi="Times New Roman;sans-serif"/>
          <w:b w:val="false"/>
          <w:color w:val="000000"/>
          <w:sz w:val="24"/>
        </w:rPr>
        <w:t>voice submitted in accordance with the terms of the Agreement.</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For the avoidance of doubt, Company shall have exclusive discretion in determining whether or not any Bonus payment is paid to Consultant.</w:t>
      </w:r>
    </w:p>
    <w:p>
      <w:pPr>
        <w:pStyle w:val="TextBody"/>
        <w:spacing w:lineRule="auto" w:line="288" w:before="0" w:after="18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Except as expressly set forth herein, all terms of the Agreement shall remain in full force and effect. If there is any conflict between the provisions of this Amendment and the provisions of the Agreement, the provisions of this Amendment shall prevail.</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w:t>
      </w:r>
    </w:p>
    <w:tbl>
      <w:tblPr>
        <w:tblW w:w="6459" w:type="dxa"/>
        <w:jc w:val="left"/>
        <w:tblInd w:w="0" w:type="dxa"/>
        <w:tblCellMar>
          <w:top w:w="28" w:type="dxa"/>
          <w:left w:w="28" w:type="dxa"/>
          <w:bottom w:w="28" w:type="dxa"/>
          <w:right w:w="28" w:type="dxa"/>
        </w:tblCellMar>
      </w:tblPr>
      <w:tblGrid>
        <w:gridCol w:w="401"/>
        <w:gridCol w:w="353"/>
        <w:gridCol w:w="355"/>
        <w:gridCol w:w="843"/>
        <w:gridCol w:w="843"/>
        <w:gridCol w:w="864"/>
        <w:gridCol w:w="109"/>
        <w:gridCol w:w="109"/>
        <w:gridCol w:w="109"/>
        <w:gridCol w:w="364"/>
        <w:gridCol w:w="364"/>
        <w:gridCol w:w="366"/>
        <w:gridCol w:w="402"/>
        <w:gridCol w:w="402"/>
        <w:gridCol w:w="575"/>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r>
      <w:tr>
        <w:trPr/>
        <w:tc>
          <w:tcPr>
            <w:tcW w:w="365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Kaltura Europe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Ron Yekutiel</w:t>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Signature:</w:t>
            </w:r>
          </w:p>
        </w:tc>
        <w:tc>
          <w:tcPr>
            <w:tcW w:w="25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Signature:</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 Ron Yekutiel</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2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Date Signed:</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21, 2020</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25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Chief Human Resources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Date Signed:</w:t>
            </w:r>
          </w:p>
        </w:tc>
        <w:tc>
          <w:tcPr>
            <w:tcW w:w="25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20,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60655"/>
                <wp:effectExtent l="0" t="0" r="0" b="0"/>
                <wp:wrapNone/>
                <wp:docPr id="566" name="Frame5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CONFIDENTIAL</w:t>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AMENDMENT TO CONSULTING AGREEMENT (RON YEKUTIEL)</w:t>
      </w:r>
    </w:p>
    <w:p>
      <w:pPr>
        <w:pStyle w:val="TextBody"/>
        <w:spacing w:lineRule="auto" w:line="288" w:before="0" w:after="240"/>
        <w:ind w:left="0" w:right="0" w:firstLine="720"/>
        <w:jc w:val="both"/>
        <w:rPr/>
      </w:pPr>
      <w:r>
        <w:rPr>
          <w:rFonts w:ascii="Times New Roman;sans-serif" w:hAnsi="Times New Roman;sans-serif"/>
          <w:b w:val="false"/>
          <w:color w:val="000000"/>
          <w:sz w:val="24"/>
        </w:rPr>
        <w:t>THIS AMENDMENT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the consulting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in effect between Kaltura Europe Limited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Ron Yekutiel (“</w:t>
      </w:r>
      <w:r>
        <w:rPr>
          <w:rFonts w:ascii="Times New Roman;sans-serif" w:hAnsi="Times New Roman;sans-serif"/>
          <w:b w:val="false"/>
          <w:color w:val="000000"/>
          <w:sz w:val="24"/>
          <w:u w:val="single"/>
        </w:rPr>
        <w:t>Consultant</w:t>
      </w:r>
      <w:r>
        <w:rPr>
          <w:color w:val="000000"/>
        </w:rPr>
        <w:t>”</w:t>
      </w:r>
      <w:r>
        <w:rPr>
          <w:rFonts w:ascii="Times New Roman;sans-serif" w:hAnsi="Times New Roman;sans-serif"/>
          <w:b w:val="false"/>
          <w:color w:val="000000"/>
          <w:sz w:val="24"/>
        </w:rPr>
        <w:t>) shall be effective as of January 1, 2021 (the “</w:t>
      </w:r>
      <w:r>
        <w:rPr>
          <w:rFonts w:ascii="Times New Roman;sans-serif" w:hAnsi="Times New Roman;sans-serif"/>
          <w:b w:val="false"/>
          <w:color w:val="000000"/>
          <w:sz w:val="24"/>
          <w:u w:val="single"/>
        </w:rPr>
        <w:t>Amendment Effective Date</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Company and Consultant entered into the Agreement effective as of May 1, 2014; and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parties now desire to amend the Agreement as set forth herein.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in consideration of these premises and for other good and valuable consideration, the receipt and sufficiency of which are hereby acknowledged, the Parties agree as follows: </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1.Unless expressly defined herein, capitalized terms shall have the meaning set forth in the Agreement. </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2.Exhibit A of the Agreement is hereby stricken in its entirety and replaced with the following:</w:t>
      </w:r>
    </w:p>
    <w:p>
      <w:pPr>
        <w:pStyle w:val="TextBody"/>
        <w:spacing w:lineRule="auto" w:line="288"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Consulting Fee</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all Services provided commencing January 1, 2021 and until termination of the Agreement, the applicable Monthly Fee payable by Company to Consultant shall be USD $15,088, which fee shall be payable on a monthly basis, within 10 days of Company’s receipt of an invoice submitted in accordance with the terms of the Agreement. </w:t>
      </w:r>
    </w:p>
    <w:p>
      <w:pPr>
        <w:pStyle w:val="TextBody"/>
        <w:spacing w:lineRule="auto" w:line="288"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Bonus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applicable Bonus for the 2021 calendar year, and any subsequent calendar years until the termination of the Agreement, shall be as follows:</w:t>
      </w:r>
    </w:p>
    <w:p>
      <w:pPr>
        <w:pStyle w:val="TextBody"/>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maximum amount of the Bonus payment per calendar year (12 months) shall be: (a) a maximum Annual Bonus of USD $ 131,607 (gross); and (b) a maximum Annual Stretch Bonus of USD $ 42,900 (gross). </w:t>
      </w:r>
    </w:p>
    <w:p>
      <w:pPr>
        <w:pStyle w:val="TextBody"/>
        <w:spacing w:lineRule="auto" w:line="288" w:before="0" w:after="240"/>
        <w:jc w:val="both"/>
        <w:rPr/>
      </w:pPr>
      <w:r>
        <w:rPr>
          <w:rFonts w:ascii="Times New Roman;sans-serif" w:hAnsi="Times New Roman;sans-serif"/>
          <w:b w:val="false"/>
          <w:color w:val="000000"/>
          <w:sz w:val="24"/>
        </w:rPr>
        <w:t>Consultant’s entitlement to the Bonus shall be determined, for each calendar year, on the basis of the attainment of certain financial and operational metrics set by Kaltura Inc.’s board of directors (the “</w:t>
      </w:r>
      <w:r>
        <w:rPr>
          <w:rFonts w:ascii="Times New Roman;sans-serif" w:hAnsi="Times New Roman;sans-serif"/>
          <w:b w:val="false"/>
          <w:color w:val="000000"/>
          <w:sz w:val="24"/>
          <w:u w:val="single"/>
        </w:rPr>
        <w:t>Qualifying Objectives</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hanging="360"/>
        <w:jc w:val="both"/>
        <w:rPr/>
      </w:pPr>
      <w:r>
        <w:rPr>
          <w:rFonts w:ascii="Times New Roman;sans-serif" w:hAnsi="Times New Roman;sans-serif"/>
          <w:b w:val="false"/>
          <w:color w:val="000000"/>
          <w:sz w:val="24"/>
        </w:rPr>
        <w:t>b.From January 2021 through the end of December 2021, Company shall pay Consultant USD $ 7,677 per month on account of the Bonus (the “</w:t>
      </w:r>
      <w:r>
        <w:rPr>
          <w:rFonts w:ascii="Times New Roman;sans-serif" w:hAnsi="Times New Roman;sans-serif"/>
          <w:b w:val="false"/>
          <w:color w:val="000000"/>
          <w:sz w:val="24"/>
          <w:u w:val="single"/>
        </w:rPr>
        <w:t>Monthly Bonus Amount</w:t>
      </w:r>
      <w:r>
        <w:rPr>
          <w:color w:val="000000"/>
        </w:rPr>
        <w:t>”</w:t>
      </w:r>
      <w:r>
        <w:rPr>
          <w:rFonts w:ascii="Times New Roman;sans-serif" w:hAnsi="Times New Roman;sans-serif"/>
          <w:b w:val="false"/>
          <w:color w:val="000000"/>
          <w:sz w:val="24"/>
        </w:rPr>
        <w:t xml:space="preserve">). The Monthly Bonus Amount shall be payable on 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78435"/>
                <wp:effectExtent l="0" t="0" r="0" b="0"/>
                <wp:wrapNone/>
                <wp:docPr id="567" name="Frame560"/>
                <a:graphic xmlns:a="http://schemas.openxmlformats.org/drawingml/2006/main">
                  <a:graphicData uri="http://schemas.microsoft.com/office/word/2010/wordprocessingShape">
                    <wps:wsp>
                      <wps:cNvSpPr txBox="1"/>
                      <wps:spPr>
                        <a:xfrm>
                          <a:off x="0" y="0"/>
                          <a:ext cx="6480175" cy="178435"/>
                        </a:xfrm>
                        <a:prstGeom prst="rect"/>
                      </wps:spPr>
                      <wps:txbx>
                        <w:txbxContent>
                          <w:p>
                            <w:pPr>
                              <w:pStyle w:val="TextBody"/>
                              <w:spacing w:lineRule="auto" w:line="288" w:before="0" w:after="0"/>
                              <w:jc w:val="right"/>
                              <w:rPr>
                                <w:rFonts w:ascii="Cambria;sans-serif" w:hAnsi="Cambria;sans-serif"/>
                                <w:b w:val="false"/>
                                <w:color w:val="000000"/>
                                <w:sz w:val="24"/>
                              </w:rPr>
                            </w:pPr>
                            <w:r>
                              <w:rPr>
                                <w:rFonts w:ascii="Cambria;sans-serif" w:hAnsi="Cambria;sans-serif"/>
                                <w:b w:val="false"/>
                                <w:color w:val="000000"/>
                                <w:sz w:val="24"/>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Cambria;sans-serif" w:hAnsi="Cambria;sans-serif"/>
                          <w:b w:val="false"/>
                          <w:color w:val="000000"/>
                          <w:sz w:val="24"/>
                        </w:rPr>
                      </w:pPr>
                      <w:r>
                        <w:rPr>
                          <w:rFonts w:ascii="Cambria;sans-serif" w:hAnsi="Cambria;sans-serif"/>
                          <w:b w:val="false"/>
                          <w:color w:val="000000"/>
                          <w:sz w:val="24"/>
                        </w:rPr>
                        <w:t>CONFIDENTIAL</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monthly basis, within 10 days of Company’s receipt of an invoice submitted in accordance with the terms of the Agreement. </w:t>
      </w:r>
    </w:p>
    <w:p>
      <w:pPr>
        <w:pStyle w:val="TextBody"/>
        <w:spacing w:lineRule="auto" w:line="288" w:before="0" w:after="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 xml:space="preserve">c.In the event that the applicable Annual Bonus and Annual Additional Stretch Bonus attainment exceed the aggregate Monthly Bonus Amounts paid during such applicable calendar year, then Consultant shall be entitled to receive the balance, which will be paid in March of the subsequent year. In the event that the applicable Annual Bonus and Annual Additional Stretch Bonus amounts are lower than the aggregate Monthly Bonus Amounts paid during such applicable calendar year, then such shortfall amount will be taken into account and deducted from Consultant’s future payments. </w:t>
      </w:r>
    </w:p>
    <w:p>
      <w:pPr>
        <w:pStyle w:val="TextBody"/>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d.For the avoidance of doubt, Company shall have exclusive discretion in determining whether or not any Bonus payment is paid to Consultant. </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3.Except as expressly set forth herein, all terms of the Agreement shall remain in full force and effect. If there is any conflict between the provisions of this Amendment and the provisions of the Agreement, the provisions of this Amendment shall prevail. </w:t>
      </w:r>
    </w:p>
    <w:p>
      <w:pPr>
        <w:pStyle w:val="TextBody"/>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undersigned represents and warrants that he or she is duly authorized to sign this Amendment on behalf of the party he or she represents. Each party has read, understands, and agrees to the terms of this Amendment. This Amendment may be executed in counterparts, each of which shall be an original and all of which, when taken together, shall constitute one and the same instrument. </w:t>
      </w:r>
    </w:p>
    <w:tbl>
      <w:tblPr>
        <w:tblW w:w="6476" w:type="dxa"/>
        <w:jc w:val="left"/>
        <w:tblInd w:w="0" w:type="dxa"/>
        <w:tblCellMar>
          <w:top w:w="28" w:type="dxa"/>
          <w:left w:w="28" w:type="dxa"/>
          <w:bottom w:w="28" w:type="dxa"/>
          <w:right w:w="28" w:type="dxa"/>
        </w:tblCellMar>
      </w:tblPr>
      <w:tblGrid>
        <w:gridCol w:w="429"/>
        <w:gridCol w:w="378"/>
        <w:gridCol w:w="378"/>
        <w:gridCol w:w="657"/>
        <w:gridCol w:w="657"/>
        <w:gridCol w:w="666"/>
        <w:gridCol w:w="109"/>
        <w:gridCol w:w="109"/>
        <w:gridCol w:w="109"/>
        <w:gridCol w:w="395"/>
        <w:gridCol w:w="395"/>
        <w:gridCol w:w="397"/>
        <w:gridCol w:w="520"/>
        <w:gridCol w:w="520"/>
        <w:gridCol w:w="757"/>
      </w:tblGrid>
      <w:tr>
        <w:trPr/>
        <w:tc>
          <w:tcPr>
            <w:tcW w:w="42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r>
      <w:tr>
        <w:trPr/>
        <w:tc>
          <w:tcPr>
            <w:tcW w:w="31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Kaltura Europe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Ron Yekutiel</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w:t>
            </w:r>
          </w:p>
        </w:tc>
        <w:tc>
          <w:tcPr>
            <w:tcW w:w="1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/s/ 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w:t>
            </w:r>
          </w:p>
        </w:tc>
        <w:tc>
          <w:tcPr>
            <w:tcW w:w="1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/s/ Ron Yekutiel</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Name:</w:t>
            </w:r>
          </w:p>
        </w:tc>
        <w:tc>
          <w:tcPr>
            <w:tcW w:w="1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Yaron Garmazl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Date Signed: March 7, 2021</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Title:</w:t>
            </w:r>
          </w:p>
        </w:tc>
        <w:tc>
          <w:tcPr>
            <w:tcW w:w="1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CFO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Date Signed: March 7,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16"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10.14</w:t>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78435"/>
                <wp:effectExtent l="0" t="0" r="0" b="0"/>
                <wp:wrapNone/>
                <wp:docPr id="568" name="Frame561"/>
                <a:graphic xmlns:a="http://schemas.openxmlformats.org/drawingml/2006/main">
                  <a:graphicData uri="http://schemas.microsoft.com/office/word/2010/wordprocessingShape">
                    <wps:wsp>
                      <wps:cNvSpPr txBox="1"/>
                      <wps:spPr>
                        <a:xfrm>
                          <a:off x="0" y="0"/>
                          <a:ext cx="6480175" cy="178435"/>
                        </a:xfrm>
                        <a:prstGeom prst="rect"/>
                      </wps:spPr>
                      <wps:txbx>
                        <w:txbxContent>
                          <w:p>
                            <w:pPr>
                              <w:pStyle w:val="TextBody"/>
                              <w:spacing w:lineRule="auto" w:line="288" w:before="0" w:after="0"/>
                              <w:jc w:val="right"/>
                              <w:rPr>
                                <w:rFonts w:ascii="Cambria;sans-serif" w:hAnsi="Cambria;sans-serif"/>
                                <w:b w:val="false"/>
                                <w:color w:val="000000"/>
                                <w:sz w:val="24"/>
                              </w:rPr>
                            </w:pPr>
                            <w:r>
                              <w:rPr>
                                <w:rFonts w:ascii="Cambria;sans-serif" w:hAnsi="Cambria;sans-serif"/>
                                <w:b w:val="false"/>
                                <w:color w:val="000000"/>
                                <w:sz w:val="24"/>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right"/>
                        <w:rPr>
                          <w:rFonts w:ascii="Cambria;sans-serif" w:hAnsi="Cambria;sans-serif"/>
                          <w:b w:val="false"/>
                          <w:color w:val="000000"/>
                          <w:sz w:val="24"/>
                        </w:rPr>
                      </w:pPr>
                      <w:r>
                        <w:rPr>
                          <w:rFonts w:ascii="Cambria;sans-serif" w:hAnsi="Cambria;sans-serif"/>
                          <w:b w:val="false"/>
                          <w:color w:val="000000"/>
                          <w:sz w:val="24"/>
                        </w:rPr>
                        <w:t>CONFIDENTIAL</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8" descr=""/>
                    <pic:cNvPicPr>
                      <a:picLocks noChangeAspect="1" noChangeArrowheads="1"/>
                    </pic:cNvPicPr>
                  </pic:nvPicPr>
                  <pic:blipFill>
                    <a:blip r:embed="rId35"/>
                    <a:stretch>
                      <a:fillRect/>
                    </a:stretch>
                  </pic:blipFill>
                  <pic:spPr bwMode="auto">
                    <a:xfrm>
                      <a:off x="0" y="0"/>
                      <a:ext cx="428625" cy="523875"/>
                    </a:xfrm>
                    <a:prstGeom prst="rect">
                      <a:avLst/>
                    </a:prstGeom>
                  </pic:spPr>
                </pic:pic>
              </a:graphicData>
            </a:graphic>
          </wp:inline>
        </w:drawing>
      </w:r>
    </w:p>
    <w:p>
      <w:pPr>
        <w:pStyle w:val="TextBody"/>
        <w:spacing w:lineRule="auto" w:line="16"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EMPLOYMENT AGREEMENT</w:t>
      </w:r>
    </w:p>
    <w:p>
      <w:pPr>
        <w:pStyle w:val="TextBody"/>
        <w:spacing w:lineRule="auto" w:line="288" w:before="0" w:after="180"/>
        <w:rPr/>
      </w:pPr>
      <w:r>
        <w:rPr>
          <w:rFonts w:ascii="Times New Roman;sans-serif" w:hAnsi="Times New Roman;sans-serif"/>
          <w:b/>
          <w:color w:val="000000"/>
          <w:sz w:val="18"/>
        </w:rPr>
        <w:t>This Employment Agreement (the "Employment Agreement")</w:t>
      </w:r>
      <w:r>
        <w:rPr>
          <w:color w:val="000000"/>
        </w:rPr>
        <w:t xml:space="preserve"> </w:t>
      </w:r>
      <w:r>
        <w:rPr>
          <w:rFonts w:ascii="Times New Roman;sans-serif" w:hAnsi="Times New Roman;sans-serif"/>
          <w:b w:val="false"/>
          <w:color w:val="000000"/>
          <w:sz w:val="18"/>
        </w:rPr>
        <w:t xml:space="preserve">is made as of June 18 2017 by and between Kaltura Ltd., Company Number 5-1391737-7, an Israeli company, having its principal place of business at 2 Shoham St. Ramat Gan, Israel (the </w:t>
      </w:r>
      <w:r>
        <w:rPr>
          <w:rFonts w:ascii="Times New Roman;sans-serif" w:hAnsi="Times New Roman;sans-serif"/>
          <w:b w:val="false"/>
          <w:i/>
          <w:color w:val="000000"/>
          <w:sz w:val="18"/>
        </w:rPr>
        <w:t>"</w:t>
      </w:r>
      <w:r>
        <w:rPr>
          <w:rFonts w:ascii="Times New Roman;sans-serif" w:hAnsi="Times New Roman;sans-serif"/>
          <w:b/>
          <w:i/>
          <w:color w:val="000000"/>
          <w:sz w:val="18"/>
        </w:rPr>
        <w:t>Company</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 xml:space="preserve">and Yaron Garmazi holder of an Israeli ID number #### (the </w:t>
      </w:r>
      <w:r>
        <w:rPr>
          <w:rFonts w:ascii="Times New Roman;sans-serif" w:hAnsi="Times New Roman;sans-serif"/>
          <w:b/>
          <w:i/>
          <w:color w:val="000000"/>
          <w:sz w:val="18"/>
        </w:rPr>
        <w:t>"Employee").</w:t>
      </w:r>
    </w:p>
    <w:p>
      <w:pPr>
        <w:pStyle w:val="TextBody"/>
        <w:spacing w:lineRule="auto" w:line="288" w:before="0" w:after="180"/>
        <w:jc w:val="both"/>
        <w:rPr/>
      </w:pPr>
      <w:r>
        <w:rPr>
          <w:rFonts w:ascii="Times New Roman;sans-serif" w:hAnsi="Times New Roman;sans-serif"/>
          <w:b/>
          <w:i/>
          <w:color w:val="000000"/>
          <w:sz w:val="18"/>
        </w:rPr>
        <w:t>WHEREAS,</w:t>
      </w:r>
      <w:r>
        <w:rPr>
          <w:color w:val="000000"/>
        </w:rPr>
        <w:t xml:space="preserve"> </w:t>
      </w:r>
      <w:r>
        <w:rPr>
          <w:rFonts w:ascii="Times New Roman;sans-serif" w:hAnsi="Times New Roman;sans-serif"/>
          <w:b w:val="false"/>
          <w:color w:val="000000"/>
          <w:sz w:val="18"/>
        </w:rPr>
        <w:t>the Company wishes to employ the Employee, and the Employee agrees to be employed by the Company, as of June 19, 2017 (the</w:t>
      </w:r>
      <w:r>
        <w:rPr>
          <w:rFonts w:ascii="Times New Roman;sans-serif" w:hAnsi="Times New Roman;sans-serif"/>
          <w:b w:val="false"/>
          <w:i/>
          <w:color w:val="000000"/>
          <w:sz w:val="20"/>
        </w:rPr>
        <w:t>"</w:t>
      </w:r>
      <w:r>
        <w:rPr>
          <w:rFonts w:ascii="Times New Roman;sans-serif" w:hAnsi="Times New Roman;sans-serif"/>
          <w:b/>
          <w:i/>
          <w:color w:val="000000"/>
          <w:sz w:val="20"/>
        </w:rPr>
        <w:t>Effective Date</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and throughout the Term (as such term is defined below), all in accordance with the terms and conditions set forth in this Employment Agreement); and</w:t>
      </w:r>
    </w:p>
    <w:p>
      <w:pPr>
        <w:pStyle w:val="TextBody"/>
        <w:spacing w:lineRule="auto" w:line="288" w:before="0" w:after="180"/>
        <w:rPr/>
      </w:pPr>
      <w:r>
        <w:rPr>
          <w:rFonts w:ascii="Times New Roman;sans-serif" w:hAnsi="Times New Roman;sans-serif"/>
          <w:b/>
          <w:i/>
          <w:color w:val="000000"/>
          <w:sz w:val="18"/>
        </w:rPr>
        <w:t xml:space="preserve">WHEREAS, </w:t>
      </w:r>
      <w:r>
        <w:rPr>
          <w:rFonts w:ascii="Times New Roman;sans-serif" w:hAnsi="Times New Roman;sans-serif"/>
          <w:b w:val="false"/>
          <w:color w:val="000000"/>
          <w:sz w:val="18"/>
        </w:rPr>
        <w:t>the Employee represents that he has significant expertise and knowledge with regard to the Position.</w:t>
      </w:r>
    </w:p>
    <w:p>
      <w:pPr>
        <w:pStyle w:val="TextBody"/>
        <w:spacing w:lineRule="auto" w:line="288" w:before="0" w:after="180"/>
        <w:jc w:val="both"/>
        <w:rPr/>
      </w:pPr>
      <w:r>
        <w:rPr>
          <w:rFonts w:ascii="Times New Roman;sans-serif" w:hAnsi="Times New Roman;sans-serif"/>
          <w:b/>
          <w:i/>
          <w:color w:val="000000"/>
          <w:sz w:val="18"/>
        </w:rPr>
        <w:t>NOW, THEREFORE,</w:t>
      </w:r>
      <w:r>
        <w:rPr>
          <w:color w:val="000000"/>
        </w:rPr>
        <w:t xml:space="preserve"> </w:t>
      </w:r>
      <w:r>
        <w:rPr>
          <w:rFonts w:ascii="Times New Roman;sans-serif" w:hAnsi="Times New Roman;sans-serif"/>
          <w:b w:val="false"/>
          <w:color w:val="000000"/>
          <w:sz w:val="16"/>
        </w:rPr>
        <w:t xml:space="preserve">in consideration of the mutual premises, covenants and other agreements contained herein, </w:t>
      </w:r>
      <w:r>
        <w:rPr>
          <w:rFonts w:ascii="Times New Roman;sans-serif" w:hAnsi="Times New Roman;sans-serif"/>
          <w:b w:val="false"/>
          <w:color w:val="000000"/>
          <w:sz w:val="18"/>
        </w:rPr>
        <w:t>the parties hereby agree as follows:</w:t>
      </w:r>
    </w:p>
    <w:p>
      <w:pPr>
        <w:pStyle w:val="TextBody"/>
        <w:spacing w:lineRule="auto" w:line="288" w:before="0" w:after="180"/>
        <w:rPr/>
      </w:pPr>
      <w:r>
        <w:rPr>
          <w:rFonts w:ascii="Times New Roman;sans-serif" w:hAnsi="Times New Roman;sans-serif"/>
          <w:b w:val="false"/>
          <w:color w:val="000000"/>
          <w:sz w:val="18"/>
        </w:rPr>
        <w:t>1</w:t>
      </w:r>
      <w:r>
        <w:rPr>
          <w:rFonts w:ascii="Times New Roman;sans-serif" w:hAnsi="Times New Roman;sans-serif"/>
          <w:b w:val="false"/>
          <w:color w:val="000000"/>
          <w:sz w:val="22"/>
        </w:rPr>
        <w:t>.    </w:t>
      </w:r>
      <w:r>
        <w:rPr>
          <w:rFonts w:ascii="Times New Roman;sans-serif" w:hAnsi="Times New Roman;sans-serif"/>
          <w:b/>
          <w:color w:val="000000"/>
          <w:sz w:val="18"/>
          <w:u w:val="single"/>
        </w:rPr>
        <w:t>General</w:t>
      </w:r>
    </w:p>
    <w:p>
      <w:pPr>
        <w:pStyle w:val="TextBody"/>
        <w:spacing w:lineRule="auto" w:line="288" w:before="0" w:after="180"/>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1.1    The preamble to this Employment Agreement constitutes an integral part thereof.</w:t>
      </w:r>
    </w:p>
    <w:p>
      <w:pPr>
        <w:pStyle w:val="TextBody"/>
        <w:spacing w:lineRule="auto" w:line="288" w:before="0" w:after="180"/>
        <w:ind w:left="0" w:right="0" w:hanging="180"/>
        <w:jc w:val="both"/>
        <w:rPr/>
      </w:pPr>
      <w:r>
        <w:rPr>
          <w:rFonts w:ascii="Times New Roman;sans-serif" w:hAnsi="Times New Roman;sans-serif"/>
          <w:b w:val="false"/>
          <w:color w:val="000000"/>
          <w:sz w:val="18"/>
        </w:rPr>
        <w:t xml:space="preserve">1.2    The appendices to this Employment Agreement are an integral part thereof and are hereby incorporated by </w:t>
      </w:r>
      <w:r>
        <w:rPr>
          <w:rFonts w:ascii="Times New Roman;sans-serif" w:hAnsi="Times New Roman;sans-serif"/>
          <w:b w:val="false"/>
          <w:color w:val="000000"/>
          <w:sz w:val="16"/>
        </w:rPr>
        <w:t>reference</w:t>
      </w:r>
      <w:r>
        <w:rPr>
          <w:rFonts w:ascii="Times New Roman;sans-serif" w:hAnsi="Times New Roman;sans-serif"/>
          <w:b/>
          <w:color w:val="000000"/>
          <w:sz w:val="16"/>
        </w:rPr>
        <w:t>.</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1.3    The headings in this Employment Agreement are for the purpose of convenience only and shall not be used for the purposes of interpretation.</w:t>
      </w:r>
    </w:p>
    <w:p>
      <w:pPr>
        <w:pStyle w:val="TextBody"/>
        <w:spacing w:lineRule="auto" w:line="288" w:before="0" w:after="180"/>
        <w:jc w:val="both"/>
        <w:rPr/>
      </w:pPr>
      <w:r>
        <w:rPr>
          <w:rFonts w:ascii="Times New Roman;sans-serif" w:hAnsi="Times New Roman;sans-serif"/>
          <w:b w:val="false"/>
          <w:color w:val="000000"/>
          <w:sz w:val="18"/>
        </w:rPr>
        <w:t>1</w:t>
      </w:r>
      <w:r>
        <w:rPr>
          <w:rFonts w:ascii="Times New Roman;sans-serif" w:hAnsi="Times New Roman;sans-serif"/>
          <w:b w:val="false"/>
          <w:color w:val="000000"/>
          <w:sz w:val="20"/>
        </w:rPr>
        <w:t>.4    </w:t>
      </w:r>
      <w:r>
        <w:rPr>
          <w:rFonts w:ascii="Times New Roman;sans-serif" w:hAnsi="Times New Roman;sans-serif"/>
          <w:b w:val="false"/>
          <w:color w:val="000000"/>
          <w:sz w:val="18"/>
        </w:rPr>
        <w:t>In this Employment Agreement words referring to a male employee are intended also for a female employee.</w:t>
      </w:r>
    </w:p>
    <w:p>
      <w:pPr>
        <w:pStyle w:val="TextBody"/>
        <w:spacing w:lineRule="auto" w:line="288" w:before="0" w:after="180"/>
        <w:rPr/>
      </w:pPr>
      <w:r>
        <w:rPr>
          <w:rFonts w:ascii="Times New Roman;sans-serif" w:hAnsi="Times New Roman;sans-serif"/>
          <w:b/>
          <w:color w:val="000000"/>
          <w:sz w:val="18"/>
        </w:rPr>
        <w:t>2    </w:t>
      </w:r>
      <w:r>
        <w:rPr>
          <w:rFonts w:ascii="Times New Roman;sans-serif" w:hAnsi="Times New Roman;sans-serif"/>
          <w:b/>
          <w:color w:val="000000"/>
          <w:sz w:val="18"/>
          <w:u w:val="single"/>
        </w:rPr>
        <w:t>Employment and Position</w:t>
      </w:r>
      <w:r>
        <w:rPr>
          <w:rFonts w:ascii="Times New Roman;sans-serif" w:hAnsi="Times New Roman;sans-serif"/>
          <w:b/>
          <w:color w:val="000000"/>
          <w:sz w:val="18"/>
        </w:rPr>
        <w:t>.</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2.1    The Employee's employment with the Company shall commence on the Effective Date and shall continue for</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an unlimited period, in accordance with the provisions of this Employment Agreement</w:t>
      </w:r>
    </w:p>
    <w:p>
      <w:pPr>
        <w:pStyle w:val="TextBody"/>
        <w:spacing w:lineRule="auto" w:line="288" w:before="0" w:after="180"/>
        <w:jc w:val="both"/>
        <w:rPr/>
      </w:pPr>
      <w:r>
        <w:rPr>
          <w:rFonts w:ascii="Times New Roman;sans-serif" w:hAnsi="Times New Roman;sans-serif"/>
          <w:b w:val="false"/>
          <w:color w:val="000000"/>
          <w:sz w:val="18"/>
        </w:rPr>
        <w:t>2</w:t>
      </w:r>
      <w:r>
        <w:rPr>
          <w:rFonts w:ascii="Times New Roman;sans-serif" w:hAnsi="Times New Roman;sans-serif"/>
          <w:b/>
          <w:color w:val="000000"/>
          <w:sz w:val="18"/>
        </w:rPr>
        <w:t>.</w:t>
      </w: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Company hereby agrees to employ the Employee and the Employee hereby agrees to be employed by Company in the position as described in Exhibit A hereto (the "Position"). The Employee shall have such authority as shall be delegated to him/her by the authorized representative(s) of the Company from time to time. The Company may, at its sole discretion, change the Position, the scope of authority, the content of the Position and its definitions, and/or to ask the Employee to render services out of the scope of the Position.</w:t>
      </w:r>
    </w:p>
    <w:p>
      <w:pPr>
        <w:pStyle w:val="TextBody"/>
        <w:spacing w:lineRule="auto" w:line="288" w:before="0" w:after="0"/>
        <w:jc w:val="both"/>
        <w:rPr/>
      </w:pPr>
      <w:r>
        <w:rPr>
          <w:rFonts w:ascii="Times New Roman;sans-serif" w:hAnsi="Times New Roman;sans-serif"/>
          <w:b w:val="false"/>
          <w:color w:val="000000"/>
          <w:sz w:val="18"/>
        </w:rPr>
        <w:t xml:space="preserve">2.3    The Employee shall report regularly to the person set forth in </w:t>
      </w:r>
      <w:r>
        <w:rPr>
          <w:rFonts w:ascii="Times New Roman;sans-serif" w:hAnsi="Times New Roman;sans-serif"/>
          <w:b/>
          <w:color w:val="000000"/>
          <w:sz w:val="18"/>
        </w:rPr>
        <w:t>Exhibit A</w:t>
      </w:r>
      <w:r>
        <w:rPr>
          <w:color w:val="000000"/>
        </w:rPr>
        <w:t xml:space="preserve"> </w:t>
      </w:r>
      <w:r>
        <w:rPr>
          <w:rFonts w:ascii="Times New Roman;sans-serif" w:hAnsi="Times New Roman;sans-serif"/>
          <w:b w:val="false"/>
          <w:color w:val="000000"/>
          <w:sz w:val="18"/>
        </w:rPr>
        <w:t>hereto, or to any other person or</w:t>
      </w:r>
    </w:p>
    <w:p>
      <w:pPr>
        <w:pStyle w:val="TextBody"/>
        <w:spacing w:lineRule="auto" w:line="288" w:before="0" w:after="180"/>
        <w:jc w:val="both"/>
        <w:rPr/>
      </w:pPr>
      <w:r>
        <w:rPr>
          <w:rFonts w:ascii="Times New Roman;sans-serif" w:hAnsi="Times New Roman;sans-serif"/>
          <w:b w:val="false"/>
          <w:color w:val="000000"/>
          <w:sz w:val="16"/>
        </w:rPr>
        <w:t>position as Company, at its sole discretion, shall instruct the Employee from time to time (the</w:t>
      </w:r>
      <w:r>
        <w:rPr>
          <w:rFonts w:ascii="Times New Roman;sans-serif" w:hAnsi="Times New Roman;sans-serif"/>
          <w:b w:val="false"/>
          <w:i/>
          <w:color w:val="000000"/>
          <w:sz w:val="18"/>
        </w:rPr>
        <w:t>"</w:t>
      </w:r>
      <w:r>
        <w:rPr>
          <w:rFonts w:ascii="Times New Roman;sans-serif" w:hAnsi="Times New Roman;sans-serif"/>
          <w:b/>
          <w:i/>
          <w:color w:val="000000"/>
          <w:sz w:val="18"/>
        </w:rPr>
        <w:t>Direct Manager</w:t>
      </w:r>
      <w:r>
        <w:rPr>
          <w:rFonts w:ascii="Times New Roman;sans-serif" w:hAnsi="Times New Roman;sans-serif"/>
          <w:b w:val="false"/>
          <w:i/>
          <w:color w:val="000000"/>
          <w:sz w:val="18"/>
        </w:rPr>
        <w:t>").</w:t>
      </w:r>
    </w:p>
    <w:p>
      <w:pPr>
        <w:pStyle w:val="TextBody"/>
        <w:spacing w:lineRule="auto" w:line="288" w:before="0" w:after="180"/>
        <w:rPr/>
      </w:pPr>
      <w:r>
        <w:rPr>
          <w:rFonts w:ascii="Times New Roman;sans-serif" w:hAnsi="Times New Roman;sans-serif"/>
          <w:b/>
          <w:color w:val="000000"/>
          <w:sz w:val="16"/>
        </w:rPr>
        <w:t>3    </w:t>
      </w:r>
      <w:r>
        <w:rPr>
          <w:rFonts w:ascii="Times New Roman;sans-serif" w:hAnsi="Times New Roman;sans-serif"/>
          <w:b/>
          <w:color w:val="000000"/>
          <w:sz w:val="18"/>
          <w:u w:val="single"/>
        </w:rPr>
        <w:t xml:space="preserve">Employee's </w:t>
      </w:r>
      <w:r>
        <w:rPr>
          <w:rFonts w:ascii="Times New Roman;sans-serif" w:hAnsi="Times New Roman;sans-serif"/>
          <w:b/>
          <w:color w:val="000000"/>
          <w:sz w:val="16"/>
          <w:u w:val="single"/>
        </w:rPr>
        <w:t>Duties.</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3.1    The Employee affirms and undertakes throughout the term of this Agreement:</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3.1.1    To devote his entire working time, know-how, expertise, talent, experience and best efforts to the business and affairs of the Company and to perform his/her duties and functions diligently and skillfully with the utmost expertise and devotion.</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3.1.2    To travel abroad from time to time if and as may be required pursuant to his Position.</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3.1.3    Not to receive, at any time, whether during the term of this Agreement and/or at any time thereafter, directly or indirectly, any payment, benefit and/or other consideration, from any third party in connection with his employment with the Company, without the Company's prior written authorization.</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3.1.4    To immediately and without delay inform the Company of any affairs and/or matters that might constitute a conflict of interest with Employee's Position and/or employment with Company (including its affiliates) and/or the interests of the Company (including its affiliates).</w:t>
      </w:r>
    </w:p>
    <w:p>
      <w:pPr>
        <w:pStyle w:val="TextBody"/>
        <w:spacing w:lineRule="auto" w:line="288" w:before="0" w:after="180"/>
        <w:ind w:left="0" w:right="0" w:firstLine="540"/>
        <w:jc w:val="both"/>
        <w:rPr/>
      </w:pPr>
      <w:r>
        <w:rPr>
          <w:rFonts w:ascii="Times New Roman;sans-serif" w:hAnsi="Times New Roman;sans-serif"/>
          <w:b w:val="false"/>
          <w:color w:val="000000"/>
          <w:sz w:val="18"/>
        </w:rPr>
        <w:t>3.1.5</w:t>
      </w:r>
      <w:r>
        <w:rPr>
          <w:color w:val="000000"/>
        </w:rPr>
        <w:t>    </w:t>
      </w:r>
      <w:r>
        <w:rPr>
          <w:rFonts w:ascii="Times New Roman;sans-serif" w:hAnsi="Times New Roman;sans-serif"/>
          <w:b w:val="false"/>
          <w:color w:val="000000"/>
          <w:sz w:val="18"/>
        </w:rPr>
        <w:t>Not, without the prior written consent of the Company, to undertake or accept any other paid or unpaid employment or occupation or engage in or be associated with, directly or indirectly, any other businesses, duties or pursuits except for de minimis non-commercial or non-business activities.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256540"/>
                <wp:effectExtent l="0" t="0" r="0" b="0"/>
                <wp:wrapNone/>
                <wp:docPr id="570" name="Frame562"/>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7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9" descr=""/>
                    <pic:cNvPicPr>
                      <a:picLocks noChangeAspect="1" noChangeArrowheads="1"/>
                    </pic:cNvPicPr>
                  </pic:nvPicPr>
                  <pic:blipFill>
                    <a:blip r:embed="rId36"/>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ind w:left="0" w:right="0" w:firstLine="540"/>
        <w:jc w:val="both"/>
        <w:rPr/>
      </w:pPr>
      <w:r>
        <w:rPr>
          <w:rFonts w:ascii="Times New Roman;sans-serif" w:hAnsi="Times New Roman;sans-serif"/>
          <w:b w:val="false"/>
          <w:color w:val="000000"/>
          <w:sz w:val="18"/>
        </w:rPr>
        <w:t>3.1.6    To comply with all the Company's regulations, work-rules, policies, procedures and objectives, as shall be in effect from time to time (the</w:t>
      </w:r>
      <w:r>
        <w:rPr>
          <w:rFonts w:ascii="Times New Roman;sans-serif" w:hAnsi="Times New Roman;sans-serif"/>
          <w:b w:val="false"/>
          <w:i/>
          <w:color w:val="000000"/>
          <w:sz w:val="18"/>
        </w:rPr>
        <w:t>"</w:t>
      </w:r>
      <w:r>
        <w:rPr>
          <w:rFonts w:ascii="Times New Roman;sans-serif" w:hAnsi="Times New Roman;sans-serif"/>
          <w:b/>
          <w:i/>
          <w:color w:val="000000"/>
          <w:sz w:val="18"/>
        </w:rPr>
        <w:t xml:space="preserve">Company's Rules"). </w:t>
      </w:r>
      <w:r>
        <w:rPr>
          <w:rFonts w:ascii="Times New Roman;sans-serif" w:hAnsi="Times New Roman;sans-serif"/>
          <w:b w:val="false"/>
          <w:color w:val="000000"/>
          <w:sz w:val="18"/>
        </w:rPr>
        <w:t>In the event of inconsistency or contradiction between</w:t>
      </w:r>
      <w:r>
        <w:rPr>
          <w:color w:val="000000"/>
        </w:rPr>
        <w:t xml:space="preserve"> </w:t>
      </w:r>
      <w:r>
        <w:rPr>
          <w:rFonts w:ascii="Times New Roman;sans-serif" w:hAnsi="Times New Roman;sans-serif"/>
          <w:b w:val="false"/>
          <w:color w:val="000000"/>
          <w:sz w:val="18"/>
        </w:rPr>
        <w:t>the provisions of this Employment Agreement and the Company's Rules, this Agreement shall prevail.</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3.1.7    To comply with any applicable law or provision, pertaining to his employment, including, without limitation, the Company's Rules for Prevention of Sexual Harassment at the Workplace.</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3.1.8    To the transfer of any information related to the Employee and held by the Company to a database (including a database located abroad) and to any other person or entity, as the Company shall deem necessary and reasonable for business purposes or to pursue the Company's business interests.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3.2    This Employment Agreement is confidential and therefore the Employee shall not disclose this Employment Agreement as a whole, or any part thereof, to any third party (not including the Employee's spouse, attorney or tax advisor), including, without limitation, to any other employee of the Company.</w:t>
      </w:r>
    </w:p>
    <w:p>
      <w:pPr>
        <w:pStyle w:val="TextBody"/>
        <w:spacing w:lineRule="auto" w:line="288" w:before="0" w:after="180"/>
        <w:rPr/>
      </w:pPr>
      <w:r>
        <w:rPr>
          <w:rFonts w:ascii="Times New Roman;sans-serif" w:hAnsi="Times New Roman;sans-serif"/>
          <w:b/>
          <w:color w:val="000000"/>
          <w:sz w:val="18"/>
        </w:rPr>
        <w:t>4    </w:t>
      </w:r>
      <w:r>
        <w:rPr>
          <w:rFonts w:ascii="Times New Roman;sans-serif" w:hAnsi="Times New Roman;sans-serif"/>
          <w:b/>
          <w:color w:val="000000"/>
          <w:sz w:val="18"/>
          <w:u w:val="single"/>
        </w:rPr>
        <w:t>Time and Attention</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4.1    In general, work for the Company shall be performed on Sunday through Thursday, unless determined and instructed otherwise by the Company, as set forth hereunder. A regular workday with the Company shall consist of9.6 hours, including a I hour daily break which shall be taken by the Employee, and which shall be the Employee's responsibility to take. Saturday shall be the Employee's recognized and official rest day.</w:t>
      </w:r>
    </w:p>
    <w:p>
      <w:pPr>
        <w:pStyle w:val="TextBody"/>
        <w:spacing w:lineRule="auto" w:line="288" w:before="0" w:after="180"/>
        <w:jc w:val="both"/>
        <w:rPr/>
      </w:pPr>
      <w:r>
        <w:rPr>
          <w:rFonts w:ascii="Times New Roman;sans-serif" w:hAnsi="Times New Roman;sans-serif"/>
          <w:b w:val="false"/>
          <w:color w:val="000000"/>
          <w:sz w:val="18"/>
        </w:rPr>
        <w:t>4.2    Employee agrees and acknowledges that due to the Employee's senior managerial position in the Company, the special personal trust involved in the position in which the Employee shall be employed, and the inability to monitor the Employee's actual work hours, the Hours of Work and Rest Law, 195 l (the "Hours of Work and Rest Law") shall not apply to the Employee. The Employee acknowledges that the set amount of the Monthly Salary (as defined hereunder), as well as all other compensation and benefits provided to the Employee by the Company, as agreed upon between the Employee and the Company, reflect the requirements of the position to work additional and irregular hours and days. Accordingly, the Employee shall not be entitled to claim or receive payments or any additional pay for work performed at overtime hours, nights, weekends, or at any other times in which the Hours of work and Rest Law requires payment of special payments (to employees who are not in a position such as the</w:t>
      </w:r>
      <w:r>
        <w:rPr>
          <w:color w:val="000000"/>
        </w:rPr>
        <w:t xml:space="preserve"> </w:t>
      </w:r>
      <w:r>
        <w:rPr>
          <w:rFonts w:ascii="Times New Roman;sans-serif" w:hAnsi="Times New Roman;sans-serif"/>
          <w:b w:val="false"/>
          <w:color w:val="000000"/>
          <w:sz w:val="18"/>
        </w:rPr>
        <w:t>position of the Employee). Notwithstanding, the Employee shall not generally be required to work on Saturdays or holidays.</w:t>
      </w:r>
    </w:p>
    <w:p>
      <w:pPr>
        <w:pStyle w:val="TextBody"/>
        <w:spacing w:lineRule="auto" w:line="288" w:before="0" w:after="180"/>
        <w:rPr/>
      </w:pPr>
      <w:r>
        <w:rPr>
          <w:rFonts w:ascii="Times New Roman;sans-serif" w:hAnsi="Times New Roman;sans-serif"/>
          <w:b/>
          <w:color w:val="000000"/>
          <w:sz w:val="18"/>
        </w:rPr>
        <w:t>5    </w:t>
      </w:r>
      <w:r>
        <w:rPr>
          <w:rFonts w:ascii="Times New Roman;sans-serif" w:hAnsi="Times New Roman;sans-serif"/>
          <w:b/>
          <w:color w:val="000000"/>
          <w:sz w:val="18"/>
          <w:u w:val="single"/>
        </w:rPr>
        <w:t>Term and Termination</w:t>
      </w:r>
    </w:p>
    <w:p>
      <w:pPr>
        <w:pStyle w:val="TextBody"/>
        <w:spacing w:lineRule="auto" w:line="288" w:before="0" w:after="180"/>
        <w:jc w:val="both"/>
        <w:rPr/>
      </w:pPr>
      <w:r>
        <w:rPr>
          <w:rFonts w:ascii="Times New Roman;sans-serif" w:hAnsi="Times New Roman;sans-serif"/>
          <w:b w:val="false"/>
          <w:color w:val="000000"/>
          <w:sz w:val="18"/>
        </w:rPr>
        <w:t>5.1    Employee's employment under this Employment Agreement shall commence on the Effective Date and shall remain in full force and effect unless terminated in accordance with the terms and conditions herein (the "</w:t>
      </w:r>
      <w:r>
        <w:rPr>
          <w:rFonts w:ascii="Times New Roman;sans-serif" w:hAnsi="Times New Roman;sans-serif"/>
          <w:b/>
          <w:color w:val="000000"/>
          <w:sz w:val="18"/>
        </w:rPr>
        <w:t>Term</w:t>
      </w:r>
      <w:r>
        <w:rPr>
          <w:rFonts w:ascii="Times New Roman;sans-serif" w:hAnsi="Times New Roman;sans-serif"/>
          <w:b w:val="false"/>
          <w:color w:val="000000"/>
          <w:sz w:val="18"/>
        </w:rPr>
        <w:t>").</w:t>
      </w:r>
    </w:p>
    <w:p>
      <w:pPr>
        <w:pStyle w:val="TextBody"/>
        <w:spacing w:lineRule="auto" w:line="288" w:before="0" w:after="0"/>
        <w:jc w:val="both"/>
        <w:rPr/>
      </w:pPr>
      <w:r>
        <w:rPr>
          <w:rFonts w:ascii="Times New Roman;sans-serif" w:hAnsi="Times New Roman;sans-serif"/>
          <w:b w:val="false"/>
          <w:color w:val="000000"/>
          <w:sz w:val="18"/>
        </w:rPr>
        <w:t>5.2</w:t>
      </w:r>
      <w:r>
        <w:rPr>
          <w:color w:val="000000"/>
        </w:rPr>
        <w:t>    </w:t>
      </w:r>
      <w:r>
        <w:rPr>
          <w:rFonts w:ascii="Times New Roman;sans-serif" w:hAnsi="Times New Roman;sans-serif"/>
          <w:b w:val="false"/>
          <w:color w:val="000000"/>
          <w:sz w:val="18"/>
        </w:rPr>
        <w:t xml:space="preserve">Either the Company or Employee may terminate the Employee's employment by providing prior written notice in the number of days set forth in </w:t>
      </w:r>
      <w:r>
        <w:rPr>
          <w:rFonts w:ascii="Times New Roman;sans-serif" w:hAnsi="Times New Roman;sans-serif"/>
          <w:b/>
          <w:color w:val="000000"/>
          <w:sz w:val="18"/>
        </w:rPr>
        <w:t>Exhibit A</w:t>
      </w:r>
      <w:r>
        <w:rPr>
          <w:color w:val="000000"/>
        </w:rPr>
        <w:t xml:space="preserve"> </w:t>
      </w:r>
      <w:r>
        <w:rPr>
          <w:rFonts w:ascii="Times New Roman;sans-serif" w:hAnsi="Times New Roman;sans-serif"/>
          <w:b w:val="false"/>
          <w:color w:val="000000"/>
          <w:sz w:val="18"/>
        </w:rPr>
        <w:t>hereto (the "</w:t>
      </w:r>
      <w:r>
        <w:rPr>
          <w:rFonts w:ascii="Times New Roman;sans-serif" w:hAnsi="Times New Roman;sans-serif"/>
          <w:b/>
          <w:color w:val="000000"/>
          <w:sz w:val="18"/>
        </w:rPr>
        <w:t>Notice Period</w:t>
      </w:r>
      <w:r>
        <w:rPr>
          <w:rFonts w:ascii="Times New Roman;sans-serif" w:hAnsi="Times New Roman;sans-serif"/>
          <w:b w:val="false"/>
          <w:color w:val="000000"/>
          <w:sz w:val="18"/>
        </w:rPr>
        <w:t>"). During the Notice Period, whether notice has been given by the Employee or by the Company, the Employee shall continue to work unless instructed otherwise by the Company, and shall cooperate with the Company and use his/her best efforts to assist the integration into the Company organization of the person or persons who will assume the Employee's responsibilities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and duties.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5.3    Nonetheless, the Company shall be entitled, but not obligated, at any time prior to the expiration of the Notice Period, at its sole discretion: (i) to waive the Employee's actual work during the Notice Period, in which event the Company shall pay to the Employee during the remainder of the Notice Period the payments payable to the Employee under Section 6 below; or (ii) to immediately terminate this Employment Agreement and the employment relationship, at any time prior to the expiration of the Notice Period, in which event the Company shall pay the Employee upon termination of the Employment Agreement and the employment relationship the value of the Monthly Salary during the remainder of the Notice Period.</w:t>
      </w:r>
    </w:p>
    <w:p>
      <w:pPr>
        <w:pStyle w:val="TextBody"/>
        <w:spacing w:lineRule="auto" w:line="288" w:before="0" w:after="180"/>
        <w:jc w:val="both"/>
        <w:rPr/>
      </w:pPr>
      <w:r>
        <w:rPr>
          <w:rFonts w:ascii="Times New Roman;sans-serif" w:hAnsi="Times New Roman;sans-serif"/>
          <w:b w:val="false"/>
          <w:color w:val="000000"/>
          <w:sz w:val="18"/>
        </w:rPr>
        <w:t xml:space="preserve">5.4    Notwithstanding the foregoing, the Company may immediately terminate this Employment Agreement and the employment relationship at any time for </w:t>
      </w:r>
      <w:r>
        <w:rPr>
          <w:rFonts w:ascii="Times New Roman;sans-serif" w:hAnsi="Times New Roman;sans-serif"/>
          <w:b w:val="false"/>
          <w:i/>
          <w:color w:val="000000"/>
          <w:sz w:val="18"/>
        </w:rPr>
        <w:t>'</w:t>
      </w:r>
      <w:r>
        <w:rPr>
          <w:rFonts w:ascii="Times New Roman;sans-serif" w:hAnsi="Times New Roman;sans-serif"/>
          <w:b/>
          <w:i/>
          <w:color w:val="000000"/>
          <w:sz w:val="18"/>
        </w:rPr>
        <w:t>Cause</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(as defined below) without Notice Period or any compensation in lieu of Notice Period and/or severance pay (subject to applicable law). For the purpose of this Employment Agreement, "</w:t>
      </w:r>
      <w:r>
        <w:rPr>
          <w:rFonts w:ascii="Times New Roman;sans-serif" w:hAnsi="Times New Roman;sans-serif"/>
          <w:b/>
          <w:color w:val="000000"/>
          <w:sz w:val="18"/>
        </w:rPr>
        <w:t>Cause</w:t>
      </w:r>
      <w:r>
        <w:rPr>
          <w:rFonts w:ascii="Times New Roman;sans-serif" w:hAnsi="Times New Roman;sans-serif"/>
          <w:b w:val="false"/>
          <w:color w:val="000000"/>
          <w:sz w:val="18"/>
        </w:rPr>
        <w:t xml:space="preserve">" means: (i) the Employee's breach of trust or fiduciary duties, including but not limited to theft,embezzlement, self-dealing, or breach of the provisions of the IP Agreement (as defined below); (ii) any willful failure to perform or failure to perform competently any of the Employee's material functions or duties hereunder (including violation of the Company's Rules), or other breach of this Employment Agreement, which, if capable of cure, was not cured within five (5) days of receipt by the Employee of written notice thereof; (iii) an event in which the Employee deliberately or gross negligently causes harm to the Company's business affairs or reputation; (iv) conviction of, or entry of any plea of guilty or nolo contendere </w:t>
      </w:r>
      <w:r>
        <w:rPr>
          <w:rFonts w:ascii="Times New Roman;sans-serif" w:hAnsi="Times New Roman;sans-serif"/>
          <w:b w:val="false"/>
          <w:color w:val="000000"/>
          <w:sz w:val="20"/>
        </w:rPr>
        <w:t xml:space="preserve">by, </w:t>
      </w:r>
      <w:r>
        <w:rPr>
          <w:rFonts w:ascii="Times New Roman;sans-serif" w:hAnsi="Times New Roman;sans-serif"/>
          <w:b w:val="false"/>
          <w:color w:val="000000"/>
          <w:sz w:val="18"/>
        </w:rPr>
        <w:t>the Employee for any felony or other lesser crime that would require removal from his or her position at the Company (e.g., any alcohol or drug related misdemeanor);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256540"/>
                <wp:effectExtent l="0" t="0" r="0" b="0"/>
                <wp:wrapNone/>
                <wp:docPr id="572" name="Frame563"/>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7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10" descr=""/>
                    <pic:cNvPicPr>
                      <a:picLocks noChangeAspect="1" noChangeArrowheads="1"/>
                    </pic:cNvPicPr>
                  </pic:nvPicPr>
                  <pic:blipFill>
                    <a:blip r:embed="rId37"/>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(v) personal dishonesty; (vi) willful misconduct; (vii) other cause justifying termination or dismissal without severance payment under applicable law; or (viii) if the Employee has provided the Company with false information about past career and/or education during the recruiting phase.</w:t>
      </w:r>
    </w:p>
    <w:p>
      <w:pPr>
        <w:pStyle w:val="TextBody"/>
        <w:spacing w:lineRule="auto" w:line="288" w:before="0" w:after="180"/>
        <w:rPr/>
      </w:pPr>
      <w:r>
        <w:rPr>
          <w:rFonts w:ascii="Times New Roman;sans-serif" w:hAnsi="Times New Roman;sans-serif"/>
          <w:b/>
          <w:color w:val="000000"/>
          <w:sz w:val="18"/>
        </w:rPr>
        <w:t>6    </w:t>
      </w:r>
      <w:r>
        <w:rPr>
          <w:rFonts w:ascii="Times New Roman;sans-serif" w:hAnsi="Times New Roman;sans-serif"/>
          <w:b/>
          <w:color w:val="000000"/>
          <w:sz w:val="18"/>
          <w:u w:val="single"/>
        </w:rPr>
        <w:t>Salary and Social Benefits</w:t>
      </w:r>
    </w:p>
    <w:p>
      <w:pPr>
        <w:pStyle w:val="TextBody"/>
        <w:spacing w:lineRule="auto" w:line="288" w:before="0" w:after="180"/>
        <w:jc w:val="both"/>
        <w:rPr/>
      </w:pPr>
      <w:r>
        <w:rPr>
          <w:rFonts w:ascii="Times New Roman;sans-serif" w:hAnsi="Times New Roman;sans-serif"/>
          <w:b w:val="false"/>
          <w:color w:val="000000"/>
          <w:sz w:val="18"/>
        </w:rPr>
        <w:t>6.1</w:t>
      </w:r>
      <w:r>
        <w:rPr>
          <w:color w:val="000000"/>
        </w:rPr>
        <w:t>    </w:t>
      </w:r>
      <w:r>
        <w:rPr>
          <w:rFonts w:ascii="Times New Roman;sans-serif" w:hAnsi="Times New Roman;sans-serif"/>
          <w:b w:val="false"/>
          <w:color w:val="000000"/>
          <w:sz w:val="18"/>
        </w:rPr>
        <w:t xml:space="preserve">Commencing from the Effective Date and during the Term, in consideration for the fulfillment of the Employee's work and other obligations set forth in this Employment Agreement, the Company shall pay the Employee a gross monthly salary in the amount as set forth in </w:t>
      </w:r>
      <w:r>
        <w:rPr>
          <w:rFonts w:ascii="Times New Roman;sans-serif" w:hAnsi="Times New Roman;sans-serif"/>
          <w:b/>
          <w:color w:val="000000"/>
          <w:sz w:val="18"/>
        </w:rPr>
        <w:t xml:space="preserve">Exhibit A </w:t>
      </w:r>
      <w:r>
        <w:rPr>
          <w:rFonts w:ascii="Times New Roman;sans-serif" w:hAnsi="Times New Roman;sans-serif"/>
          <w:b w:val="false"/>
          <w:color w:val="000000"/>
          <w:sz w:val="18"/>
        </w:rPr>
        <w:t xml:space="preserve">hereto (the </w:t>
      </w:r>
      <w:r>
        <w:rPr>
          <w:rFonts w:ascii="Times New Roman;sans-serif" w:hAnsi="Times New Roman;sans-serif"/>
          <w:b/>
          <w:color w:val="000000"/>
          <w:sz w:val="18"/>
        </w:rPr>
        <w:t>"Monthly Salary").</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6.2    [Reserved].</w:t>
      </w:r>
    </w:p>
    <w:p>
      <w:pPr>
        <w:pStyle w:val="TextBody"/>
        <w:spacing w:lineRule="auto" w:line="288" w:before="0" w:after="180"/>
        <w:jc w:val="both"/>
        <w:rPr/>
      </w:pPr>
      <w:r>
        <w:rPr>
          <w:rFonts w:ascii="Times New Roman;sans-serif" w:hAnsi="Times New Roman;sans-serif"/>
          <w:b w:val="false"/>
          <w:color w:val="000000"/>
          <w:sz w:val="18"/>
        </w:rPr>
        <w:t>6.3    The Monthly Salary shall be paid to the Employee no later than the 9</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day of the following month.</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6.4    The Company and the Employee will obtain and maintain Managers' Insurance or a pension fund according to the Employee's choice (the "Pension Insurance”). The contributions to the Pension h1surance shall be as follows</w:t>
      </w:r>
    </w:p>
    <w:p>
      <w:pPr>
        <w:pStyle w:val="TextBody"/>
        <w:spacing w:lineRule="auto" w:line="288" w:before="0" w:after="180"/>
        <w:ind w:left="0" w:right="0" w:firstLine="540"/>
        <w:jc w:val="both"/>
        <w:rPr/>
      </w:pPr>
      <w:r>
        <w:rPr>
          <w:rFonts w:ascii="Times New Roman;sans-serif" w:hAnsi="Times New Roman;sans-serif"/>
          <w:b w:val="false"/>
          <w:color w:val="000000"/>
          <w:sz w:val="18"/>
        </w:rPr>
        <w:t>6.4.1</w:t>
      </w:r>
      <w:r>
        <w:rPr>
          <w:color w:val="000000"/>
        </w:rPr>
        <w:t>    </w:t>
      </w:r>
      <w:r>
        <w:rPr>
          <w:rFonts w:ascii="Times New Roman;sans-serif" w:hAnsi="Times New Roman;sans-serif"/>
          <w:b w:val="false"/>
          <w:color w:val="000000"/>
          <w:sz w:val="18"/>
        </w:rPr>
        <w:t xml:space="preserve">In the event that the Pension Insurance is </w:t>
      </w:r>
      <w:r>
        <w:rPr>
          <w:rFonts w:ascii="Times New Roman;sans-serif" w:hAnsi="Times New Roman;sans-serif"/>
          <w:b/>
          <w:i/>
          <w:color w:val="000000"/>
          <w:sz w:val="20"/>
          <w:u w:val="single"/>
        </w:rPr>
        <w:t>Managers Insurance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18"/>
        </w:rPr>
        <w:t>the Company shall contribute 14.833% of the Monthly Salary (of which 8.33% will go towards severance, at least 5% are designated for premium payments and an additional percentage will go towards disability insurance, at a rate necessary to insure 75% of the Monthly Salary - "</w:t>
      </w:r>
      <w:r>
        <w:rPr>
          <w:rFonts w:ascii="Times New Roman;sans-serif" w:hAnsi="Times New Roman;sans-serif"/>
          <w:b/>
          <w:color w:val="000000"/>
          <w:sz w:val="18"/>
        </w:rPr>
        <w:t>Company Contribution</w:t>
      </w:r>
      <w:r>
        <w:rPr>
          <w:rFonts w:ascii="Times New Roman;sans-serif" w:hAnsi="Times New Roman;sans-serif"/>
          <w:b w:val="false"/>
          <w:color w:val="000000"/>
          <w:sz w:val="18"/>
        </w:rPr>
        <w:t>") and the Employee shall contribute 6% of the Monthly Salary payment ("</w:t>
      </w:r>
      <w:r>
        <w:rPr>
          <w:rFonts w:ascii="Times New Roman;sans-serif" w:hAnsi="Times New Roman;sans-serif"/>
          <w:b/>
          <w:color w:val="000000"/>
          <w:sz w:val="18"/>
        </w:rPr>
        <w:t>Employee's Contribution</w:t>
      </w:r>
      <w:r>
        <w:rPr>
          <w:rFonts w:ascii="Times New Roman;sans-serif" w:hAnsi="Times New Roman;sans-serif"/>
          <w:b w:val="false"/>
          <w:color w:val="000000"/>
          <w:sz w:val="18"/>
        </w:rPr>
        <w:t>") toward the premiums payable in respect of such insurance (the "</w:t>
      </w:r>
      <w:r>
        <w:rPr>
          <w:rFonts w:ascii="Times New Roman;sans-serif" w:hAnsi="Times New Roman;sans-serif"/>
          <w:b/>
          <w:color w:val="000000"/>
          <w:sz w:val="18"/>
        </w:rPr>
        <w:t>Pension Insurance Policy</w:t>
      </w:r>
      <w:r>
        <w:rPr>
          <w:rFonts w:ascii="Times New Roman;sans-serif" w:hAnsi="Times New Roman;sans-serif"/>
          <w:b w:val="false"/>
          <w:color w:val="000000"/>
          <w:sz w:val="18"/>
        </w:rPr>
        <w:t>.</w:t>
      </w:r>
    </w:p>
    <w:p>
      <w:pPr>
        <w:pStyle w:val="TextBody"/>
        <w:spacing w:lineRule="auto" w:line="288" w:before="0" w:after="180"/>
        <w:ind w:left="0" w:right="0" w:firstLine="540"/>
        <w:jc w:val="both"/>
        <w:rPr/>
      </w:pPr>
      <w:r>
        <w:rPr>
          <w:rFonts w:ascii="Times New Roman;sans-serif" w:hAnsi="Times New Roman;sans-serif"/>
          <w:b w:val="false"/>
          <w:color w:val="000000"/>
          <w:sz w:val="18"/>
        </w:rPr>
        <w:t xml:space="preserve">6.4.2    In the event that the Pension Insurance is a </w:t>
      </w:r>
      <w:r>
        <w:rPr>
          <w:rFonts w:ascii="Times New Roman;sans-serif" w:hAnsi="Times New Roman;sans-serif"/>
          <w:b/>
          <w:i/>
          <w:color w:val="000000"/>
          <w:sz w:val="18"/>
          <w:u w:val="single"/>
        </w:rPr>
        <w:t>Pension Fund</w:t>
      </w:r>
      <w:r>
        <w:rPr>
          <w:color w:val="000000"/>
        </w:rPr>
        <w:t xml:space="preserve"> </w:t>
      </w:r>
      <w:r>
        <w:rPr>
          <w:rFonts w:ascii="Times New Roman;sans-serif" w:hAnsi="Times New Roman;sans-serif"/>
          <w:b w:val="false"/>
          <w:color w:val="000000"/>
          <w:sz w:val="18"/>
        </w:rPr>
        <w:t>the Company shall contribute 14.833% of the Monthly Salary (of which 8.33% will be towards severance - "</w:t>
      </w:r>
      <w:r>
        <w:rPr>
          <w:rFonts w:ascii="Times New Roman;sans-serif" w:hAnsi="Times New Roman;sans-serif"/>
          <w:b/>
          <w:color w:val="000000"/>
          <w:sz w:val="18"/>
        </w:rPr>
        <w:t>Company Contribution</w:t>
      </w:r>
      <w:r>
        <w:rPr>
          <w:rFonts w:ascii="Times New Roman;sans-serif" w:hAnsi="Times New Roman;sans-serif"/>
          <w:b w:val="false"/>
          <w:color w:val="000000"/>
          <w:sz w:val="18"/>
        </w:rPr>
        <w:t>") and the Employee shall contribute 6% of the Monthly Salary payment ("</w:t>
      </w:r>
      <w:r>
        <w:rPr>
          <w:rFonts w:ascii="Times New Roman;sans-serif" w:hAnsi="Times New Roman;sans-serif"/>
          <w:b/>
          <w:color w:val="000000"/>
          <w:sz w:val="18"/>
        </w:rPr>
        <w:t>Employee's Contribution</w:t>
      </w:r>
      <w:r>
        <w:rPr>
          <w:rFonts w:ascii="Times New Roman;sans-serif" w:hAnsi="Times New Roman;sans-serif"/>
          <w:b w:val="false"/>
          <w:color w:val="000000"/>
          <w:sz w:val="18"/>
        </w:rPr>
        <w:t>") toward the premiums payable in respect of such fund (the "</w:t>
      </w:r>
      <w:r>
        <w:rPr>
          <w:rFonts w:ascii="Times New Roman;sans-serif" w:hAnsi="Times New Roman;sans-serif"/>
          <w:b/>
          <w:color w:val="000000"/>
          <w:sz w:val="18"/>
        </w:rPr>
        <w:t>Pension Insurance Policy</w:t>
      </w:r>
      <w:r>
        <w:rPr>
          <w:rFonts w:ascii="Times New Roman;sans-serif" w:hAnsi="Times New Roman;sans-serif"/>
          <w:b w:val="false"/>
          <w:color w:val="000000"/>
          <w:sz w:val="18"/>
        </w:rPr>
        <w:t>").</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6.4.3    For clarity's sake, the abovementioned contributions to the Employee's Pension Insurance may be changed from time to time according to applicable law.</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6.4.4    It is hereby agreed that upon termination of employment under this Employment Agreement, the Company shall release to the Employee all amounts accrued in the Pension Insurance on account of both the Company's and Employee's Contributions. However, it is hereby agreed that if the Employee's employment shall terminate under the circumstances defined in Section 16 and/or Section 17 of the Severance Pay Law - the Employee shall not be entitled to any Severance Pay.</w:t>
      </w:r>
    </w:p>
    <w:p>
      <w:pPr>
        <w:pStyle w:val="TextBody"/>
        <w:spacing w:lineRule="auto" w:line="288" w:before="0" w:after="180"/>
        <w:ind w:left="0" w:right="0" w:firstLine="540"/>
        <w:jc w:val="both"/>
        <w:rPr/>
      </w:pPr>
      <w:r>
        <w:rPr>
          <w:rFonts w:ascii="Times New Roman;sans-serif" w:hAnsi="Times New Roman;sans-serif"/>
          <w:b w:val="false"/>
          <w:color w:val="000000"/>
          <w:sz w:val="18"/>
        </w:rPr>
        <w:t>6.4.5</w:t>
      </w:r>
      <w:r>
        <w:rPr>
          <w:color w:val="000000"/>
        </w:rPr>
        <w:t>    </w:t>
      </w:r>
      <w:r>
        <w:rPr>
          <w:rFonts w:ascii="Times New Roman;sans-serif" w:hAnsi="Times New Roman;sans-serif"/>
          <w:b w:val="false"/>
          <w:color w:val="000000"/>
          <w:sz w:val="18"/>
        </w:rPr>
        <w:t xml:space="preserve">The Employee and the Company explicitly acknowledge and agree that the amounts accrued in the Pension Insurance Policy on account of the Company's Contribution designated for severance payments shall be in lieu and in full and final substitution of any severance pay the Employee shall be or become entitled to under any applicable Israeli law. This section is in accordance with Section 14 of the Severance Pay Law, and the General Approval of the Labor Minister, dated June 30, 1998, (as amended and as may be amended from time to time) (the ''General Approval"}, issued in accordance to the said Section 14, a copy of which is attached hereby as </w:t>
      </w:r>
      <w:r>
        <w:rPr>
          <w:rFonts w:ascii="Times New Roman;sans-serif" w:hAnsi="Times New Roman;sans-serif"/>
          <w:b/>
          <w:color w:val="000000"/>
          <w:sz w:val="18"/>
          <w:u w:val="single"/>
        </w:rPr>
        <w:t>Exhibit C</w:t>
      </w:r>
      <w:r>
        <w:rPr>
          <w:rFonts w:ascii="Times New Roman;sans-serif" w:hAnsi="Times New Roman;sans-serif"/>
          <w:b w:val="false"/>
          <w:color w:val="000000"/>
          <w:sz w:val="18"/>
        </w:rPr>
        <w:t xml:space="preserve">, together with an English translation of the same, attached hereto as </w:t>
      </w:r>
      <w:r>
        <w:rPr>
          <w:rFonts w:ascii="Times New Roman;sans-serif" w:hAnsi="Times New Roman;sans-serif"/>
          <w:b/>
          <w:color w:val="000000"/>
          <w:sz w:val="18"/>
          <w:u w:val="single"/>
        </w:rPr>
        <w:t>Exhibit D</w:t>
      </w:r>
      <w:r>
        <w:rPr>
          <w:rFonts w:ascii="Times New Roman;sans-serif" w:hAnsi="Times New Roman;sans-serif"/>
          <w:b w:val="false"/>
          <w:color w:val="000000"/>
          <w:sz w:val="18"/>
        </w:rPr>
        <w:t xml:space="preserve">. The General Approval forms an integral part of this Agreement. In so far as amendments to the General Approval shall be necessary, according and subject to any law or regulations, the provisions of the amended General Approval shall prevail and replace the General Approval attached hereto as </w:t>
      </w:r>
      <w:r>
        <w:rPr>
          <w:rFonts w:ascii="Times New Roman;sans-serif" w:hAnsi="Times New Roman;sans-serif"/>
          <w:b/>
          <w:color w:val="000000"/>
          <w:sz w:val="18"/>
          <w:u w:val="single"/>
        </w:rPr>
        <w:t>Exhibit C</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color w:val="000000"/>
          <w:sz w:val="18"/>
          <w:u w:val="single"/>
        </w:rPr>
        <w:t>Exhibit D</w:t>
      </w:r>
      <w:r>
        <w:rPr>
          <w:rFonts w:ascii="Times New Roman;sans-serif" w:hAnsi="Times New Roman;sans-serif"/>
          <w:b/>
          <w:color w:val="000000"/>
          <w:sz w:val="18"/>
        </w:rPr>
        <w:t>.</w:t>
      </w:r>
    </w:p>
    <w:p>
      <w:pPr>
        <w:pStyle w:val="TextBody"/>
        <w:spacing w:lineRule="auto" w:line="288" w:before="0" w:after="180"/>
        <w:jc w:val="both"/>
        <w:rPr/>
      </w:pPr>
      <w:r>
        <w:rPr>
          <w:rFonts w:ascii="Times New Roman;sans-serif" w:hAnsi="Times New Roman;sans-serif"/>
          <w:b w:val="false"/>
          <w:color w:val="000000"/>
          <w:sz w:val="18"/>
        </w:rPr>
        <w:t xml:space="preserve">6.5    The Company and the Employee shall open and maintain an education fund ("Keren Hishtalmut" in Hebrew) (the </w:t>
      </w:r>
      <w:r>
        <w:rPr>
          <w:rFonts w:ascii="Times New Roman;sans-serif" w:hAnsi="Times New Roman;sans-serif"/>
          <w:b w:val="false"/>
          <w:i/>
          <w:color w:val="000000"/>
          <w:sz w:val="16"/>
        </w:rPr>
        <w:t>"</w:t>
      </w:r>
      <w:r>
        <w:rPr>
          <w:rFonts w:ascii="Times New Roman;sans-serif" w:hAnsi="Times New Roman;sans-serif"/>
          <w:b/>
          <w:i/>
          <w:color w:val="000000"/>
          <w:sz w:val="16"/>
        </w:rPr>
        <w:t>Education Fund</w:t>
      </w:r>
      <w:r>
        <w:rPr>
          <w:rFonts w:ascii="Times New Roman;sans-serif" w:hAnsi="Times New Roman;sans-serif"/>
          <w:b w:val="false"/>
          <w:i/>
          <w:color w:val="000000"/>
          <w:sz w:val="16"/>
        </w:rPr>
        <w:t xml:space="preserve">"). </w:t>
      </w:r>
      <w:r>
        <w:rPr>
          <w:rFonts w:ascii="Times New Roman;sans-serif" w:hAnsi="Times New Roman;sans-serif"/>
          <w:b w:val="false"/>
          <w:color w:val="000000"/>
          <w:sz w:val="18"/>
        </w:rPr>
        <w:t>The Company shall contribute to the Education Fund an amount equal to seven and a half percent (7.5%) and the Employee shall contribute to such Education Fund an amount equal to two and a half percent (2.5%) of each Monthly Salary payment. Notwithstanding the above, the amounts contributed by the Company to the Education Fund will not exceed the limit recognized by the Income Tax Authority from time to time. In any event, any tax liability related to the Education Fund shall be borne, exclusively, by the employee. The Employee hereby authorizes the Company to transfer to the Education Fund the amount of the employee's and the Company's contribution from each Monthly Salary payment.</w:t>
      </w:r>
    </w:p>
    <w:p>
      <w:pPr>
        <w:pStyle w:val="TextBody"/>
        <w:spacing w:lineRule="auto" w:line="288" w:before="0" w:after="180"/>
        <w:jc w:val="both"/>
        <w:rPr/>
      </w:pPr>
      <w:r>
        <w:rPr>
          <w:rFonts w:ascii="Times New Roman;sans-serif" w:hAnsi="Times New Roman;sans-serif"/>
          <w:b w:val="false"/>
          <w:color w:val="000000"/>
          <w:sz w:val="18"/>
        </w:rPr>
        <w:t>6.6</w:t>
      </w:r>
      <w:r>
        <w:rPr>
          <w:color w:val="000000"/>
        </w:rPr>
        <w:t>    </w:t>
      </w:r>
      <w:r>
        <w:rPr>
          <w:rFonts w:ascii="Times New Roman;sans-serif" w:hAnsi="Times New Roman;sans-serif"/>
          <w:b w:val="false"/>
          <w:color w:val="000000"/>
          <w:sz w:val="18"/>
        </w:rPr>
        <w:t xml:space="preserve">The Employee shall be entitled to paid annual vacation days as set forth in </w:t>
      </w:r>
      <w:r>
        <w:rPr>
          <w:rFonts w:ascii="Times New Roman;sans-serif" w:hAnsi="Times New Roman;sans-serif"/>
          <w:b/>
          <w:color w:val="000000"/>
          <w:sz w:val="18"/>
          <w:u w:val="single"/>
        </w:rPr>
        <w:t>Exhibit A</w:t>
      </w:r>
      <w:r>
        <w:rPr>
          <w:color w:val="000000"/>
        </w:rPr>
        <w:t xml:space="preserve"> </w:t>
      </w:r>
      <w:r>
        <w:rPr>
          <w:rFonts w:ascii="Times New Roman;sans-serif" w:hAnsi="Times New Roman;sans-serif"/>
          <w:b w:val="false"/>
          <w:color w:val="000000"/>
          <w:sz w:val="18"/>
        </w:rPr>
        <w:t>hereto. Accumulation, execution</w:t>
      </w:r>
      <w:r>
        <w:rPr>
          <w:color w:val="000000"/>
        </w:rPr>
        <w:t xml:space="preserve"> </w:t>
      </w:r>
      <w:r>
        <w:rPr>
          <w:rFonts w:ascii="Times New Roman;sans-serif" w:hAnsi="Times New Roman;sans-serif"/>
          <w:b w:val="false"/>
          <w:color w:val="000000"/>
          <w:sz w:val="18"/>
        </w:rPr>
        <w:t>and redemption of such annual vacation days shall be made in accordance with the applicable Company's Rules, as may be amended from time to time.</w:t>
      </w:r>
    </w:p>
    <w:p>
      <w:pPr>
        <w:pStyle w:val="TextBody"/>
        <w:spacing w:lineRule="auto" w:line="288" w:before="0" w:after="180"/>
        <w:jc w:val="both"/>
        <w:rPr/>
      </w:pPr>
      <w:r>
        <w:rPr>
          <w:rFonts w:ascii="Times New Roman;sans-serif" w:hAnsi="Times New Roman;sans-serif"/>
          <w:b w:val="false"/>
          <w:color w:val="000000"/>
          <w:sz w:val="18"/>
        </w:rPr>
        <w:t>6.7</w:t>
      </w:r>
      <w:r>
        <w:rPr>
          <w:color w:val="000000"/>
        </w:rPr>
        <w:t>    </w:t>
      </w:r>
      <w:r>
        <w:rPr>
          <w:rFonts w:ascii="Times New Roman;sans-serif" w:hAnsi="Times New Roman;sans-serif"/>
          <w:b w:val="false"/>
          <w:color w:val="000000"/>
          <w:sz w:val="18"/>
        </w:rPr>
        <w:t>It is explicitly acknowledged and agreed that the Monthly Salary includes mandatory travel expenses in accordance with applicable law and Employee shall not be entitled to receive any additional reimbursement of travel expenses.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256540"/>
                <wp:effectExtent l="0" t="0" r="0" b="0"/>
                <wp:wrapNone/>
                <wp:docPr id="574" name="Frame564"/>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7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11" descr=""/>
                    <pic:cNvPicPr>
                      <a:picLocks noChangeAspect="1" noChangeArrowheads="1"/>
                    </pic:cNvPicPr>
                  </pic:nvPicPr>
                  <pic:blipFill>
                    <a:blip r:embed="rId38"/>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6.8    The Employee shall be entitled to sick leave and convalescence payments (known as "Dmei Havra'a'') in accordance with the applicable law, extension orders and in accordance with the applicable Company' Rules, as may be amended from time to time.</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6.9    The Employee shall bring to the attention of his Direct Manager any call-up order for military reserve duty immediately upon receipt of the order.</w:t>
      </w:r>
    </w:p>
    <w:p>
      <w:pPr>
        <w:pStyle w:val="TextBody"/>
        <w:spacing w:lineRule="auto" w:line="288" w:before="0" w:after="180"/>
        <w:rPr/>
      </w:pPr>
      <w:r>
        <w:rPr>
          <w:rFonts w:ascii="Times New Roman;sans-serif" w:hAnsi="Times New Roman;sans-serif"/>
          <w:b/>
          <w:color w:val="000000"/>
          <w:sz w:val="18"/>
        </w:rPr>
        <w:t>7    </w:t>
      </w:r>
      <w:r>
        <w:rPr>
          <w:rFonts w:ascii="Times New Roman;sans-serif" w:hAnsi="Times New Roman;sans-serif"/>
          <w:b/>
          <w:color w:val="000000"/>
          <w:sz w:val="18"/>
          <w:u w:val="single"/>
        </w:rPr>
        <w:t>Bonus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7.1    The Employee shall be entitled to MBO incentive payments, according to the CEO decision.</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7.2    The MBO payment will be under the following terms (the "Bonus"),:</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7.2.1    Maximum Bonus payment per year shall be NIS 240,000. Bonus will be paid at the end of each quarter, as detailed below:</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7.2.2    Company shall provide Employee with a written Plan that Employee must achieve in order to be entitled to receive the Bonus, in whole or in part (the "Plan").</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7.2.3    At the end of each quarter the Company will assess the Employee's performance and determine if the Employee is entitled to the predefined Bonus payments, in part or in full. Company's determinations in this respect shall be final and binding.</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7.2.4    MBO payments will be made on a quarterly basis, during the second month of the following quarter (e.g., MBO payments related to Q3 performance will be paid out in November).</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7.2.5    If Employee's employment is terminated prior to the end of a quarter, or if Employee was on notice period during the quarter and was not actively and fully performing all his duties through the entire quarter, then the Employee shall be entitled for the related period.</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7.2.6    Since Bonus payments, if paid, are conditional and discretionary payments, Bonus payments shall not be deemed to be part of the Employee's salary, and shall not be taken into account in the calculation of the Employee's allocations to pension plan, education fund, severance pay, redemption of vacation, or any other employment related payment or benefit.</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7.2.7    All Bonus payments shall be subject to all mandatory deductions, and shall be deemed to be quoted in gross figures.</w:t>
      </w:r>
    </w:p>
    <w:p>
      <w:pPr>
        <w:pStyle w:val="TextBody"/>
        <w:spacing w:lineRule="auto" w:line="288" w:before="0" w:after="180"/>
        <w:rPr/>
      </w:pPr>
      <w:r>
        <w:rPr>
          <w:rFonts w:ascii="Times New Roman;sans-serif" w:hAnsi="Times New Roman;sans-serif"/>
          <w:b/>
          <w:color w:val="000000"/>
          <w:sz w:val="18"/>
        </w:rPr>
        <w:t>8    </w:t>
      </w:r>
      <w:r>
        <w:rPr>
          <w:rFonts w:ascii="Times New Roman;sans-serif" w:hAnsi="Times New Roman;sans-serif"/>
          <w:b/>
          <w:color w:val="000000"/>
          <w:sz w:val="18"/>
          <w:u w:val="single"/>
        </w:rPr>
        <w:t>Additional Benefits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8.1    Company Car. The Company shall provide the Employee with a leased car (the "Leased Car"), which shall be of type and make to be elected by the Company. If the Employee will be entitled to use a Leased Car and will choose to actually use it, then the Company and the Employee shall enter into an addendum to this Employment Agreement, providing for, amongst other things, (a) the Employee's liabilities and responsibilities with respect to the use of the Leased Car and the Company's written policy regarding car leasing, which may be amended from time to time by the Company (collectively, the "Car Leasing Documents"); and (b) that the use of such Leased Car shall be subject to certain reductions and deductions from the Monthly Salary, in accordance with the Company's Car Policy, as may be amended by the Company from time to time. The Employee shall bear any applicable tax imposed with regard to the Leased Car. The Employee agrees and acknowledges that (i) the execution of a written withhold, or to have withheld, any such tax. The Employee hereby irrevocably authorizes the Company to deduct from any payment, which may be due to the Employee from the Company, any amount which the Employee may owe to the Company hereunder.</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8.2.4     The Employee acknowledges and confirms that as of the Effective Date, the above provisions constitute the sole promise made by the Company with respect to the grant of options and any other equity securities of Kaltura to the Employee, in his capacity as an Employee and in any other capacity; provided that notwithstanding the foregoing, Employee acknowledges and agrees that Employee has no right to receive any such stock or options to acquire stock unless the grant is approved by the Board of Directors of Kaltura.</w:t>
      </w:r>
    </w:p>
    <w:p>
      <w:pPr>
        <w:pStyle w:val="TextBody"/>
        <w:spacing w:lineRule="auto" w:line="288" w:before="0" w:after="180"/>
        <w:rPr/>
      </w:pPr>
      <w:r>
        <w:rPr>
          <w:rFonts w:ascii="Times New Roman;sans-serif" w:hAnsi="Times New Roman;sans-serif"/>
          <w:b/>
          <w:color w:val="000000"/>
          <w:sz w:val="18"/>
        </w:rPr>
        <w:t>9    </w:t>
      </w:r>
      <w:r>
        <w:rPr>
          <w:rFonts w:ascii="Times New Roman;sans-serif" w:hAnsi="Times New Roman;sans-serif"/>
          <w:b/>
          <w:color w:val="000000"/>
          <w:sz w:val="18"/>
          <w:u w:val="single"/>
        </w:rPr>
        <w:t>Confidentiality, Non-Compete and Proprietary Rights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9.1     The Employee shall be required, as a condition to Employee's employment with the Company, to sign the Non-Competition, Proprietary Information and Inventions Agreement in the form attached hereto as Exhibit B hereto (the "IP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256540"/>
                <wp:effectExtent l="0" t="0" r="0" b="0"/>
                <wp:wrapNone/>
                <wp:docPr id="576" name="Frame565"/>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4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4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7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12" descr=""/>
                    <pic:cNvPicPr>
                      <a:picLocks noChangeAspect="1" noChangeArrowheads="1"/>
                    </pic:cNvPicPr>
                  </pic:nvPicPr>
                  <pic:blipFill>
                    <a:blip r:embed="rId39"/>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both"/>
        <w:rPr/>
      </w:pPr>
      <w:r>
        <w:rPr>
          <w:rFonts w:ascii="Times New Roman;sans-serif" w:hAnsi="Times New Roman;sans-serif"/>
          <w:b w:val="false"/>
          <w:color w:val="000000"/>
          <w:sz w:val="18"/>
        </w:rPr>
        <w:t xml:space="preserve">9.2    Employee represents and warrants to the Company that he is aware that any breach of, or failure to comply with, the terms and conditions set forth in the IP Agreement, or part of them, will cause the Company or the Company's affiliates serious and irreparable damage, and that no financial compensation can be an appropriate remedy to such damage. Therefore, Employee agrees, that if such a breach occurs, the Company, any of the Company's affiliates or any of their designee(s) shall be entitled, without prejudice, to take all legal means necessary, and all and any injunctive relief </w:t>
      </w:r>
      <w:r>
        <w:rPr>
          <w:rFonts w:ascii="Times New Roman;sans-serif" w:hAnsi="Times New Roman;sans-serif"/>
          <w:b w:val="false"/>
          <w:color w:val="000000"/>
          <w:sz w:val="16"/>
        </w:rPr>
        <w:t xml:space="preserve">as </w:t>
      </w:r>
      <w:r>
        <w:rPr>
          <w:rFonts w:ascii="Times New Roman;sans-serif" w:hAnsi="Times New Roman;sans-serif"/>
          <w:b w:val="false"/>
          <w:color w:val="000000"/>
          <w:sz w:val="18"/>
        </w:rPr>
        <w:t>is necessary to restrain any continuing or further breach of this Agreement and the IP Agreement</w:t>
      </w:r>
    </w:p>
    <w:p>
      <w:pPr>
        <w:pStyle w:val="TextBody"/>
        <w:spacing w:lineRule="auto" w:line="288" w:before="0" w:after="180"/>
        <w:jc w:val="both"/>
        <w:rPr/>
      </w:pPr>
      <w:r>
        <w:rPr>
          <w:rFonts w:ascii="Times New Roman;sans-serif" w:hAnsi="Times New Roman;sans-serif"/>
          <w:b w:val="false"/>
          <w:color w:val="000000"/>
          <w:sz w:val="18"/>
        </w:rPr>
        <w:t xml:space="preserve">9.3    For the removal of doubt, it is hereby clarified that the Employee's compensation under this Employment Agreement has been calculated to include special consideration for the commitments under </w:t>
      </w:r>
      <w:r>
        <w:rPr>
          <w:rFonts w:ascii="Times New Roman;sans-serif" w:hAnsi="Times New Roman;sans-serif"/>
          <w:b/>
          <w:color w:val="000000"/>
          <w:sz w:val="18"/>
          <w:u w:val="single"/>
        </w:rPr>
        <w:t>Exhibit B</w:t>
      </w:r>
      <w:r>
        <w:rPr>
          <w:color w:val="000000"/>
        </w:rPr>
        <w:t xml:space="preserve"> </w:t>
      </w:r>
      <w:r>
        <w:rPr>
          <w:rFonts w:ascii="Times New Roman;sans-serif" w:hAnsi="Times New Roman;sans-serif"/>
          <w:b w:val="false"/>
          <w:color w:val="000000"/>
          <w:sz w:val="18"/>
        </w:rPr>
        <w:t xml:space="preserve">and the Employee will not be entitled to any further consideration for such commitments, expressly including no entitlement to royalties for any Service Inventions as defined in Section 132 of the Patent Law, l 967 (the </w:t>
      </w:r>
      <w:r>
        <w:rPr>
          <w:rFonts w:ascii="Times New Roman;sans-serif" w:hAnsi="Times New Roman;sans-serif"/>
          <w:b w:val="false"/>
          <w:i/>
          <w:color w:val="000000"/>
          <w:sz w:val="20"/>
        </w:rPr>
        <w:t>"</w:t>
      </w:r>
      <w:r>
        <w:rPr>
          <w:rFonts w:ascii="Times New Roman;sans-serif" w:hAnsi="Times New Roman;sans-serif"/>
          <w:b/>
          <w:i/>
          <w:color w:val="000000"/>
          <w:sz w:val="18"/>
        </w:rPr>
        <w:t>Patent Law</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This clause constih1tes an express waiver of my rights under Section 134 of the Patent Law.</w:t>
      </w:r>
    </w:p>
    <w:p>
      <w:pPr>
        <w:pStyle w:val="TextBody"/>
        <w:spacing w:lineRule="auto" w:line="288" w:before="0" w:after="180"/>
        <w:jc w:val="both"/>
        <w:rPr/>
      </w:pPr>
      <w:r>
        <w:rPr>
          <w:rFonts w:ascii="Times New Roman;sans-serif" w:hAnsi="Times New Roman;sans-serif"/>
          <w:b w:val="false"/>
          <w:color w:val="000000"/>
          <w:sz w:val="18"/>
        </w:rPr>
        <w:t xml:space="preserve">9.4    To the extent the services, deliverables, Inventions (as defined in the IP Agreement) or any other work product provided by Employee include any software, computer code and/or firmware, any such services, deliverables, Inventions or work product shall not incorporate or include any Open Source (as defined below), unless explicitly approved in writing by Company in each instance. In addition, all services, deliverables, Inventions and any other work product provided by Employee shall on delivery be free of viruses, malicious code, time bombs, Trojan horses, back doors, drop dead devices, worms, or other code of any kind that may disable, erase, display any unauthorized message, permit unauthorized access, automatically or remotely stop software, code and/or firmware from operating, or otherwise impair the services, deliverables, Inventions or work product or the Company network or any part thereof . </w:t>
      </w:r>
      <w:r>
        <w:rPr>
          <w:rFonts w:ascii="Times New Roman;sans-serif" w:hAnsi="Times New Roman;sans-serif"/>
          <w:b w:val="false"/>
          <w:i/>
          <w:color w:val="000000"/>
          <w:sz w:val="18"/>
        </w:rPr>
        <w:t>"</w:t>
      </w:r>
      <w:r>
        <w:rPr>
          <w:rFonts w:ascii="Times New Roman;sans-serif" w:hAnsi="Times New Roman;sans-serif"/>
          <w:b/>
          <w:i/>
          <w:color w:val="000000"/>
          <w:sz w:val="18"/>
        </w:rPr>
        <w:t>Open Source</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means any software that requires as a condition of its use, the modification and/or distribution of such software or other software incorporated into, derived from or distributed with such software be: (i) disclosed or distributed in source code form; (ii) licensed for the purpose of making derivative works; or (ii) redistributable at no charge.</w:t>
      </w:r>
    </w:p>
    <w:p>
      <w:pPr>
        <w:pStyle w:val="TextBody"/>
        <w:spacing w:lineRule="auto" w:line="288" w:before="0" w:after="180"/>
        <w:rPr/>
      </w:pPr>
      <w:r>
        <w:rPr>
          <w:rFonts w:ascii="Times New Roman;sans-serif" w:hAnsi="Times New Roman;sans-serif"/>
          <w:b/>
          <w:color w:val="000000"/>
          <w:sz w:val="18"/>
        </w:rPr>
        <w:t>10    </w:t>
      </w:r>
      <w:r>
        <w:rPr>
          <w:rFonts w:ascii="Times New Roman;sans-serif" w:hAnsi="Times New Roman;sans-serif"/>
          <w:b/>
          <w:color w:val="000000"/>
          <w:sz w:val="18"/>
          <w:u w:val="single"/>
        </w:rPr>
        <w:t>Employee Representations and Warranties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10.1     The Employee represents and warrants to the Company that the execution and delivery of this Employment Agreement and the fulfillment of the terms hereof: (i) will not constitute a default under or breach of any agreement or other instrument to which he/she is a party or by which he is bound, including without limitation, any confidentiality, invention assignment or non competition agreement; (ii) that no provision of any law, regulation, agreement or other document prohibits him/her from entering into this Employment Agreement; {iii) do not require the consent of any person or entity; and (iv) shall not utilize during the term of his/her employment any proprietary information of any third pai1y, including prior employers of the Employee (other than any affiliate of the Company).</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10.2    The Employee acknowledges that the Company is relying on the Employee's representations under this Section 8 upon entering into this Employment Agreement and any misrepresentation under this section by the Employee shall constitute a material breach of this Employment Agreement.</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10.3    The Employee hereby agrees and acknowledges that he has read, understands and consents to the Company Computer Policy attached hereto as Exhibit E and incorporated herein by reference, and agrees to, concurrently with the execution of this Employment Agreement, to execute such form.</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10.4    The Employee shall immediately and without delay inform the Company of any affairs and/or matters that might constitute a conflict of interest with the Employee's Position and/or employment with Company and/or the interests of the Company.</w:t>
      </w:r>
    </w:p>
    <w:p>
      <w:pPr>
        <w:pStyle w:val="TextBody"/>
        <w:spacing w:lineRule="auto" w:line="288" w:before="0" w:after="180"/>
        <w:rPr>
          <w:rFonts w:ascii="Times New Roman;sans-serif" w:hAnsi="Times New Roman;sans-serif"/>
          <w:b/>
          <w:color w:val="000000"/>
          <w:sz w:val="18"/>
          <w:u w:val="single"/>
        </w:rPr>
      </w:pPr>
      <w:r>
        <w:rPr>
          <w:rFonts w:ascii="Times New Roman;sans-serif" w:hAnsi="Times New Roman;sans-serif"/>
          <w:b/>
          <w:color w:val="000000"/>
          <w:sz w:val="18"/>
          <w:u w:val="single"/>
        </w:rPr>
        <w:t>11    General</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11.1    This Employment Agreement, together with its Exhibit and Schedules, constitute the entire understanding and agreement between the parties hereto, supersedes any and all prior discussions, agreements and correspondence with regard to the subject matter hereof, and may not be amended, modified or supplemented in any respect, except by a subsequent written document executed by both Employee and the Company.</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11.2    The Company may assign or transfer this Employment Agreement or any right, claim or obligation provided herein subject to any applicable law, provided however that none of the Employee's rights under this Agreement are thereby diminished. The obligations of the Employee hereunder shall not be assignable or delegable.</w:t>
      </w:r>
    </w:p>
    <w:p>
      <w:pPr>
        <w:pStyle w:val="TextBody"/>
        <w:spacing w:lineRule="auto" w:line="288" w:before="0" w:after="180"/>
        <w:jc w:val="both"/>
        <w:rPr/>
      </w:pPr>
      <w:r>
        <w:rPr>
          <w:rFonts w:ascii="Times New Roman;sans-serif" w:hAnsi="Times New Roman;sans-serif"/>
          <w:b w:val="false"/>
          <w:color w:val="000000"/>
          <w:sz w:val="18"/>
        </w:rPr>
        <w:t xml:space="preserve">11.3    All notices, requests and other communications to any party hereunder shall be given or made in writing and faxed, emailed, mailed (by registered or certified mail) or delivered by hand to the respective party at the address set forth in the caption of this Employment Agreement or to such other address (or fax number or email address) as such party may hereafter specify for the purpose of notice to the other party hereto. Each such notice, request or other communication shall be effective (a) if given </w:t>
      </w:r>
      <w:r>
        <w:rPr>
          <w:rFonts w:ascii="Times New Roman;sans-serif" w:hAnsi="Times New Roman;sans-serif"/>
          <w:b/>
          <w:color w:val="000000"/>
          <w:sz w:val="18"/>
        </w:rPr>
        <w:t xml:space="preserve">by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256540"/>
                <wp:effectExtent l="0" t="0" r="0" b="0"/>
                <wp:wrapNone/>
                <wp:docPr id="578" name="Frame566"/>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5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5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7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13" descr=""/>
                    <pic:cNvPicPr>
                      <a:picLocks noChangeAspect="1" noChangeArrowheads="1"/>
                    </pic:cNvPicPr>
                  </pic:nvPicPr>
                  <pic:blipFill>
                    <a:blip r:embed="rId40"/>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fax or email, one (1) business day after such fax is transmitted to the fax number or email address specified herein and the appropriate answer back is received, or (b) if given by any other means, when delivered at the address specified in the Employment Agreement.</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11.4    This Employment Agreement shall be governed by, and construed and enforced in accordance with, the laws of Israel without giving effect to principles of conflicts of law thereof. The parties submit to the exclusive jurisdiction of the competent courts of Israel in any dispute related to this Employment Agreement.</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11.5    The parties hereby confirm that this is a personal services contract and that the relationship between the parties hereto shall not be subject to any general or special collective employment agreement or any custom or practice of the Company in respect of any of its other employees or contractors.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11.6    This Employment Agreement includes the terms to be contained in, and constitutes, the written notice to be delivered to the Employee pursuant to the Notice to Employee Law (Terms of Employment), 2002. Accordingly, this Employment Agreement shall come in lieu of the notice that is required under the Notice to Employee Law.</w:t>
      </w:r>
    </w:p>
    <w:p>
      <w:pPr>
        <w:pStyle w:val="TextBody"/>
        <w:spacing w:lineRule="auto" w:line="288" w:before="0" w:after="180"/>
        <w:jc w:val="both"/>
        <w:rPr/>
      </w:pPr>
      <w:r>
        <w:rPr>
          <w:rFonts w:ascii="Times New Roman;sans-serif" w:hAnsi="Times New Roman;sans-serif"/>
          <w:b w:val="false"/>
          <w:color w:val="000000"/>
          <w:sz w:val="18"/>
        </w:rPr>
        <w:t xml:space="preserve">IN </w:t>
      </w:r>
      <w:r>
        <w:rPr>
          <w:rFonts w:ascii="Times New Roman;sans-serif" w:hAnsi="Times New Roman;sans-serif"/>
          <w:b/>
          <w:color w:val="000000"/>
          <w:sz w:val="18"/>
        </w:rPr>
        <w:t xml:space="preserve">WITNESS WHEREOF, </w:t>
      </w:r>
      <w:r>
        <w:rPr>
          <w:rFonts w:ascii="Times New Roman;sans-serif" w:hAnsi="Times New Roman;sans-serif"/>
          <w:b w:val="false"/>
          <w:color w:val="000000"/>
          <w:sz w:val="18"/>
        </w:rPr>
        <w:t>the Company and the Employee have executed this Employment Agreement as of the date first appearing above.</w:t>
      </w:r>
    </w:p>
    <w:tbl>
      <w:tblPr>
        <w:tblW w:w="4795" w:type="dxa"/>
        <w:jc w:val="left"/>
        <w:tblInd w:w="0" w:type="dxa"/>
        <w:tblCellMar>
          <w:top w:w="28" w:type="dxa"/>
          <w:left w:w="28" w:type="dxa"/>
          <w:bottom w:w="28" w:type="dxa"/>
          <w:right w:w="28" w:type="dxa"/>
        </w:tblCellMar>
      </w:tblPr>
      <w:tblGrid>
        <w:gridCol w:w="219"/>
        <w:gridCol w:w="192"/>
        <w:gridCol w:w="192"/>
        <w:gridCol w:w="414"/>
        <w:gridCol w:w="414"/>
        <w:gridCol w:w="432"/>
        <w:gridCol w:w="109"/>
        <w:gridCol w:w="109"/>
        <w:gridCol w:w="109"/>
        <w:gridCol w:w="274"/>
        <w:gridCol w:w="274"/>
        <w:gridCol w:w="276"/>
        <w:gridCol w:w="465"/>
        <w:gridCol w:w="465"/>
        <w:gridCol w:w="479"/>
        <w:gridCol w:w="109"/>
        <w:gridCol w:w="109"/>
        <w:gridCol w:w="154"/>
      </w:tblGrid>
      <w:tr>
        <w:trPr/>
        <w:tc>
          <w:tcPr>
            <w:tcW w:w="2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6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K</w:t>
            </w:r>
            <w:r>
              <w:rPr>
                <w:rFonts w:ascii="Times New Roman;sans-serif" w:hAnsi="Times New Roman;sans-serif"/>
                <w:b/>
                <w:color w:val="000000"/>
                <w:sz w:val="14"/>
              </w:rPr>
              <w:t>ALTURA</w:t>
            </w:r>
            <w:r>
              <w:rPr>
                <w:color w:val="000000"/>
              </w:rPr>
              <w:t xml:space="preserve"> </w:t>
            </w:r>
            <w:r>
              <w:rPr>
                <w:rFonts w:ascii="Times New Roman;sans-serif" w:hAnsi="Times New Roman;sans-serif"/>
                <w:b/>
                <w:color w:val="000000"/>
                <w:sz w:val="18"/>
              </w:rPr>
              <w:t>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Employee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Yaron Garmazi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Name: 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Name: </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Yaron Garmazi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Title: CEO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18, 2017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256540"/>
                <wp:effectExtent l="0" t="0" r="0" b="0"/>
                <wp:wrapNone/>
                <wp:docPr id="580" name="Frame567"/>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6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6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14" descr=""/>
                    <pic:cNvPicPr>
                      <a:picLocks noChangeAspect="1" noChangeArrowheads="1"/>
                    </pic:cNvPicPr>
                  </pic:nvPicPr>
                  <pic:blipFill>
                    <a:blip r:embed="rId41"/>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A</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Employment Terms</w:t>
      </w:r>
    </w:p>
    <w:p>
      <w:pPr>
        <w:pStyle w:val="TextBody"/>
        <w:spacing w:lineRule="auto" w:line="288" w:before="0" w:after="180"/>
        <w:jc w:val="both"/>
        <w:rPr/>
      </w:pPr>
      <w:r>
        <w:rPr>
          <w:rFonts w:ascii="Times New Roman;sans-serif" w:hAnsi="Times New Roman;sans-serif"/>
          <w:b w:val="false"/>
          <w:color w:val="000000"/>
          <w:sz w:val="18"/>
        </w:rPr>
        <w:t xml:space="preserve">Set forth below is a table detailing the specific terms of your employment (the </w:t>
      </w:r>
      <w:r>
        <w:rPr>
          <w:rFonts w:ascii="Times New Roman;sans-serif" w:hAnsi="Times New Roman;sans-serif"/>
          <w:b w:val="false"/>
          <w:i/>
          <w:color w:val="000000"/>
          <w:sz w:val="18"/>
        </w:rPr>
        <w:t>"</w:t>
      </w:r>
      <w:r>
        <w:rPr>
          <w:rFonts w:ascii="Times New Roman;sans-serif" w:hAnsi="Times New Roman;sans-serif"/>
          <w:b/>
          <w:i/>
          <w:color w:val="000000"/>
          <w:sz w:val="18"/>
        </w:rPr>
        <w:t>Employment Terms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 xml:space="preserve">with Kaltura Ltd., an Israeli company (the </w:t>
      </w:r>
      <w:r>
        <w:rPr>
          <w:rFonts w:ascii="Times New Roman;sans-serif" w:hAnsi="Times New Roman;sans-serif"/>
          <w:b w:val="false"/>
          <w:i/>
          <w:color w:val="000000"/>
          <w:sz w:val="18"/>
        </w:rPr>
        <w:t>"</w:t>
      </w:r>
      <w:r>
        <w:rPr>
          <w:rFonts w:ascii="Times New Roman;sans-serif" w:hAnsi="Times New Roman;sans-serif"/>
          <w:b/>
          <w:i/>
          <w:color w:val="000000"/>
          <w:sz w:val="18"/>
        </w:rPr>
        <w:t>Company</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 xml:space="preserve">Please review carefully both the "Employment Terms" and the terms and conditions of the Employment Agreement to which this </w:t>
      </w:r>
      <w:r>
        <w:rPr>
          <w:rFonts w:ascii="Times New Roman;sans-serif" w:hAnsi="Times New Roman;sans-serif"/>
          <w:b/>
          <w:color w:val="000000"/>
          <w:sz w:val="18"/>
          <w:u w:val="single"/>
        </w:rPr>
        <w:t>Exhibit A</w:t>
      </w:r>
      <w:r>
        <w:rPr>
          <w:color w:val="000000"/>
        </w:rPr>
        <w:t xml:space="preserve"> </w:t>
      </w:r>
      <w:r>
        <w:rPr>
          <w:rFonts w:ascii="Times New Roman;sans-serif" w:hAnsi="Times New Roman;sans-serif"/>
          <w:b w:val="false"/>
          <w:color w:val="000000"/>
          <w:sz w:val="18"/>
        </w:rPr>
        <w:t>is attached. Once you fully understand the terms and conditions set forth herein and agreed to all the terms and conditions, you are kindly requested to sign the Employment Agreement and the ancillary forms attached thereto and return them to the Company. Your execution of this document constitutes your agreement to the Employment Agreement, including your Employment Terms. The Employment Terms set forth below are subject to the terms and conditions set forth in the Employment Agreement. Capitalized terms used but not defined herein shall have the meanings as ascribed to them under the Employment Agreement.</w:t>
      </w:r>
    </w:p>
    <w:tbl>
      <w:tblPr>
        <w:tblW w:w="9357" w:type="dxa"/>
        <w:jc w:val="left"/>
        <w:tblInd w:w="0" w:type="dxa"/>
        <w:tblCellMar>
          <w:top w:w="28" w:type="dxa"/>
          <w:left w:w="28" w:type="dxa"/>
          <w:bottom w:w="28" w:type="dxa"/>
          <w:right w:w="28" w:type="dxa"/>
        </w:tblCellMar>
      </w:tblPr>
      <w:tblGrid>
        <w:gridCol w:w="1314"/>
        <w:gridCol w:w="1156"/>
        <w:gridCol w:w="1160"/>
        <w:gridCol w:w="857"/>
        <w:gridCol w:w="857"/>
        <w:gridCol w:w="857"/>
        <w:gridCol w:w="923"/>
        <w:gridCol w:w="923"/>
        <w:gridCol w:w="1310"/>
      </w:tblGrid>
      <w:tr>
        <w:trPr/>
        <w:tc>
          <w:tcPr>
            <w:tcW w:w="131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Employee Personal Details</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3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Full Name: Yaron Garmazi</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I.D. Number: ####</w:t>
            </w:r>
          </w:p>
          <w:p>
            <w:pPr>
              <w:pStyle w:val="TableContents"/>
              <w:spacing w:lineRule="auto" w:line="288" w:before="5"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Address:</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Telephone Number (cell): ####</w:t>
            </w:r>
          </w:p>
          <w:p>
            <w:pPr>
              <w:pStyle w:val="TableContents"/>
              <w:spacing w:lineRule="auto" w:line="211" w:before="12"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E-mail: ####</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Position</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CFO</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 Manager</w:t>
            </w:r>
          </w:p>
        </w:tc>
        <w:tc>
          <w:tcPr>
            <w:tcW w:w="5727" w:type="dxa"/>
            <w:gridSpan w:val="6"/>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CEO</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Monthly Salary</w:t>
            </w:r>
          </w:p>
        </w:tc>
        <w:tc>
          <w:tcPr>
            <w:tcW w:w="2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Monthly Salary:</w:t>
            </w:r>
          </w:p>
        </w:tc>
        <w:tc>
          <w:tcPr>
            <w:tcW w:w="315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24"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NIS (gross) 70,000</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Monthly MBO NIS paid on quarterly basis 20,000</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Scope of Work</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Full time</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Notice Period (by the Company or the Employee)</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60 days</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Pension Insurance</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Entitled under Section 14 route. Per the terms detailed in the Employment</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Agreement.</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Keren Hishtalmut</w:t>
            </w:r>
          </w:p>
          <w:p>
            <w:pPr>
              <w:pStyle w:val="TableContents"/>
              <w:spacing w:lineRule="auto" w:line="288" w:before="63"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(Education Fund)</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Entitled (not exceed the limit recognized by the Income Tax Authority from</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time to time).</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Company Contribution- 7.5% of the Monthly Salary</w:t>
            </w:r>
          </w:p>
          <w:p>
            <w:pPr>
              <w:pStyle w:val="TableContents"/>
              <w:spacing w:lineRule="auto" w:line="288" w:before="60" w:after="283"/>
              <w:jc w:val="left"/>
              <w:rPr/>
            </w:pPr>
            <w:r>
              <w:rPr>
                <w:rFonts w:ascii="Times New Roman;sans-serif" w:hAnsi="Times New Roman;sans-serif"/>
                <w:b w:val="false"/>
                <w:color w:val="000000"/>
                <w:sz w:val="18"/>
              </w:rPr>
              <w:t>Employee Contribution</w:t>
            </w:r>
            <w:r>
              <w:rPr>
                <w:rFonts w:ascii="Times New Roman;sans-serif" w:hAnsi="Times New Roman;sans-serif"/>
                <w:b/>
                <w:color w:val="000000"/>
                <w:sz w:val="18"/>
              </w:rPr>
              <w:t xml:space="preserve">- </w:t>
            </w:r>
            <w:r>
              <w:rPr>
                <w:rFonts w:ascii="Times New Roman;sans-serif" w:hAnsi="Times New Roman;sans-serif"/>
                <w:b w:val="false"/>
                <w:color w:val="000000"/>
                <w:sz w:val="18"/>
              </w:rPr>
              <w:t>2.5% of the Monthly Salary</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Vacation Days</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3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 workdays per year.</w:t>
            </w:r>
          </w:p>
        </w:tc>
      </w:tr>
      <w:tr>
        <w:trPr/>
        <w:tc>
          <w:tcPr>
            <w:tcW w:w="36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Sick Leave Days per Year</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 Applicable Law.</w:t>
            </w:r>
          </w:p>
        </w:tc>
      </w:tr>
      <w:tr>
        <w:trPr/>
        <w:tc>
          <w:tcPr>
            <w:tcW w:w="363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Recreation Days</w:t>
            </w:r>
          </w:p>
        </w:tc>
        <w:tc>
          <w:tcPr>
            <w:tcW w:w="5727"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 Applicable Law.</w:t>
            </w:r>
          </w:p>
        </w:tc>
      </w:tr>
    </w:tbl>
    <w:p>
      <w:pPr>
        <w:pStyle w:val="TextBody"/>
        <w:spacing w:lineRule="auto" w:line="288" w:before="0" w:after="180"/>
        <w:rPr/>
      </w:pPr>
      <w:r>
        <w:rPr>
          <w:rFonts w:ascii="Times New Roman;sans-serif" w:hAnsi="Times New Roman;sans-serif"/>
          <w:b w:val="false"/>
          <w:color w:val="000000"/>
          <w:sz w:val="18"/>
        </w:rPr>
        <w:t xml:space="preserve">IN </w:t>
      </w:r>
      <w:r>
        <w:rPr>
          <w:rFonts w:ascii="Times New Roman;sans-serif" w:hAnsi="Times New Roman;sans-serif"/>
          <w:b/>
          <w:color w:val="000000"/>
          <w:sz w:val="18"/>
        </w:rPr>
        <w:t xml:space="preserve">WITNESS WHEREOF, </w:t>
      </w:r>
      <w:r>
        <w:rPr>
          <w:rFonts w:ascii="Times New Roman;sans-serif" w:hAnsi="Times New Roman;sans-serif"/>
          <w:b w:val="false"/>
          <w:color w:val="000000"/>
          <w:sz w:val="18"/>
        </w:rPr>
        <w:t>the parties have executed these Employment Terms Agreement effective as of the Effective Date.</w:t>
      </w:r>
    </w:p>
    <w:tbl>
      <w:tblPr>
        <w:tblW w:w="4821" w:type="dxa"/>
        <w:jc w:val="left"/>
        <w:tblInd w:w="0" w:type="dxa"/>
        <w:tblCellMar>
          <w:top w:w="28" w:type="dxa"/>
          <w:left w:w="28" w:type="dxa"/>
          <w:bottom w:w="28" w:type="dxa"/>
          <w:right w:w="28" w:type="dxa"/>
        </w:tblCellMar>
      </w:tblPr>
      <w:tblGrid>
        <w:gridCol w:w="229"/>
        <w:gridCol w:w="200"/>
        <w:gridCol w:w="200"/>
        <w:gridCol w:w="414"/>
        <w:gridCol w:w="414"/>
        <w:gridCol w:w="432"/>
        <w:gridCol w:w="109"/>
        <w:gridCol w:w="109"/>
        <w:gridCol w:w="109"/>
        <w:gridCol w:w="274"/>
        <w:gridCol w:w="274"/>
        <w:gridCol w:w="276"/>
        <w:gridCol w:w="465"/>
        <w:gridCol w:w="465"/>
        <w:gridCol w:w="479"/>
        <w:gridCol w:w="109"/>
        <w:gridCol w:w="109"/>
        <w:gridCol w:w="154"/>
      </w:tblGrid>
      <w:tr>
        <w:trPr/>
        <w:tc>
          <w:tcPr>
            <w:tcW w:w="22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K</w:t>
            </w:r>
            <w:r>
              <w:rPr>
                <w:rFonts w:ascii="Times New Roman;sans-serif" w:hAnsi="Times New Roman;sans-serif"/>
                <w:b/>
                <w:color w:val="000000"/>
                <w:sz w:val="14"/>
              </w:rPr>
              <w:t>ALTURA</w:t>
            </w:r>
            <w:r>
              <w:rPr>
                <w:color w:val="000000"/>
              </w:rPr>
              <w:t xml:space="preserve"> </w:t>
            </w:r>
            <w:r>
              <w:rPr>
                <w:rFonts w:ascii="Times New Roman;sans-serif" w:hAnsi="Times New Roman;sans-serif"/>
                <w:b/>
                <w:color w:val="000000"/>
                <w:sz w:val="18"/>
              </w:rPr>
              <w:t>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Employee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Yaron Garmazi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Name: </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Name: </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Yaron Garmazi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256540"/>
                <wp:effectExtent l="0" t="0" r="0" b="0"/>
                <wp:wrapNone/>
                <wp:docPr id="582" name="Frame568"/>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7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7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8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15" descr=""/>
                    <pic:cNvPicPr>
                      <a:picLocks noChangeAspect="1" noChangeArrowheads="1"/>
                    </pic:cNvPicPr>
                  </pic:nvPicPr>
                  <pic:blipFill>
                    <a:blip r:embed="rId42"/>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B</w:t>
      </w:r>
    </w:p>
    <w:p>
      <w:pPr>
        <w:pStyle w:val="TextBody"/>
        <w:spacing w:lineRule="auto" w:line="288" w:before="0" w:after="180"/>
        <w:jc w:val="both"/>
        <w:rPr/>
      </w:pPr>
      <w:r>
        <w:rPr>
          <w:rFonts w:ascii="Times New Roman;sans-serif" w:hAnsi="Times New Roman;sans-serif"/>
          <w:b/>
          <w:color w:val="000000"/>
          <w:sz w:val="18"/>
        </w:rPr>
        <w:t>THIS NON-COMPETITION, PROPRIETARY INFORMATION AND INVENTIONS AGREEMENT (</w:t>
      </w:r>
      <w:r>
        <w:rPr>
          <w:rFonts w:ascii="Times New Roman;sans-serif" w:hAnsi="Times New Roman;sans-serif"/>
          <w:b/>
          <w:i/>
          <w:color w:val="000000"/>
          <w:sz w:val="18"/>
        </w:rPr>
        <w:t>"Agreement")</w:t>
      </w:r>
      <w:r>
        <w:rPr>
          <w:color w:val="000000"/>
        </w:rPr>
        <w:t xml:space="preserve"> </w:t>
      </w:r>
      <w:r>
        <w:rPr>
          <w:rFonts w:ascii="Times New Roman;sans-serif" w:hAnsi="Times New Roman;sans-serif"/>
          <w:b w:val="false"/>
          <w:color w:val="000000"/>
          <w:sz w:val="18"/>
        </w:rPr>
        <w:t xml:space="preserve">is made and entered by and between Kaltura Ltd., an Israeli company </w:t>
      </w:r>
      <w:r>
        <w:rPr>
          <w:rFonts w:ascii="Times New Roman;sans-serif" w:hAnsi="Times New Roman;sans-serif"/>
          <w:b w:val="false"/>
          <w:i/>
          <w:color w:val="000000"/>
          <w:sz w:val="18"/>
        </w:rPr>
        <w:t>(</w:t>
      </w:r>
      <w:r>
        <w:rPr>
          <w:rFonts w:ascii="Times New Roman;sans-serif" w:hAnsi="Times New Roman;sans-serif"/>
          <w:b/>
          <w:i/>
          <w:color w:val="000000"/>
          <w:sz w:val="18"/>
        </w:rPr>
        <w:t>"Company"</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 xml:space="preserve">and the undersigned individual </w:t>
      </w:r>
      <w:r>
        <w:rPr>
          <w:rFonts w:ascii="Times New Roman;sans-serif" w:hAnsi="Times New Roman;sans-serif"/>
          <w:b w:val="false"/>
          <w:i/>
          <w:color w:val="000000"/>
          <w:sz w:val="20"/>
        </w:rPr>
        <w:t>(</w:t>
      </w:r>
      <w:r>
        <w:rPr>
          <w:rFonts w:ascii="Times New Roman;sans-serif" w:hAnsi="Times New Roman;sans-serif"/>
          <w:b/>
          <w:i/>
          <w:color w:val="000000"/>
          <w:sz w:val="20"/>
        </w:rPr>
        <w:t>"Employee"</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 xml:space="preserve">which Agreement will be effective as of the first day of the Employee's employment by the Company (the </w:t>
      </w:r>
      <w:r>
        <w:rPr>
          <w:rFonts w:ascii="Times New Roman;sans-serif" w:hAnsi="Times New Roman;sans-serif"/>
          <w:b w:val="false"/>
          <w:i/>
          <w:color w:val="000000"/>
          <w:sz w:val="20"/>
        </w:rPr>
        <w:t xml:space="preserve">"Effective Date"). </w:t>
      </w:r>
      <w:r>
        <w:rPr>
          <w:rFonts w:ascii="Times New Roman;sans-serif" w:hAnsi="Times New Roman;sans-serif"/>
          <w:b w:val="false"/>
          <w:color w:val="000000"/>
          <w:sz w:val="18"/>
        </w:rPr>
        <w:t>Unless the context otherwise requires, the term "Company'' shall also include all direct and indirect existing and future subsidiary, parent or related corporations of the Company.</w:t>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AGREEMENT</w:t>
      </w:r>
    </w:p>
    <w:p>
      <w:pPr>
        <w:pStyle w:val="TextBody"/>
        <w:spacing w:lineRule="auto" w:line="288" w:before="0" w:after="180"/>
        <w:ind w:left="0" w:right="0" w:firstLine="1260"/>
        <w:jc w:val="both"/>
        <w:rPr>
          <w:rFonts w:ascii="Times New Roman;sans-serif" w:hAnsi="Times New Roman;sans-serif"/>
          <w:b w:val="false"/>
          <w:color w:val="000000"/>
          <w:sz w:val="18"/>
        </w:rPr>
      </w:pPr>
      <w:r>
        <w:rPr>
          <w:rFonts w:ascii="Times New Roman;sans-serif" w:hAnsi="Times New Roman;sans-serif"/>
          <w:b w:val="false"/>
          <w:color w:val="000000"/>
          <w:sz w:val="18"/>
        </w:rPr>
        <w:t>Employee acknowledges that Employee's employment by the Company creates a relationship of confidence and trust between Employee and the Company with respect to all Confidential Information (as defined below) of the Company.</w:t>
      </w:r>
    </w:p>
    <w:p>
      <w:pPr>
        <w:pStyle w:val="TextBody"/>
        <w:spacing w:lineRule="auto" w:line="288" w:before="0" w:after="180"/>
        <w:ind w:left="0" w:right="0" w:firstLine="1260"/>
        <w:jc w:val="both"/>
        <w:rPr>
          <w:rFonts w:ascii="Times New Roman;sans-serif" w:hAnsi="Times New Roman;sans-serif"/>
          <w:b w:val="false"/>
          <w:color w:val="000000"/>
          <w:sz w:val="18"/>
        </w:rPr>
      </w:pPr>
      <w:r>
        <w:rPr>
          <w:rFonts w:ascii="Times New Roman;sans-serif" w:hAnsi="Times New Roman;sans-serif"/>
          <w:b w:val="false"/>
          <w:color w:val="000000"/>
          <w:sz w:val="18"/>
        </w:rPr>
        <w:t>In consideration and as a condition of Employee's employment by the Company, the compensation paid therefore and the benefits received therefore, the sufficiency of which is hereby acknowledged, it is hereby agreed as follows:</w:t>
      </w:r>
    </w:p>
    <w:p>
      <w:pPr>
        <w:pStyle w:val="TextBody"/>
        <w:spacing w:lineRule="auto" w:line="288" w:before="0" w:after="180"/>
        <w:ind w:left="0" w:right="0" w:firstLine="540"/>
        <w:rPr/>
      </w:pPr>
      <w:r>
        <w:rPr>
          <w:rFonts w:ascii="Times New Roman;sans-serif" w:hAnsi="Times New Roman;sans-serif"/>
          <w:b/>
          <w:color w:val="000000"/>
          <w:sz w:val="20"/>
          <w:u w:val="single"/>
        </w:rPr>
        <w:t>1.</w:t>
      </w:r>
      <w:r>
        <w:rPr>
          <w:color w:val="000000"/>
        </w:rPr>
        <w:t>    </w:t>
      </w:r>
      <w:r>
        <w:rPr>
          <w:rFonts w:ascii="Times New Roman;sans-serif" w:hAnsi="Times New Roman;sans-serif"/>
          <w:b/>
          <w:color w:val="000000"/>
          <w:sz w:val="18"/>
        </w:rPr>
        <w:t>Confidential Information.</w:t>
      </w:r>
    </w:p>
    <w:p>
      <w:pPr>
        <w:pStyle w:val="TextBody"/>
        <w:spacing w:lineRule="auto" w:line="288" w:before="0" w:after="180"/>
        <w:ind w:left="0" w:right="0" w:firstLine="1260"/>
        <w:jc w:val="both"/>
        <w:rPr/>
      </w:pPr>
      <w:r>
        <w:rPr>
          <w:rFonts w:ascii="Times New Roman;sans-serif" w:hAnsi="Times New Roman;sans-serif"/>
          <w:b w:val="false"/>
          <w:color w:val="000000"/>
          <w:sz w:val="18"/>
        </w:rPr>
        <w:t>(a)    </w:t>
      </w:r>
      <w:r>
        <w:rPr>
          <w:rFonts w:ascii="Times New Roman;sans-serif" w:hAnsi="Times New Roman;sans-serif"/>
          <w:b w:val="false"/>
          <w:color w:val="000000"/>
          <w:sz w:val="18"/>
          <w:u w:val="single"/>
        </w:rPr>
        <w:t>Confidentiality</w:t>
      </w:r>
      <w:r>
        <w:rPr>
          <w:rFonts w:ascii="Times New Roman;sans-serif" w:hAnsi="Times New Roman;sans-serif"/>
          <w:b w:val="false"/>
          <w:color w:val="000000"/>
          <w:sz w:val="18"/>
        </w:rPr>
        <w:t xml:space="preserve">. Except as herein provided, Employee agrees that during </w:t>
      </w:r>
      <w:r>
        <w:rPr>
          <w:rFonts w:ascii="Times New Roman;sans-serif" w:hAnsi="Times New Roman;sans-serif"/>
          <w:b w:val="false"/>
          <w:color w:val="000000"/>
          <w:sz w:val="18"/>
          <w:u w:val="single"/>
        </w:rPr>
        <w:t>and after</w:t>
      </w:r>
      <w:r>
        <w:rPr>
          <w:color w:val="000000"/>
        </w:rPr>
        <w:t xml:space="preserve"> </w:t>
      </w:r>
      <w:r>
        <w:rPr>
          <w:rFonts w:ascii="Times New Roman;sans-serif" w:hAnsi="Times New Roman;sans-serif"/>
          <w:b w:val="false"/>
          <w:color w:val="000000"/>
          <w:sz w:val="18"/>
        </w:rPr>
        <w:t xml:space="preserve">termination of his or her employment with the Company, he or she (i) shall keep Confidential Information (as defined below) confidential and shall not directly or indirectly, use, divulge, publish or otherwise disclose or allow to be disclosed any aspect of Confidential Information without the Company's prior written consent; (ii) shall refrain from any action or conduct which might reasonably or foreseeably be expected to compromise the confidentiality or proprietary nature of the Confidential Information; and (iii) shall follow recommendations made by the Board of Directors, officers or supervisors of the Company from time to time regarding Confidential Information. </w:t>
      </w:r>
      <w:r>
        <w:rPr>
          <w:rFonts w:ascii="Times New Roman;sans-serif" w:hAnsi="Times New Roman;sans-serif"/>
          <w:b w:val="false"/>
          <w:i/>
          <w:color w:val="000000"/>
          <w:sz w:val="18"/>
        </w:rPr>
        <w:t>"</w:t>
      </w:r>
      <w:r>
        <w:rPr>
          <w:rFonts w:ascii="Times New Roman;sans-serif" w:hAnsi="Times New Roman;sans-serif"/>
          <w:b/>
          <w:i/>
          <w:color w:val="000000"/>
          <w:sz w:val="18"/>
        </w:rPr>
        <w:t>Confidential Information</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includes but is not limited to Inventions (as defined in section 2(b)), trade secrets, confidential information, knowledge or data of the Company, or any of its clients, customers, consultants, shareholders, licensees, licensors, vendors or affiliates, that Employee may produce, obtain or otherwise acquire or have access to during the course of his or her employment by the Company (whether before or after the date of this Agreement), including but not limited to: business plans, records, and affairs; customer files and lists; special customer matters; sales practices; methods and techniques; merchandising concepts, strategies and plans; sources of supply and vendors; special business relationships with vendors, agents, and brokers; promotional materials and information; financial matters; mergers; acquisitions; equipment, technologies and processes; selective personnel matters; inventions; developments; product specifications; procedures; pricing information; intellectual property; know-how; technical data; software programs; algorithms; operations and production costs; processes; designs; formulas; ideas; plans; devices; materials; and other similar matters which are confidential. AB Confidential Information and all tangible materials containing Confidential Information are and shall remain the sole property of the Company.</w:t>
      </w:r>
    </w:p>
    <w:p>
      <w:pPr>
        <w:pStyle w:val="TextBody"/>
        <w:spacing w:lineRule="auto" w:line="288" w:before="0" w:after="180"/>
        <w:ind w:left="0" w:right="0" w:firstLine="1260"/>
        <w:jc w:val="both"/>
        <w:rPr/>
      </w:pPr>
      <w:r>
        <w:rPr>
          <w:rFonts w:ascii="Times New Roman;sans-serif" w:hAnsi="Times New Roman;sans-serif"/>
          <w:b w:val="false"/>
          <w:color w:val="000000"/>
          <w:sz w:val="18"/>
        </w:rPr>
        <w:t>(b)    Limitation</w:t>
      </w:r>
      <w:r>
        <w:rPr>
          <w:rFonts w:ascii="Times New Roman;sans-serif" w:hAnsi="Times New Roman;sans-serif"/>
          <w:b w:val="false"/>
          <w:color w:val="000000"/>
          <w:sz w:val="18"/>
          <w:u w:val="single"/>
        </w:rPr>
        <w:t>.</w:t>
      </w:r>
      <w:r>
        <w:rPr>
          <w:color w:val="000000"/>
        </w:rPr>
        <w:t xml:space="preserve"> </w:t>
      </w:r>
      <w:r>
        <w:rPr>
          <w:rFonts w:ascii="Times New Roman;sans-serif" w:hAnsi="Times New Roman;sans-serif"/>
          <w:b w:val="false"/>
          <w:color w:val="000000"/>
          <w:sz w:val="18"/>
        </w:rPr>
        <w:t>Employee shall have no obligation under this Agreement to maintain in confidence any information that (i) is in the public domain at the time of disclosure, (ii) though originally Confidential Information, subsequently enters the public domain other than by breach of Employee's obligations hereunder or by breach of another person's or entity's confidentiality obligations.</w:t>
      </w:r>
    </w:p>
    <w:p>
      <w:pPr>
        <w:pStyle w:val="TextBody"/>
        <w:spacing w:lineRule="auto" w:line="288" w:before="0" w:after="180"/>
        <w:ind w:left="0" w:right="0" w:firstLine="1260"/>
        <w:jc w:val="both"/>
        <w:rPr/>
      </w:pPr>
      <w:r>
        <w:rPr>
          <w:rFonts w:ascii="Times New Roman;sans-serif" w:hAnsi="Times New Roman;sans-serif"/>
          <w:b w:val="false"/>
          <w:color w:val="000000"/>
          <w:sz w:val="18"/>
        </w:rPr>
        <w:t>(c)    </w:t>
      </w:r>
      <w:r>
        <w:rPr>
          <w:rFonts w:ascii="Times New Roman;sans-serif" w:hAnsi="Times New Roman;sans-serif"/>
          <w:b w:val="false"/>
          <w:color w:val="000000"/>
          <w:sz w:val="18"/>
          <w:u w:val="single"/>
        </w:rPr>
        <w:t>Former Employer Information.</w:t>
      </w:r>
      <w:r>
        <w:rPr>
          <w:color w:val="000000"/>
        </w:rPr>
        <w:t xml:space="preserve"> </w:t>
      </w:r>
      <w:r>
        <w:rPr>
          <w:rFonts w:ascii="Times New Roman;sans-serif" w:hAnsi="Times New Roman;sans-serif"/>
          <w:b w:val="false"/>
          <w:color w:val="000000"/>
          <w:sz w:val="18"/>
        </w:rPr>
        <w:t>Employee agrees that he or she has not and will not, during the term of his or her employment, (i) improperly use or disclose any proprietary information or trade secrets of any former employer or other person or entity (except for affiliates of the Company) with which Employee has an agreement or duty to keep in confidence information acquired by Employee, if any, or (ii) bring onto the premises of the Company any document or confidential or proprietary information belonging to such employer, person or entity unless consented to in writing by such employer, person or entity. Employee will indemnify the Company and hold it harmless from and against all claims, liabilities, damages and expenses, including reasonable attorneys' fees and costs of suit, arising out of or in connection with any violation of the foregoing.</w:t>
      </w:r>
    </w:p>
    <w:p>
      <w:pPr>
        <w:pStyle w:val="TextBody"/>
        <w:spacing w:lineRule="auto" w:line="288" w:before="0" w:after="180"/>
        <w:ind w:left="0" w:right="0" w:firstLine="1260"/>
        <w:jc w:val="both"/>
        <w:rPr/>
      </w:pPr>
      <w:r>
        <w:rPr>
          <w:rFonts w:ascii="Times New Roman;sans-serif" w:hAnsi="Times New Roman;sans-serif"/>
          <w:b w:val="false"/>
          <w:color w:val="000000"/>
          <w:sz w:val="18"/>
        </w:rPr>
        <w:t>(d)    Third</w:t>
      </w:r>
      <w:r>
        <w:rPr>
          <w:color w:val="000000"/>
          <w:u w:val="single"/>
        </w:rPr>
        <w:t xml:space="preserve"> </w:t>
      </w:r>
      <w:r>
        <w:rPr>
          <w:rFonts w:ascii="Times New Roman;sans-serif" w:hAnsi="Times New Roman;sans-serif"/>
          <w:b w:val="false"/>
          <w:color w:val="000000"/>
          <w:sz w:val="18"/>
          <w:u w:val="single"/>
        </w:rPr>
        <w:t>Party Information</w:t>
      </w:r>
      <w:r>
        <w:rPr>
          <w:rFonts w:ascii="Times New Roman;sans-serif" w:hAnsi="Times New Roman;sans-serif"/>
          <w:b w:val="false"/>
          <w:color w:val="000000"/>
          <w:sz w:val="18"/>
        </w:rPr>
        <w:t xml:space="preserve">. Employee recognizes that the Company may have received, and in the future may receive, from third parties their confidential or proprietary information subject to a duty on the Company's part to maintain the confidentiality of such information and to use </w:t>
      </w:r>
      <w:r>
        <w:rPr>
          <w:rFonts w:ascii="Times New Roman;sans-serif" w:hAnsi="Times New Roman;sans-serif"/>
          <w:b w:val="false"/>
          <w:color w:val="000000"/>
          <w:sz w:val="20"/>
        </w:rPr>
        <w:t xml:space="preserve">it </w:t>
      </w:r>
      <w:r>
        <w:rPr>
          <w:rFonts w:ascii="Times New Roman;sans-serif" w:hAnsi="Times New Roman;sans-serif"/>
          <w:b w:val="false"/>
          <w:color w:val="000000"/>
          <w:sz w:val="18"/>
        </w:rPr>
        <w:t>only for certain limited purposes. Employee agrees that Employee owes the Company and such third parties, during Employee's employment by the Company and thereafter, a duty to hold all such confidential or proprietary information in the strictest confidence and not to disclose it to any person or firm and to use it in a manner consistent with, and for the limited purposes permitted by, the Company's agreement with such third party.</w:t>
      </w:r>
    </w:p>
    <w:p>
      <w:pPr>
        <w:pStyle w:val="TextBody"/>
        <w:spacing w:lineRule="auto" w:line="288" w:before="0" w:after="180"/>
        <w:ind w:left="0" w:right="0" w:firstLine="1260"/>
        <w:jc w:val="both"/>
        <w:rPr/>
      </w:pPr>
      <w:r>
        <w:rPr>
          <w:rFonts w:ascii="Times New Roman;sans-serif" w:hAnsi="Times New Roman;sans-serif"/>
          <w:b w:val="false"/>
          <w:color w:val="000000"/>
          <w:sz w:val="18"/>
        </w:rPr>
        <w:t>(e)    Conflicting</w:t>
      </w:r>
      <w:r>
        <w:rPr>
          <w:color w:val="000000"/>
          <w:u w:val="single"/>
        </w:rPr>
        <w:t xml:space="preserve"> </w:t>
      </w:r>
      <w:r>
        <w:rPr>
          <w:rFonts w:ascii="Times New Roman;sans-serif" w:hAnsi="Times New Roman;sans-serif"/>
          <w:b w:val="false"/>
          <w:color w:val="000000"/>
          <w:sz w:val="18"/>
          <w:u w:val="single"/>
        </w:rPr>
        <w:t>Activities</w:t>
      </w:r>
      <w:r>
        <w:rPr>
          <w:rFonts w:ascii="Times New Roman;sans-serif" w:hAnsi="Times New Roman;sans-serif"/>
          <w:b w:val="false"/>
          <w:color w:val="000000"/>
          <w:sz w:val="18"/>
        </w:rPr>
        <w:t>. While employed by the Company, Employee will not work as an employee or consultant of any other organization or engage in any other activities which conflict, directly or indirectly, with the obligations to the Company, without the express prior written approval of the Company.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256540"/>
                <wp:effectExtent l="0" t="0" r="0" b="0"/>
                <wp:wrapNone/>
                <wp:docPr id="584" name="Frame569"/>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8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8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8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16" descr=""/>
                    <pic:cNvPicPr>
                      <a:picLocks noChangeAspect="1" noChangeArrowheads="1"/>
                    </pic:cNvPicPr>
                  </pic:nvPicPr>
                  <pic:blipFill>
                    <a:blip r:embed="rId43"/>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ind w:left="0" w:right="0" w:firstLine="1260"/>
        <w:jc w:val="both"/>
        <w:rPr>
          <w:rFonts w:ascii="Times New Roman;sans-serif" w:hAnsi="Times New Roman;sans-serif"/>
          <w:b/>
          <w:color w:val="000000"/>
          <w:sz w:val="18"/>
        </w:rPr>
      </w:pPr>
      <w:r>
        <w:rPr>
          <w:rFonts w:ascii="Times New Roman;sans-serif" w:hAnsi="Times New Roman;sans-serif"/>
          <w:b/>
          <w:color w:val="000000"/>
          <w:sz w:val="18"/>
        </w:rPr>
        <w:t>2.    Inventions.</w:t>
      </w:r>
    </w:p>
    <w:p>
      <w:pPr>
        <w:pStyle w:val="TextBody"/>
        <w:spacing w:lineRule="auto" w:line="288" w:before="0" w:after="180"/>
        <w:ind w:left="0" w:right="0" w:firstLine="1260"/>
        <w:jc w:val="both"/>
        <w:rPr/>
      </w:pPr>
      <w:r>
        <w:rPr>
          <w:rFonts w:ascii="Times New Roman;sans-serif" w:hAnsi="Times New Roman;sans-serif"/>
          <w:b w:val="false"/>
          <w:color w:val="000000"/>
          <w:sz w:val="18"/>
        </w:rPr>
        <w:t>(a)    </w:t>
      </w:r>
      <w:r>
        <w:rPr>
          <w:rFonts w:ascii="Times New Roman;sans-serif" w:hAnsi="Times New Roman;sans-serif"/>
          <w:b w:val="false"/>
          <w:color w:val="000000"/>
          <w:sz w:val="18"/>
          <w:u w:val="single"/>
        </w:rPr>
        <w:t>Inventions Retained and Licensed.</w:t>
      </w:r>
      <w:r>
        <w:rPr>
          <w:color w:val="000000"/>
        </w:rPr>
        <w:t xml:space="preserve"> </w:t>
      </w:r>
      <w:r>
        <w:rPr>
          <w:rFonts w:ascii="Times New Roman;sans-serif" w:hAnsi="Times New Roman;sans-serif"/>
          <w:b w:val="false"/>
          <w:color w:val="000000"/>
          <w:sz w:val="18"/>
        </w:rPr>
        <w:t>Employee represents that there are no Prior Inventions (as defined below). Employee hereby acknowledges that, if in the course of his or her service for Company, Employee incorporates into a Company product, process or machine a Prior Invention owned by Employee or in which he or she has an interest, Company is hereby granted and shall have a fully paid, nonexclusive, royalty-free, irrevocable, perpetual, worldwide, transferable and sub licensable right and license to make, have made, modify, create derivative works, reproduce, use, offer to sell, sell, sublicense and otherwise distribute such Prior Invention (as may be improved or enhanced by or for Company) and in the event of copyrightable materials, copy, distribute, publicly perform, publicly display, make derivative works thereof, and sublicense such copyrightable materials, as part of or in connection with such product, process or machine.</w:t>
      </w:r>
    </w:p>
    <w:p>
      <w:pPr>
        <w:pStyle w:val="TextBody"/>
        <w:spacing w:lineRule="auto" w:line="288" w:before="0" w:after="180"/>
        <w:ind w:left="0" w:right="0" w:firstLine="1260"/>
        <w:jc w:val="both"/>
        <w:rPr/>
      </w:pPr>
      <w:r>
        <w:rPr>
          <w:rFonts w:ascii="Times New Roman;sans-serif" w:hAnsi="Times New Roman;sans-serif"/>
          <w:b w:val="false"/>
          <w:color w:val="000000"/>
          <w:sz w:val="18"/>
        </w:rPr>
        <w:t>For the purposes of this Agreement, the term "</w:t>
      </w:r>
      <w:r>
        <w:rPr>
          <w:rFonts w:ascii="Times New Roman;sans-serif" w:hAnsi="Times New Roman;sans-serif"/>
          <w:b/>
          <w:color w:val="000000"/>
          <w:sz w:val="18"/>
        </w:rPr>
        <w:t>Prior Inventions</w:t>
      </w:r>
      <w:r>
        <w:rPr>
          <w:rFonts w:ascii="Times New Roman;sans-serif" w:hAnsi="Times New Roman;sans-serif"/>
          <w:b w:val="false"/>
          <w:color w:val="000000"/>
          <w:sz w:val="18"/>
        </w:rPr>
        <w:t>" shall mean inventions, ideas, improvements, designs or discoveries, whether or not patentable and whether or not reduced to practice, original works of authorship, computer programs (including, but not limited to, code, modules, tools, and libraries) and trade secrets made or conceived by or belonging to Employee (whether made solely by Employee or jointly with others) that (i) were developed by Employee prior to Employee's employment by Company, (ii) relate to Company's actual or proposed business, operations, products or research and development, and (iii) are not assigned to Company hereunder.</w:t>
      </w:r>
    </w:p>
    <w:p>
      <w:pPr>
        <w:pStyle w:val="TextBody"/>
        <w:spacing w:lineRule="auto" w:line="288" w:before="0" w:after="0"/>
        <w:ind w:left="0" w:right="0" w:firstLine="1260"/>
        <w:jc w:val="both"/>
        <w:rPr/>
      </w:pPr>
      <w:r>
        <w:rPr>
          <w:rFonts w:ascii="Times New Roman;sans-serif" w:hAnsi="Times New Roman;sans-serif"/>
          <w:b w:val="false"/>
          <w:color w:val="000000"/>
          <w:sz w:val="18"/>
        </w:rPr>
        <w:t>(b)    </w:t>
      </w:r>
      <w:r>
        <w:rPr>
          <w:rFonts w:ascii="Times New Roman;sans-serif" w:hAnsi="Times New Roman;sans-serif"/>
          <w:b w:val="false"/>
          <w:color w:val="000000"/>
          <w:sz w:val="18"/>
          <w:u w:val="single"/>
        </w:rPr>
        <w:t>Assignment of Inventions</w:t>
      </w:r>
      <w:r>
        <w:rPr>
          <w:rFonts w:ascii="Times New Roman;sans-serif" w:hAnsi="Times New Roman;sans-serif"/>
          <w:b w:val="false"/>
          <w:color w:val="000000"/>
          <w:sz w:val="18"/>
        </w:rPr>
        <w:t>. Except as provided in Section 2(e) hereof, Employee hereby assigns and transfers to Company, to the fullest extent under applicable law, his or her entire right, title and interest in and to all inventions (including, but not limited to, "Service Inventions" as defined in Section 132 of the Israeli Patent Law- 1967 (the "</w:t>
      </w:r>
      <w:r>
        <w:rPr>
          <w:rFonts w:ascii="Times New Roman;sans-serif" w:hAnsi="Times New Roman;sans-serif"/>
          <w:b/>
          <w:color w:val="000000"/>
          <w:sz w:val="18"/>
        </w:rPr>
        <w:t>Patent Law</w:t>
      </w:r>
      <w:r>
        <w:rPr>
          <w:rFonts w:ascii="Times New Roman;sans-serif" w:hAnsi="Times New Roman;sans-serif"/>
          <w:b w:val="false"/>
          <w:color w:val="000000"/>
          <w:sz w:val="18"/>
        </w:rPr>
        <w:t>"), ideas, improvements, designs, developments, works, know-how, original works of authorship, formulae, ideas, concepts, techniques, methods, systems, processes, compositions of matter, algorithms, computer software programs (including, but not limited to, any code, modules, tools, and libraries), databases, trade secrets and discoveries and any other intellectual creations of any nature whatsoever (the "</w:t>
      </w:r>
      <w:r>
        <w:rPr>
          <w:rFonts w:ascii="Times New Roman;sans-serif" w:hAnsi="Times New Roman;sans-serif"/>
          <w:b/>
          <w:i/>
          <w:color w:val="000000"/>
          <w:sz w:val="18"/>
        </w:rPr>
        <w:t>Inventions</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 xml:space="preserve">whether or not patentable and whether or not reduced to practice, made or conceived by Employee, whether solely by Employee or jointly with others, prior to or during the period of his or her employment with Company that (i) relate in any manner to the actual or demonstrably anticipated business, work, or research and development of Company, its affiliates or subsidiaries, (ii) are developed in whole or in part on Company's time or using Company's equipment, supplies, facilities or Confidential Information, or (iii) result from or are suggested by any task assigned to Employee or any work performed by Employee for or on behalf of Company, its affiliates or subsidiaries, or by the scope of Employee's duties and responsibilities with Company, its affiliates or subsidiaries. In the event that Employee believes that he or she is entitled to ownership, either in whole or in part, of an Invention pursuant to Section 2(e) hereof, he or she shall notify Company of such in writing. Except in such cases as the Board of Directors of Company confirms in writing that Employee is entitled to ownership, Employee agrees that all Inventions are the sole property of Company. Employee further acknowledges that all original works of authorship that are made by Employee, solely or jointly with others, within the scope of and during the period of Employee's employment by Company and that are protectable by copyright are "works made for hire," as defined in the U.S. Copyright Act and shall be owned solely by the Company. Without derogating from the aforementioned, the Employee hereby explicitly waives any interest, claim or demand that the Employee may have for, or may be entitled to, with respect to any consideration, compensation or royalty in connection with Assignable Inventions, including but not limited to, any claims for consideration, compensation or royalty before the Committee for Compensation and Royalties (the </w:t>
      </w:r>
      <w:r>
        <w:rPr>
          <w:rFonts w:ascii="Times New Roman;sans-serif" w:hAnsi="Times New Roman;sans-serif"/>
          <w:b w:val="false"/>
          <w:i/>
          <w:color w:val="000000"/>
          <w:sz w:val="20"/>
        </w:rPr>
        <w:t>"</w:t>
      </w:r>
      <w:r>
        <w:rPr>
          <w:rFonts w:ascii="Times New Roman;sans-serif" w:hAnsi="Times New Roman;sans-serif"/>
          <w:b/>
          <w:i/>
          <w:color w:val="000000"/>
          <w:sz w:val="20"/>
        </w:rPr>
        <w:t>Committee</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 xml:space="preserve">or other tribunal with competent jurisdiction pursuant to Section 134 of the Patent Law or any other similar provision under any law of any applicable jurisdiction. The Employee hereby acknowledges and declares that the monthly salary and any other benefits provided under the Employment Agreement to which this Exhibit is attached, constitutes the entire compensation to which he/she is entitled to and includes any and all consideration with respect to the Inventions developed by him/her. The Employee further waives the right to bring any claims, demands or allegations to receive compensation, consideration or royalty with respect to the Moral Rights (as defined below) and the Company Inventions before the Committee under the Patent Law. Notwithstanding the above, in the event that despite the parties' agreement hereunder and the aforementioned waiver it is determined by any competent authority (including but not limited to the Committee) that for any reason whatsoever the Employee is or will be entitled to consideration, compensation or royalty in connection with one or more Company Inventions, the Employee agrees and acknowledges that the Special Compensation (as defined below) will be deemed the sole and final consideration, compensation or royalty payments to which Employee is, and will be, entitled to in connection with such Company Inventions. </w:t>
      </w:r>
      <w:r>
        <w:rPr>
          <w:rFonts w:ascii="Times New Roman;sans-serif" w:hAnsi="Times New Roman;sans-serif"/>
          <w:b w:val="false"/>
          <w:i/>
          <w:color w:val="000000"/>
          <w:sz w:val="18"/>
        </w:rPr>
        <w:t xml:space="preserve">" </w:t>
      </w:r>
      <w:r>
        <w:rPr>
          <w:rFonts w:ascii="Times New Roman;sans-serif" w:hAnsi="Times New Roman;sans-serif"/>
          <w:b/>
          <w:i/>
          <w:color w:val="000000"/>
          <w:sz w:val="18"/>
        </w:rPr>
        <w:t>Moral Rights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 xml:space="preserve">as used herein means the rights of an author under Section 45 of the Israeli Copyright Law, 2007, or any other similar provision under any law of any applicable jurisdiction, including the right of the author to be known as the author of his/her work; to prevent others from being named as the author of his/her work; to prevent others from making deforming changes in his/her work in a manner that reflects negatively on his/her professional standing, his/her goodwill or dignity. For the purpose hereof, the term </w:t>
      </w:r>
      <w:r>
        <w:rPr>
          <w:rFonts w:ascii="Times New Roman;sans-serif" w:hAnsi="Times New Roman;sans-serif"/>
          <w:b w:val="false"/>
          <w:i/>
          <w:color w:val="000000"/>
          <w:sz w:val="20"/>
        </w:rPr>
        <w:t>"</w:t>
      </w:r>
      <w:r>
        <w:rPr>
          <w:rFonts w:ascii="Times New Roman;sans-serif" w:hAnsi="Times New Roman;sans-serif"/>
          <w:b/>
          <w:i/>
          <w:color w:val="000000"/>
          <w:sz w:val="20"/>
        </w:rPr>
        <w:t>Special Compensation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shall mean an amount equal to 10% of the monthly salary of the Employee, which amount shall be considered as a special compensation for the Employee's contribution any</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Company's Invention.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256540"/>
                <wp:effectExtent l="0" t="0" r="0" b="0"/>
                <wp:wrapNone/>
                <wp:docPr id="586" name="Frame570"/>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9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9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8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17" descr=""/>
                    <pic:cNvPicPr>
                      <a:picLocks noChangeAspect="1" noChangeArrowheads="1"/>
                    </pic:cNvPicPr>
                  </pic:nvPicPr>
                  <pic:blipFill>
                    <a:blip r:embed="rId44"/>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ind w:left="0" w:right="0" w:firstLine="1260"/>
        <w:jc w:val="both"/>
        <w:rPr/>
      </w:pPr>
      <w:r>
        <w:rPr>
          <w:rFonts w:ascii="Times New Roman;sans-serif" w:hAnsi="Times New Roman;sans-serif"/>
          <w:b w:val="false"/>
          <w:color w:val="000000"/>
          <w:sz w:val="18"/>
        </w:rPr>
        <w:t>(c)    </w:t>
      </w:r>
      <w:r>
        <w:rPr>
          <w:rFonts w:ascii="Times New Roman;sans-serif" w:hAnsi="Times New Roman;sans-serif"/>
          <w:b w:val="false"/>
          <w:color w:val="000000"/>
          <w:sz w:val="18"/>
          <w:u w:val="single"/>
        </w:rPr>
        <w:t>Disclosure of Inventions</w:t>
      </w:r>
      <w:r>
        <w:rPr>
          <w:rFonts w:ascii="Times New Roman;sans-serif" w:hAnsi="Times New Roman;sans-serif"/>
          <w:b w:val="false"/>
          <w:color w:val="000000"/>
          <w:sz w:val="18"/>
        </w:rPr>
        <w:t xml:space="preserve">. Employee agrees that in connection with any Invention: (i) Employee shall promptly disclose such Invention in writing to his or her immediate supervisor at Company (which shall be received in confidence by Company), with a copy to the Company, regardless of whether Employee believes the Invention is covered by Section 2(e), in order to permit Company to claim rights to which it may be entitled under this Agreement; and (ii) Employee shall, at Company's request, promptly execute a written assignment of title to Company for any Invention required to be assigned by Section 2(b) (an </w:t>
      </w:r>
      <w:r>
        <w:rPr>
          <w:rFonts w:ascii="Times New Roman;sans-serif" w:hAnsi="Times New Roman;sans-serif"/>
          <w:b/>
          <w:i/>
          <w:color w:val="000000"/>
          <w:sz w:val="18"/>
        </w:rPr>
        <w:t>"Assignable Invention"</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and Employee will preserve any such Assignable Invention as Confidential Information of Company.</w:t>
      </w:r>
    </w:p>
    <w:p>
      <w:pPr>
        <w:pStyle w:val="TextBody"/>
        <w:spacing w:lineRule="auto" w:line="288" w:before="0" w:after="0"/>
        <w:ind w:left="0" w:right="0" w:firstLine="1260"/>
        <w:jc w:val="both"/>
        <w:rPr/>
      </w:pPr>
      <w:r>
        <w:rPr>
          <w:rFonts w:ascii="Times New Roman;sans-serif" w:hAnsi="Times New Roman;sans-serif"/>
          <w:b w:val="false"/>
          <w:color w:val="000000"/>
          <w:sz w:val="18"/>
        </w:rPr>
        <w:t>(d)    </w:t>
      </w:r>
      <w:r>
        <w:rPr>
          <w:rFonts w:ascii="Times New Roman;sans-serif" w:hAnsi="Times New Roman;sans-serif"/>
          <w:b w:val="false"/>
          <w:color w:val="000000"/>
          <w:sz w:val="18"/>
          <w:u w:val="single"/>
        </w:rPr>
        <w:t>Patent and Copyright Registrations</w:t>
      </w:r>
      <w:r>
        <w:rPr>
          <w:rFonts w:ascii="Times New Roman;sans-serif" w:hAnsi="Times New Roman;sans-serif"/>
          <w:b w:val="false"/>
          <w:color w:val="000000"/>
          <w:sz w:val="18"/>
        </w:rPr>
        <w:t>. Employee agrees to assist Company, or its designee, at Company's expense, in every proper way to secure Company's rights in the Assignable Inventions and any copyrights, patents, mask work rights or other intellectual property rights relating thereto in any and all countries, including the disclosure to Company of all pertinent information and data with respect thereto, the execution of all applications, specifications, oaths, assignments and other instruments that Company shall deem necessary in order to apply for and obtain such rights and in order to assign and convey to Company, its successors, assigns, and nominees the sole and exclusive rights, title and interest in and to such Assignable Inventions, and any copyrights, patents, or other intellectual property rights relating thereto. Employee further agrees that his or her obligation to execute or cause to be executed, when it is in his or her power to do so, any such instrument or papers shall continue after the termination of Employee's employment by Company. If Company is unable because of Employee's mental or physical incapacity or for any other reason to secure Employee's signature to apply for or to pursue any application for any lsrael, U.S. or other patents or copyright registrations covering Assignable Inventions or original works of authorship assigned to Company as above, then Employee hereby irrevocably designates and appoints Company and its duly authorized officers and agents as Employee's agent and attorney-in-fact, to act for and in Employee's behalf and stead to execute and file any such applications and to do all other lawfully permitted acts to further the prosecution and issuance of letters patent or copyright registrations thereon with the same legal force and</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effect as if executed by Employee.</w:t>
      </w:r>
    </w:p>
    <w:p>
      <w:pPr>
        <w:pStyle w:val="TextBody"/>
        <w:spacing w:lineRule="auto" w:line="288" w:before="0" w:after="180"/>
        <w:ind w:left="0" w:right="0" w:firstLine="1260"/>
        <w:jc w:val="both"/>
        <w:rPr/>
      </w:pPr>
      <w:r>
        <w:rPr>
          <w:rFonts w:ascii="Times New Roman;sans-serif" w:hAnsi="Times New Roman;sans-serif"/>
          <w:b w:val="false"/>
          <w:color w:val="000000"/>
          <w:sz w:val="18"/>
        </w:rPr>
        <w:t>(e)    </w:t>
      </w:r>
      <w:r>
        <w:rPr>
          <w:rFonts w:ascii="Times New Roman;sans-serif" w:hAnsi="Times New Roman;sans-serif"/>
          <w:b w:val="false"/>
          <w:color w:val="000000"/>
          <w:sz w:val="18"/>
          <w:u w:val="single"/>
        </w:rPr>
        <w:t>Exception to Assignments.</w:t>
      </w:r>
      <w:r>
        <w:rPr>
          <w:color w:val="000000"/>
        </w:rPr>
        <w:t xml:space="preserve"> </w:t>
      </w:r>
      <w:r>
        <w:rPr>
          <w:rFonts w:ascii="Times New Roman;sans-serif" w:hAnsi="Times New Roman;sans-serif"/>
          <w:b w:val="false"/>
          <w:color w:val="000000"/>
          <w:sz w:val="18"/>
        </w:rPr>
        <w:t>Assignable Inventions shall not include any Invention (i) that Employee develops entirely on Employee's own time, (ii) without use of any Company assets and (iii) which useful with and does not relate to Company's actual or proposed business, products or research and development.</w:t>
      </w:r>
    </w:p>
    <w:p>
      <w:pPr>
        <w:pStyle w:val="TextBody"/>
        <w:spacing w:lineRule="auto" w:line="288" w:before="0" w:after="180"/>
        <w:ind w:left="0" w:right="0" w:firstLine="1260"/>
        <w:jc w:val="both"/>
        <w:rPr/>
      </w:pPr>
      <w:r>
        <w:rPr>
          <w:rFonts w:ascii="Times New Roman;sans-serif" w:hAnsi="Times New Roman;sans-serif"/>
          <w:b w:val="false"/>
          <w:color w:val="000000"/>
          <w:sz w:val="18"/>
        </w:rPr>
        <w:t>(f)    </w:t>
      </w:r>
      <w:r>
        <w:rPr>
          <w:rFonts w:ascii="Times New Roman;sans-serif" w:hAnsi="Times New Roman;sans-serif"/>
          <w:b w:val="false"/>
          <w:color w:val="000000"/>
          <w:sz w:val="18"/>
          <w:u w:val="single"/>
        </w:rPr>
        <w:t>Other Obligations</w:t>
      </w:r>
      <w:r>
        <w:rPr>
          <w:rFonts w:ascii="Times New Roman;sans-serif" w:hAnsi="Times New Roman;sans-serif"/>
          <w:b w:val="false"/>
          <w:color w:val="000000"/>
          <w:sz w:val="18"/>
        </w:rPr>
        <w:t>. Employee acknowledges that Company from time to time may have agreements with other persons or with the Israeli, U.S. or other governments, or agencies thereof, that impose obligations or restrictions on Company regarding Inventions made during the course of work thereunder or regarding the confidential nature of such work. Employee agrees to be bound by all such obligations and restrictions and to take all action necessary to discharge the obligations of Company thereunder.</w:t>
      </w:r>
    </w:p>
    <w:p>
      <w:pPr>
        <w:pStyle w:val="TextBody"/>
        <w:spacing w:lineRule="auto" w:line="288" w:before="0" w:after="180"/>
        <w:ind w:left="0" w:right="0" w:firstLine="1260"/>
        <w:jc w:val="both"/>
        <w:rPr/>
      </w:pPr>
      <w:r>
        <w:rPr>
          <w:rFonts w:ascii="Times New Roman;sans-serif" w:hAnsi="Times New Roman;sans-serif"/>
          <w:b/>
          <w:color w:val="000000"/>
          <w:sz w:val="18"/>
        </w:rPr>
        <w:t>3.</w:t>
      </w:r>
      <w:r>
        <w:rPr>
          <w:color w:val="000000"/>
        </w:rPr>
        <w:t>    </w:t>
      </w:r>
      <w:r>
        <w:rPr>
          <w:rFonts w:ascii="Times New Roman;sans-serif" w:hAnsi="Times New Roman;sans-serif"/>
          <w:b/>
          <w:color w:val="000000"/>
          <w:sz w:val="18"/>
        </w:rPr>
        <w:t>Return of Confidential Material.</w:t>
      </w:r>
      <w:r>
        <w:rPr>
          <w:color w:val="000000"/>
        </w:rPr>
        <w:t xml:space="preserve"> </w:t>
      </w:r>
      <w:r>
        <w:rPr>
          <w:rFonts w:ascii="Times New Roman;sans-serif" w:hAnsi="Times New Roman;sans-serif"/>
          <w:b w:val="false"/>
          <w:color w:val="000000"/>
          <w:sz w:val="18"/>
        </w:rPr>
        <w:t>Upon Company's request or in the event of Employee's termination of employment with Company for any reason whatsoever, Employee agrees promptly to surrender and deliver to Company all records, materials, equipment, drawings, documents and data of any nature pertaining to any Confidential Information or to his or her employment, and Employee will not retain or take with him or her any tangible materials or electronically stored data, containing or pertaining to any Confidential Information that Employee may produce, acquire or obtain access to during the course of his or her employment.</w:t>
      </w:r>
    </w:p>
    <w:p>
      <w:pPr>
        <w:pStyle w:val="TextBody"/>
        <w:spacing w:lineRule="auto" w:line="288" w:before="0" w:after="180"/>
        <w:ind w:left="0" w:right="0" w:firstLine="1260"/>
        <w:jc w:val="both"/>
        <w:rPr/>
      </w:pPr>
      <w:r>
        <w:rPr>
          <w:rFonts w:ascii="Times New Roman;sans-serif" w:hAnsi="Times New Roman;sans-serif"/>
          <w:b/>
          <w:color w:val="000000"/>
          <w:sz w:val="18"/>
        </w:rPr>
        <w:t xml:space="preserve">4.    Notification of New Employer. </w:t>
      </w:r>
      <w:r>
        <w:rPr>
          <w:rFonts w:ascii="Times New Roman;sans-serif" w:hAnsi="Times New Roman;sans-serif"/>
          <w:b w:val="false"/>
          <w:color w:val="000000"/>
          <w:sz w:val="18"/>
        </w:rPr>
        <w:t>If employee leaves the Company's employ, Employee hereby consents to the Company notifying Employee's new employer about Employee's rights and obligations under this Agreement.</w:t>
      </w:r>
    </w:p>
    <w:p>
      <w:pPr>
        <w:pStyle w:val="TextBody"/>
        <w:spacing w:lineRule="auto" w:line="288" w:before="0" w:after="180"/>
        <w:ind w:left="0" w:right="0" w:firstLine="1260"/>
        <w:jc w:val="both"/>
        <w:rPr>
          <w:rFonts w:ascii="Times New Roman;sans-serif" w:hAnsi="Times New Roman;sans-serif"/>
          <w:b/>
          <w:color w:val="000000"/>
          <w:sz w:val="18"/>
        </w:rPr>
      </w:pPr>
      <w:r>
        <w:rPr>
          <w:rFonts w:ascii="Times New Roman;sans-serif" w:hAnsi="Times New Roman;sans-serif"/>
          <w:b/>
          <w:color w:val="000000"/>
          <w:sz w:val="18"/>
        </w:rPr>
        <w:t>5.    Non-Solicitation and Non-Competition.</w:t>
      </w:r>
    </w:p>
    <w:p>
      <w:pPr>
        <w:pStyle w:val="TextBody"/>
        <w:spacing w:lineRule="auto" w:line="288" w:before="0" w:after="180"/>
        <w:ind w:left="0" w:right="0" w:firstLine="1260"/>
        <w:jc w:val="both"/>
        <w:rPr/>
      </w:pPr>
      <w:r>
        <w:rPr>
          <w:rFonts w:ascii="Times New Roman;sans-serif" w:hAnsi="Times New Roman;sans-serif"/>
          <w:b w:val="false"/>
          <w:color w:val="000000"/>
          <w:sz w:val="18"/>
        </w:rPr>
        <w:t>(a)    </w:t>
      </w:r>
      <w:r>
        <w:rPr>
          <w:rFonts w:ascii="Times New Roman;sans-serif" w:hAnsi="Times New Roman;sans-serif"/>
          <w:b w:val="false"/>
          <w:color w:val="000000"/>
          <w:sz w:val="18"/>
          <w:u w:val="single"/>
        </w:rPr>
        <w:t>Restrictions.</w:t>
      </w:r>
      <w:r>
        <w:rPr>
          <w:color w:val="000000"/>
        </w:rPr>
        <w:t xml:space="preserve"> </w:t>
      </w:r>
      <w:r>
        <w:rPr>
          <w:rFonts w:ascii="Times New Roman;sans-serif" w:hAnsi="Times New Roman;sans-serif"/>
          <w:b w:val="false"/>
          <w:color w:val="000000"/>
          <w:sz w:val="18"/>
        </w:rPr>
        <w:t>Employee agrees that during the period of his or her employment with the Company and for one (1) year after the date of termination of his or her employment with Company (for any reason or no reason, whether voluntary or involuntary), he or she will not (i) induce, solicit, recruit or encourage (or endeavor to induce, solicit, recruit or encourage) any employee or consultant of the Company to leave the employ of Company, (ii) solicit the business of any client or customer of Company (other than on behalf of Company), (iii) engage in any activity that is in any way competitive with the business or demonstrably anticipated business of Company (iv) carry on or hold an interest in any corporation, venture, entity or other business (other than a minority interest in a publicly traded company) which competes with the products or services of the Company, or (v) assist any other person or organization in competing or in preparing to compete with any business or demonstrably anticipated business of the Company or act as an employee, officer consultant or in any managerial capacity in a business in competition with the Company.</w:t>
      </w:r>
    </w:p>
    <w:p>
      <w:pPr>
        <w:pStyle w:val="TextBody"/>
        <w:spacing w:lineRule="auto" w:line="288" w:before="0" w:after="180"/>
        <w:ind w:left="0" w:right="0" w:firstLine="1260"/>
        <w:jc w:val="both"/>
        <w:rPr/>
      </w:pPr>
      <w:r>
        <w:rPr>
          <w:rFonts w:ascii="Times New Roman;sans-serif" w:hAnsi="Times New Roman;sans-serif"/>
          <w:b w:val="false"/>
          <w:color w:val="000000"/>
          <w:sz w:val="18"/>
        </w:rPr>
        <w:t>(b)    </w:t>
      </w:r>
      <w:r>
        <w:rPr>
          <w:rFonts w:ascii="Times New Roman;sans-serif" w:hAnsi="Times New Roman;sans-serif"/>
          <w:b w:val="false"/>
          <w:color w:val="000000"/>
          <w:sz w:val="18"/>
          <w:u w:val="single"/>
        </w:rPr>
        <w:t>Enforcement.</w:t>
      </w:r>
      <w:r>
        <w:rPr>
          <w:color w:val="000000"/>
        </w:rPr>
        <w:t xml:space="preserve"> </w:t>
      </w:r>
      <w:r>
        <w:rPr>
          <w:rFonts w:ascii="Times New Roman;sans-serif" w:hAnsi="Times New Roman;sans-serif"/>
          <w:b w:val="false"/>
          <w:color w:val="000000"/>
          <w:sz w:val="18"/>
        </w:rPr>
        <w:t xml:space="preserve">If at any time any of the provisions of Section 5(a) are deemed invalid or unenforceable or are prohibited by the laws of the state or place where they are to be performed or enforced, by reason of being vague or unreasonable as to duration or geographic scope or scope of activities restricted, or for any other reason, such provisions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256540"/>
                <wp:effectExtent l="0" t="0" r="0" b="0"/>
                <wp:wrapNone/>
                <wp:docPr id="588" name="Frame571"/>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10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10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8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18" descr=""/>
                    <pic:cNvPicPr>
                      <a:picLocks noChangeAspect="1" noChangeArrowheads="1"/>
                    </pic:cNvPicPr>
                  </pic:nvPicPr>
                  <pic:blipFill>
                    <a:blip r:embed="rId45"/>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shall be considered divisible and shall become and be immediately amended to include only such restrictions and to such extent as shall be deemed to be reasonable and enforceable by the court or other body having jurisdiction over this Agreement. The provisions of Section 5(a), as so amended, shall be valid and binding as though any invalid or unenforceable provision had not been included.</w:t>
      </w:r>
    </w:p>
    <w:p>
      <w:pPr>
        <w:pStyle w:val="TextBody"/>
        <w:spacing w:lineRule="auto" w:line="288" w:before="0" w:after="180"/>
        <w:ind w:left="0" w:right="0" w:firstLine="1260"/>
        <w:jc w:val="both"/>
        <w:rPr/>
      </w:pPr>
      <w:r>
        <w:rPr>
          <w:rFonts w:ascii="Times New Roman;sans-serif" w:hAnsi="Times New Roman;sans-serif"/>
          <w:b/>
          <w:color w:val="000000"/>
          <w:sz w:val="18"/>
        </w:rPr>
        <w:t>6.</w:t>
      </w:r>
      <w:r>
        <w:rPr>
          <w:color w:val="000000"/>
        </w:rPr>
        <w:t>    </w:t>
      </w:r>
      <w:r>
        <w:rPr>
          <w:rFonts w:ascii="Times New Roman;sans-serif" w:hAnsi="Times New Roman;sans-serif"/>
          <w:b/>
          <w:color w:val="000000"/>
          <w:sz w:val="18"/>
        </w:rPr>
        <w:t>Representations.</w:t>
      </w:r>
      <w:r>
        <w:rPr>
          <w:color w:val="000000"/>
        </w:rPr>
        <w:t xml:space="preserve"> </w:t>
      </w:r>
      <w:r>
        <w:rPr>
          <w:rFonts w:ascii="Times New Roman;sans-serif" w:hAnsi="Times New Roman;sans-serif"/>
          <w:b w:val="false"/>
          <w:color w:val="000000"/>
          <w:sz w:val="18"/>
        </w:rPr>
        <w:t>Employee agrees to execute any proper oath or verify any proper document required to carry out or evidence compliance with the terms of this Agreement. Employee represents that his or her performance of all the terms of this Agreement, and as an employee of the Company, will not breach any agreement to keep in confidence proprietary information acquired by Employee in confidence or in trust prior to Employee's retention by Company. Employee has not entered into, and Employee agrees that he or she will not enter into, any oral or written agreement in conflict herewith.</w:t>
      </w:r>
    </w:p>
    <w:p>
      <w:pPr>
        <w:pStyle w:val="TextBody"/>
        <w:spacing w:lineRule="auto" w:line="288" w:before="0" w:after="180"/>
        <w:ind w:left="0" w:right="0" w:firstLine="1260"/>
        <w:jc w:val="both"/>
        <w:rPr/>
      </w:pPr>
      <w:r>
        <w:rPr>
          <w:rFonts w:ascii="Times New Roman;sans-serif" w:hAnsi="Times New Roman;sans-serif"/>
          <w:b/>
          <w:color w:val="000000"/>
          <w:sz w:val="18"/>
        </w:rPr>
        <w:t>7.</w:t>
      </w:r>
      <w:r>
        <w:rPr>
          <w:color w:val="000000"/>
        </w:rPr>
        <w:t>    </w:t>
      </w:r>
      <w:r>
        <w:rPr>
          <w:rFonts w:ascii="Times New Roman;sans-serif" w:hAnsi="Times New Roman;sans-serif"/>
          <w:b/>
          <w:color w:val="000000"/>
          <w:sz w:val="18"/>
        </w:rPr>
        <w:t xml:space="preserve">Equitable Relief. </w:t>
      </w:r>
      <w:r>
        <w:rPr>
          <w:rFonts w:ascii="Times New Roman;sans-serif" w:hAnsi="Times New Roman;sans-serif"/>
          <w:b w:val="false"/>
          <w:color w:val="000000"/>
          <w:sz w:val="18"/>
        </w:rPr>
        <w:t xml:space="preserve">Employee agrees that it would be impossible or inadequate to measure and calculate the Company's damages from any breach of the covenants set forth in this Agreement. Accordingly, Employee agrees that if Employee breaches this Agreement, including without limitation the provisions of Paragraph 5(a), hereunder, the Company will have available, in addition to any other right or remedy available, the right to obtain an injunction from a court of competent jurisdiction restraining such breach or threatened breach and to specific performance of any such provision of this Agreement. Employee further agrees that no bond or other security shall be required in obtaining such equitable relief and Employee hereby consents to such injunction's issuance and to the ordering of specific performance. In any legal proceeding commenced under this Paragraph 7, the losing party shall pay the prevailing party's actual attorneys' fees and expenses incurred in the preparation for, conduct of or appeal or enforcement of judgment from the proceeding. The phrase "prevailing party'' shall mean the party who is determined in the proceeding to have prevailed or who prevails </w:t>
      </w:r>
      <w:r>
        <w:rPr>
          <w:rFonts w:ascii="Times New Roman;sans-serif" w:hAnsi="Times New Roman;sans-serif"/>
          <w:b w:val="false"/>
          <w:color w:val="000000"/>
          <w:sz w:val="20"/>
        </w:rPr>
        <w:t xml:space="preserve">by </w:t>
      </w:r>
      <w:r>
        <w:rPr>
          <w:rFonts w:ascii="Times New Roman;sans-serif" w:hAnsi="Times New Roman;sans-serif"/>
          <w:b w:val="false"/>
          <w:color w:val="000000"/>
          <w:sz w:val="18"/>
        </w:rPr>
        <w:t>dismissal, default or otherwise.</w:t>
      </w:r>
    </w:p>
    <w:p>
      <w:pPr>
        <w:pStyle w:val="TextBody"/>
        <w:spacing w:lineRule="auto" w:line="288" w:before="0" w:after="180"/>
        <w:ind w:left="0" w:right="0" w:firstLine="1260"/>
        <w:jc w:val="both"/>
        <w:rPr/>
      </w:pPr>
      <w:r>
        <w:rPr>
          <w:rFonts w:ascii="Times New Roman;sans-serif" w:hAnsi="Times New Roman;sans-serif"/>
          <w:b/>
          <w:color w:val="000000"/>
          <w:sz w:val="18"/>
        </w:rPr>
        <w:t>8.    Governing Law; Consent to Personal Jurisdiction.</w:t>
      </w:r>
      <w:r>
        <w:rPr>
          <w:color w:val="000000"/>
        </w:rPr>
        <w:t xml:space="preserve"> </w:t>
      </w:r>
      <w:r>
        <w:rPr>
          <w:rFonts w:ascii="Times New Roman;sans-serif" w:hAnsi="Times New Roman;sans-serif"/>
          <w:b w:val="false"/>
          <w:color w:val="000000"/>
          <w:sz w:val="18"/>
        </w:rPr>
        <w:t xml:space="preserve">This Agreement </w:t>
      </w:r>
      <w:r>
        <w:rPr>
          <w:rFonts w:ascii="Times New Roman;sans-serif" w:hAnsi="Times New Roman;sans-serif"/>
          <w:b w:val="false"/>
          <w:color w:val="000000"/>
          <w:sz w:val="20"/>
        </w:rPr>
        <w:t xml:space="preserve">will </w:t>
      </w:r>
      <w:r>
        <w:rPr>
          <w:rFonts w:ascii="Times New Roman;sans-serif" w:hAnsi="Times New Roman;sans-serif"/>
          <w:b w:val="false"/>
          <w:color w:val="000000"/>
          <w:sz w:val="18"/>
        </w:rPr>
        <w:t>be governed by the laws of the State of Israel, without regard to the choice of law provisions thereof. Employee hereby expressly consents to the personal jurisdiction of the competent courts located in Tel Aviv-Jafo for any lawsuit arising from or relating to this Agreement.</w:t>
      </w:r>
    </w:p>
    <w:p>
      <w:pPr>
        <w:pStyle w:val="TextBody"/>
        <w:spacing w:lineRule="auto" w:line="288" w:before="0" w:after="180"/>
        <w:ind w:left="0" w:right="0" w:firstLine="1260"/>
        <w:jc w:val="both"/>
        <w:rPr/>
      </w:pPr>
      <w:r>
        <w:rPr>
          <w:rFonts w:ascii="Times New Roman;sans-serif" w:hAnsi="Times New Roman;sans-serif"/>
          <w:b/>
          <w:color w:val="000000"/>
          <w:sz w:val="18"/>
        </w:rPr>
        <w:t>9.    Entire Agreement.</w:t>
      </w:r>
      <w:r>
        <w:rPr>
          <w:color w:val="000000"/>
        </w:rPr>
        <w:t xml:space="preserve"> </w:t>
      </w:r>
      <w:r>
        <w:rPr>
          <w:rFonts w:ascii="Times New Roman;sans-serif" w:hAnsi="Times New Roman;sans-serif"/>
          <w:b w:val="false"/>
          <w:color w:val="000000"/>
          <w:sz w:val="18"/>
        </w:rPr>
        <w:t>This Agreement sets forth the entire agreement and understanding between Company and Employee relating to the subject matter herein and merges all prior discussions and agreements between the parties with respect that subject matter. No modification of or amendment to this Agreement, nor any waiver of any rights under this Agreement, will be effective unless in writing signed by the Company. Any subsequent change or changes in Employee's duties, salary or compensation will not affect the validity or scope of this Agreement.</w:t>
      </w:r>
    </w:p>
    <w:p>
      <w:pPr>
        <w:pStyle w:val="TextBody"/>
        <w:spacing w:lineRule="auto" w:line="288" w:before="0" w:after="180"/>
        <w:ind w:left="0" w:right="0" w:firstLine="1260"/>
        <w:jc w:val="both"/>
        <w:rPr/>
      </w:pPr>
      <w:r>
        <w:rPr>
          <w:rFonts w:ascii="Times New Roman;sans-serif" w:hAnsi="Times New Roman;sans-serif"/>
          <w:b/>
          <w:color w:val="000000"/>
          <w:sz w:val="18"/>
        </w:rPr>
        <w:t>10.    Severability.</w:t>
      </w:r>
      <w:r>
        <w:rPr>
          <w:color w:val="000000"/>
        </w:rPr>
        <w:t xml:space="preserve"> </w:t>
      </w:r>
      <w:r>
        <w:rPr>
          <w:rFonts w:ascii="Times New Roman;sans-serif" w:hAnsi="Times New Roman;sans-serif"/>
          <w:b w:val="false"/>
          <w:color w:val="000000"/>
          <w:sz w:val="18"/>
        </w:rPr>
        <w:t>If one or more of the provisions in this Agreement are deemed void by law, then the remaining provisions will continue in full force and effect.</w:t>
      </w:r>
    </w:p>
    <w:p>
      <w:pPr>
        <w:pStyle w:val="TextBody"/>
        <w:spacing w:lineRule="auto" w:line="288" w:before="0" w:after="180"/>
        <w:ind w:left="0" w:right="0" w:firstLine="1260"/>
        <w:jc w:val="both"/>
        <w:rPr/>
      </w:pPr>
      <w:r>
        <w:rPr>
          <w:rFonts w:ascii="Times New Roman;sans-serif" w:hAnsi="Times New Roman;sans-serif"/>
          <w:b/>
          <w:color w:val="000000"/>
          <w:sz w:val="18"/>
        </w:rPr>
        <w:t>11.    Successors and Assigns.</w:t>
      </w:r>
      <w:r>
        <w:rPr>
          <w:color w:val="000000"/>
        </w:rPr>
        <w:t xml:space="preserve"> </w:t>
      </w:r>
      <w:r>
        <w:rPr>
          <w:rFonts w:ascii="Times New Roman;sans-serif" w:hAnsi="Times New Roman;sans-serif"/>
          <w:b w:val="false"/>
          <w:color w:val="000000"/>
          <w:sz w:val="18"/>
        </w:rPr>
        <w:t>This Agreement will be binding upon Employee's heirs, executors, administrators and other legal representatives and will be for the benefit of Company, its successors, and its assigns.</w:t>
      </w:r>
    </w:p>
    <w:p>
      <w:pPr>
        <w:pStyle w:val="TextBody"/>
        <w:spacing w:lineRule="auto" w:line="288" w:before="0" w:after="180"/>
        <w:ind w:left="0" w:right="0" w:firstLine="1260"/>
        <w:jc w:val="both"/>
        <w:rPr/>
      </w:pPr>
      <w:r>
        <w:rPr>
          <w:rFonts w:ascii="Times New Roman;sans-serif" w:hAnsi="Times New Roman;sans-serif"/>
          <w:b/>
          <w:color w:val="000000"/>
          <w:sz w:val="18"/>
        </w:rPr>
        <w:t>12.    Counterparts.</w:t>
      </w:r>
      <w:r>
        <w:rPr>
          <w:color w:val="000000"/>
        </w:rPr>
        <w:t xml:space="preserve"> </w:t>
      </w:r>
      <w:r>
        <w:rPr>
          <w:rFonts w:ascii="Times New Roman;sans-serif" w:hAnsi="Times New Roman;sans-serif"/>
          <w:b w:val="false"/>
          <w:color w:val="000000"/>
          <w:sz w:val="18"/>
        </w:rPr>
        <w:t>This Agreement may be signed in two counterparts, each of which shall be deemed an original and both of which shall together constitute one and the same instrument.</w:t>
      </w:r>
    </w:p>
    <w:p>
      <w:pPr>
        <w:pStyle w:val="TextBody"/>
        <w:spacing w:lineRule="auto" w:line="288" w:before="0" w:after="180"/>
        <w:jc w:val="both"/>
        <w:rPr/>
      </w:pPr>
      <w:r>
        <w:rPr>
          <w:rFonts w:ascii="Times New Roman;sans-serif" w:hAnsi="Times New Roman;sans-serif"/>
          <w:b/>
          <w:color w:val="000000"/>
          <w:sz w:val="18"/>
        </w:rPr>
        <w:t>13.    No Employment Contract.</w:t>
      </w:r>
      <w:r>
        <w:rPr>
          <w:color w:val="000000"/>
        </w:rPr>
        <w:t xml:space="preserve"> </w:t>
      </w:r>
      <w:r>
        <w:rPr>
          <w:rFonts w:ascii="Times New Roman;sans-serif" w:hAnsi="Times New Roman;sans-serif"/>
          <w:b w:val="false"/>
          <w:color w:val="000000"/>
          <w:sz w:val="18"/>
        </w:rPr>
        <w:t>Nothing in this Agreement shall be construed to create a contract of employment, either express or implied-in-fact, for any fixed term or requiring cause for termination.</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 WITNESS WHEREOF, the parties have executed these Employment Terms Agreement effective as of the Effective Date.</w:t>
      </w:r>
    </w:p>
    <w:tbl>
      <w:tblPr>
        <w:tblW w:w="4821" w:type="dxa"/>
        <w:jc w:val="left"/>
        <w:tblInd w:w="0" w:type="dxa"/>
        <w:tblCellMar>
          <w:top w:w="28" w:type="dxa"/>
          <w:left w:w="28" w:type="dxa"/>
          <w:bottom w:w="28" w:type="dxa"/>
          <w:right w:w="28" w:type="dxa"/>
        </w:tblCellMar>
      </w:tblPr>
      <w:tblGrid>
        <w:gridCol w:w="229"/>
        <w:gridCol w:w="200"/>
        <w:gridCol w:w="200"/>
        <w:gridCol w:w="414"/>
        <w:gridCol w:w="414"/>
        <w:gridCol w:w="432"/>
        <w:gridCol w:w="109"/>
        <w:gridCol w:w="109"/>
        <w:gridCol w:w="109"/>
        <w:gridCol w:w="274"/>
        <w:gridCol w:w="274"/>
        <w:gridCol w:w="276"/>
        <w:gridCol w:w="465"/>
        <w:gridCol w:w="465"/>
        <w:gridCol w:w="479"/>
        <w:gridCol w:w="109"/>
        <w:gridCol w:w="109"/>
        <w:gridCol w:w="154"/>
      </w:tblGrid>
      <w:tr>
        <w:trPr/>
        <w:tc>
          <w:tcPr>
            <w:tcW w:w="22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K</w:t>
            </w:r>
            <w:r>
              <w:rPr>
                <w:rFonts w:ascii="Times New Roman;sans-serif" w:hAnsi="Times New Roman;sans-serif"/>
                <w:b/>
                <w:color w:val="000000"/>
                <w:sz w:val="14"/>
              </w:rPr>
              <w:t>ALTURA</w:t>
            </w:r>
            <w:r>
              <w:rPr>
                <w:color w:val="000000"/>
              </w:rPr>
              <w:t xml:space="preserve"> </w:t>
            </w:r>
            <w:r>
              <w:rPr>
                <w:rFonts w:ascii="Times New Roman;sans-serif" w:hAnsi="Times New Roman;sans-serif"/>
                <w:b/>
                <w:color w:val="000000"/>
                <w:sz w:val="18"/>
              </w:rPr>
              <w:t>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Employee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Yaron Garmazi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Name: </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Ron Yekutiel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Name: </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Yaron Garmazi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256540"/>
                <wp:effectExtent l="0" t="0" r="0" b="0"/>
                <wp:wrapNone/>
                <wp:docPr id="590" name="Frame572"/>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11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11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9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19" descr=""/>
                    <pic:cNvPicPr>
                      <a:picLocks noChangeAspect="1" noChangeArrowheads="1"/>
                    </pic:cNvPicPr>
                  </pic:nvPicPr>
                  <pic:blipFill>
                    <a:blip r:embed="rId46"/>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jc w:val="both"/>
        <w:rPr/>
      </w:pPr>
      <w:r>
        <w:rPr/>
        <w:drawing>
          <wp:inline distT="0" distB="63500" distL="0" distR="0">
            <wp:extent cx="5724525" cy="8229600"/>
            <wp:effectExtent l="0" t="0" r="0" b="0"/>
            <wp:docPr id="59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20" descr=""/>
                    <pic:cNvPicPr>
                      <a:picLocks noChangeAspect="1" noChangeArrowheads="1"/>
                    </pic:cNvPicPr>
                  </pic:nvPicPr>
                  <pic:blipFill>
                    <a:blip r:embed="rId47"/>
                    <a:stretch>
                      <a:fillRect/>
                    </a:stretch>
                  </pic:blipFill>
                  <pic:spPr bwMode="auto">
                    <a:xfrm>
                      <a:off x="0" y="0"/>
                      <a:ext cx="5724525" cy="8229600"/>
                    </a:xfrm>
                    <a:prstGeom prst="rect">
                      <a:avLst/>
                    </a:prstGeom>
                  </pic:spPr>
                </pic:pic>
              </a:graphicData>
            </a:graphic>
          </wp:inline>
        </w:drawing>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256540"/>
                <wp:effectExtent l="0" t="0" r="0" b="0"/>
                <wp:wrapNone/>
                <wp:docPr id="593" name="Frame573"/>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12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12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9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21" descr=""/>
                    <pic:cNvPicPr>
                      <a:picLocks noChangeAspect="1" noChangeArrowheads="1"/>
                    </pic:cNvPicPr>
                  </pic:nvPicPr>
                  <pic:blipFill>
                    <a:blip r:embed="rId48"/>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center"/>
        <w:rPr/>
      </w:pPr>
      <w:r>
        <w:rPr>
          <w:rFonts w:ascii="Times New Roman;sans-serif" w:hAnsi="Times New Roman;sans-serif"/>
          <w:b/>
          <w:color w:val="000000"/>
          <w:sz w:val="18"/>
        </w:rPr>
        <w:t xml:space="preserve">Exhibit D - </w:t>
      </w:r>
      <w:r>
        <w:rPr>
          <w:rFonts w:ascii="Times New Roman;sans-serif" w:hAnsi="Times New Roman;sans-serif"/>
          <w:b/>
          <w:color w:val="000000"/>
          <w:sz w:val="18"/>
          <w:u w:val="single"/>
        </w:rPr>
        <w:t>English Summary of Exhibit C</w:t>
      </w:r>
      <w:r>
        <w:rPr>
          <w:rFonts w:ascii="Times New Roman;sans-serif" w:hAnsi="Times New Roman;sans-serif"/>
          <w:b/>
          <w:color w:val="000000"/>
          <w:sz w:val="12"/>
        </w:rPr>
        <w:t>1</w:t>
      </w:r>
    </w:p>
    <w:p>
      <w:pPr>
        <w:pStyle w:val="TextBody"/>
        <w:spacing w:lineRule="auto" w:line="288" w:before="0" w:after="180"/>
        <w:jc w:val="center"/>
        <w:rPr/>
      </w:pPr>
      <w:r>
        <w:rPr>
          <w:rFonts w:ascii="Times New Roman;sans-serif" w:hAnsi="Times New Roman;sans-serif"/>
          <w:b/>
          <w:color w:val="000000"/>
          <w:sz w:val="18"/>
        </w:rPr>
        <w:t xml:space="preserve">GENERAL APPROVAL REGARDING PAYMENTS BY EMPLOYERS TO A PENSION FUND AND INSURANCE FUND </w:t>
      </w:r>
      <w:r>
        <w:rPr>
          <w:rFonts w:ascii="Times New Roman;sans-serif" w:hAnsi="Times New Roman;sans-serif"/>
          <w:b w:val="false"/>
          <w:color w:val="000000"/>
          <w:sz w:val="18"/>
        </w:rPr>
        <w:t xml:space="preserve">IN </w:t>
      </w:r>
      <w:r>
        <w:rPr>
          <w:rFonts w:ascii="Times New Roman;sans-serif" w:hAnsi="Times New Roman;sans-serif"/>
          <w:b/>
          <w:color w:val="000000"/>
          <w:sz w:val="18"/>
        </w:rPr>
        <w:t>LIEU OF SEVERANCE PAY</w:t>
      </w:r>
    </w:p>
    <w:p>
      <w:pPr>
        <w:pStyle w:val="TextBody"/>
        <w:spacing w:lineRule="auto" w:line="288" w:before="0" w:after="180"/>
        <w:jc w:val="both"/>
        <w:rPr/>
      </w:pPr>
      <w:r>
        <w:rPr>
          <w:rFonts w:ascii="Times New Roman;sans-serif" w:hAnsi="Times New Roman;sans-serif"/>
          <w:b w:val="false"/>
          <w:color w:val="000000"/>
          <w:sz w:val="18"/>
        </w:rPr>
        <w:t xml:space="preserve">By virtue of my power under section 14 of the Severance Pay Law, 1963 (hereinafter: the </w:t>
      </w:r>
      <w:r>
        <w:rPr>
          <w:rFonts w:ascii="Times New Roman;sans-serif" w:hAnsi="Times New Roman;sans-serif"/>
          <w:b/>
          <w:color w:val="000000"/>
          <w:sz w:val="18"/>
        </w:rPr>
        <w:t xml:space="preserve">"Law"), </w:t>
      </w:r>
      <w:r>
        <w:rPr>
          <w:rFonts w:ascii="Times New Roman;sans-serif" w:hAnsi="Times New Roman;sans-serif"/>
          <w:b w:val="false"/>
          <w:color w:val="000000"/>
          <w:sz w:val="18"/>
        </w:rPr>
        <w:t xml:space="preserve">I certify that payments made by an employer commencing from the date of the publication of this approval on behalf of his employees to a comprehensive pension benefit fund that is not an insurance fund within the meaning thereof in the Income Tax (Rules for the Approval and Conduct of Benefit Funds) Regulations, 1964 (hereinafter: the </w:t>
      </w:r>
      <w:r>
        <w:rPr>
          <w:rFonts w:ascii="Times New Roman;sans-serif" w:hAnsi="Times New Roman;sans-serif"/>
          <w:b/>
          <w:color w:val="000000"/>
          <w:sz w:val="18"/>
        </w:rPr>
        <w:t>"Pension Fund</w:t>
      </w:r>
      <w:r>
        <w:rPr>
          <w:rFonts w:ascii="Times New Roman;sans-serif" w:hAnsi="Times New Roman;sans-serif"/>
          <w:b w:val="false"/>
          <w:color w:val="000000"/>
          <w:sz w:val="18"/>
        </w:rPr>
        <w:t>") or to managers insurance including the possibility of an insurance pension fund or a combination of payments to an annuity fund and to a non-annuity fund (hereinafter: the "</w:t>
      </w:r>
      <w:r>
        <w:rPr>
          <w:rFonts w:ascii="Times New Roman;sans-serif" w:hAnsi="Times New Roman;sans-serif"/>
          <w:b/>
          <w:color w:val="000000"/>
          <w:sz w:val="18"/>
        </w:rPr>
        <w:t>Insurance Fund</w:t>
      </w:r>
      <w:r>
        <w:rPr>
          <w:rFonts w:ascii="Times New Roman;sans-serif" w:hAnsi="Times New Roman;sans-serif"/>
          <w:b w:val="false"/>
          <w:color w:val="000000"/>
          <w:sz w:val="18"/>
        </w:rPr>
        <w:t>), including payments made by him by a combination of payments to a Pension Fund and an Insurance Fund, whether or not the Insurance Fund has an annuity fund (hereinafter: the "</w:t>
      </w:r>
      <w:r>
        <w:rPr>
          <w:rFonts w:ascii="Times New Roman;sans-serif" w:hAnsi="Times New Roman;sans-serif"/>
          <w:b/>
          <w:color w:val="000000"/>
          <w:sz w:val="18"/>
        </w:rPr>
        <w:t>Employer's Payments</w:t>
      </w:r>
      <w:r>
        <w:rPr>
          <w:rFonts w:ascii="Times New Roman;sans-serif" w:hAnsi="Times New Roman;sans-serif"/>
          <w:b w:val="false"/>
          <w:color w:val="000000"/>
          <w:sz w:val="18"/>
        </w:rPr>
        <w:t xml:space="preserve">), shall be made in lieu of the severance pay due to the said employee in respect of the salary from which the said payments were made and for the period they were paid (hereinafter: the </w:t>
      </w:r>
      <w:r>
        <w:rPr>
          <w:rFonts w:ascii="Times New Roman;sans-serif" w:hAnsi="Times New Roman;sans-serif"/>
          <w:b/>
          <w:color w:val="000000"/>
          <w:sz w:val="18"/>
        </w:rPr>
        <w:t>"Exempt Salary</w:t>
      </w:r>
      <w:r>
        <w:rPr>
          <w:rFonts w:ascii="Times New Roman;sans-serif" w:hAnsi="Times New Roman;sans-serif"/>
          <w:b w:val="false"/>
          <w:color w:val="000000"/>
          <w:sz w:val="18"/>
        </w:rPr>
        <w:t>"), provided that all the following conditions are fulfilled:</w:t>
      </w:r>
    </w:p>
    <w:p>
      <w:pPr>
        <w:pStyle w:val="TextBody"/>
        <w:spacing w:lineRule="auto" w:line="288" w:before="0" w:after="180"/>
        <w:jc w:val="both"/>
        <w:rPr/>
      </w:pPr>
      <w:r>
        <w:rPr>
          <w:rFonts w:ascii="Times New Roman;sans-serif" w:hAnsi="Times New Roman;sans-serif"/>
          <w:b w:val="false"/>
          <w:color w:val="000000"/>
          <w:sz w:val="20"/>
        </w:rPr>
        <w:t>1.    </w:t>
      </w:r>
      <w:r>
        <w:rPr>
          <w:rFonts w:ascii="Times New Roman;sans-serif" w:hAnsi="Times New Roman;sans-serif"/>
          <w:b w:val="false"/>
          <w:color w:val="000000"/>
          <w:sz w:val="18"/>
        </w:rPr>
        <w:t>The Employer's Payments -</w:t>
      </w:r>
    </w:p>
    <w:p>
      <w:pPr>
        <w:pStyle w:val="TextBody"/>
        <w:spacing w:lineRule="auto" w:line="288" w:before="0" w:after="180"/>
        <w:ind w:left="0" w:right="0" w:hanging="450"/>
        <w:jc w:val="both"/>
        <w:rPr/>
      </w:pPr>
      <w:r>
        <w:rPr>
          <w:rFonts w:ascii="Times New Roman;sans-serif" w:hAnsi="Times New Roman;sans-serif"/>
          <w:b w:val="false"/>
          <w:color w:val="000000"/>
          <w:sz w:val="18"/>
        </w:rPr>
        <w:t>1.1.    To the Pension Fund are not less than 14</w:t>
      </w:r>
      <w:r>
        <w:rPr>
          <w:rFonts w:ascii="Times New Roman;sans-serif" w:hAnsi="Times New Roman;sans-serif"/>
          <w:b w:val="false"/>
          <w:color w:val="000000"/>
          <w:sz w:val="12"/>
        </w:rPr>
        <w:t>1/3</w:t>
      </w:r>
      <w:r>
        <w:rPr>
          <w:rFonts w:ascii="Times New Roman;sans-serif" w:hAnsi="Times New Roman;sans-serif"/>
          <w:b w:val="false"/>
          <w:color w:val="000000"/>
          <w:sz w:val="18"/>
        </w:rPr>
        <w:t>% of the Exempt Salary or 12% of the Exempt Salary if the employer pays for his employee in addition thereto additional payments to supplement severance pay to a benefit fund for severance pay or to an Insurance Fund in the employee's name in an amount of 2</w:t>
      </w:r>
      <w:r>
        <w:rPr>
          <w:rFonts w:ascii="Times New Roman;sans-serif" w:hAnsi="Times New Roman;sans-serif"/>
          <w:b w:val="false"/>
          <w:color w:val="000000"/>
          <w:sz w:val="12"/>
        </w:rPr>
        <w:t>1/3</w:t>
      </w:r>
      <w:r>
        <w:rPr>
          <w:color w:val="000000"/>
        </w:rPr>
        <w:t xml:space="preserve"> </w:t>
      </w:r>
      <w:r>
        <w:rPr>
          <w:rFonts w:ascii="Times New Roman;sans-serif" w:hAnsi="Times New Roman;sans-serif"/>
          <w:b w:val="false"/>
          <w:color w:val="000000"/>
          <w:sz w:val="18"/>
        </w:rPr>
        <w:t>% of the Exempt Salary. In the event that the employer has not paid an addition to the said 12%, his payments shall be only in lieu of 72% of the employee's severance pay;</w:t>
      </w:r>
    </w:p>
    <w:p>
      <w:pPr>
        <w:pStyle w:val="TextBody"/>
        <w:spacing w:lineRule="auto" w:line="288" w:before="0" w:after="18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1.2.    To the Insurance Fund are not less than one of the following:</w:t>
      </w:r>
    </w:p>
    <w:p>
      <w:pPr>
        <w:pStyle w:val="TextBody"/>
        <w:spacing w:lineRule="auto" w:line="288" w:before="0" w:after="180"/>
        <w:ind w:left="0" w:right="0" w:hanging="720"/>
        <w:jc w:val="both"/>
        <w:rPr/>
      </w:pPr>
      <w:r>
        <w:rPr>
          <w:rFonts w:ascii="Times New Roman;sans-serif" w:hAnsi="Times New Roman;sans-serif"/>
          <w:b w:val="false"/>
          <w:color w:val="000000"/>
          <w:sz w:val="18"/>
        </w:rPr>
        <w:t>1.2.1.    13</w:t>
      </w:r>
      <w:r>
        <w:rPr>
          <w:rFonts w:ascii="Times New Roman;sans-serif" w:hAnsi="Times New Roman;sans-serif"/>
          <w:b w:val="false"/>
          <w:color w:val="000000"/>
          <w:sz w:val="12"/>
        </w:rPr>
        <w:t>1/ 3</w:t>
      </w:r>
      <w:r>
        <w:rPr>
          <w:rFonts w:ascii="Times New Roman;sans-serif" w:hAnsi="Times New Roman;sans-serif"/>
          <w:b w:val="false"/>
          <w:color w:val="000000"/>
          <w:sz w:val="18"/>
        </w:rPr>
        <w:t>% of the Exempt Salary, if the employer pays for his employee in addition thereto also payments to secure monthly income in the event of disability, in a plan approved by the Commissioner of the Capital Market, Insurance and Savings Department of the Ministry of Finance, in an amount required to secure at least 75% of the Exempt Salary or in an amount of 2</w:t>
      </w:r>
      <w:r>
        <w:rPr>
          <w:rFonts w:ascii="Times New Roman;sans-serif" w:hAnsi="Times New Roman;sans-serif"/>
          <w:b w:val="false"/>
          <w:color w:val="000000"/>
          <w:sz w:val="12"/>
        </w:rPr>
        <w:t>1/2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of the Exempt Salary, the lower of the two (hereinafter: "</w:t>
      </w:r>
      <w:r>
        <w:rPr>
          <w:rFonts w:ascii="Times New Roman;sans-serif" w:hAnsi="Times New Roman;sans-serif"/>
          <w:b/>
          <w:color w:val="000000"/>
          <w:sz w:val="18"/>
        </w:rPr>
        <w:t>Disability Insurance</w:t>
      </w:r>
      <w:r>
        <w:rPr>
          <w:rFonts w:ascii="Times New Roman;sans-serif" w:hAnsi="Times New Roman;sans-serif"/>
          <w:b w:val="false"/>
          <w:color w:val="000000"/>
          <w:sz w:val="18"/>
        </w:rPr>
        <w:t>"); or</w:t>
      </w:r>
    </w:p>
    <w:p>
      <w:pPr>
        <w:pStyle w:val="TextBody"/>
        <w:spacing w:lineRule="auto" w:line="288" w:before="0" w:after="180"/>
        <w:ind w:left="0" w:right="0" w:hanging="720"/>
        <w:rPr/>
      </w:pPr>
      <w:r>
        <w:rPr>
          <w:rFonts w:ascii="Times New Roman;sans-serif" w:hAnsi="Times New Roman;sans-serif"/>
          <w:b w:val="false"/>
          <w:color w:val="000000"/>
          <w:sz w:val="18"/>
        </w:rPr>
        <w:t>1.2.2.    11% of the Exempt Salary, if the employer paid, in addition, a payment to the Disability Insurance, and in such case the Employer's Payments shall only replace 72% of the Employee’s severance pay; In the event that the employer has paid, in addition to the foregoing payments to supplement severance pay, to a benefit fund for severance pay or to an Insurance Fund in the employee's name in an amount of 2</w:t>
      </w:r>
      <w:r>
        <w:rPr>
          <w:rFonts w:ascii="Times New Roman;sans-serif" w:hAnsi="Times New Roman;sans-serif"/>
          <w:b w:val="false"/>
          <w:color w:val="000000"/>
          <w:sz w:val="12"/>
        </w:rPr>
        <w:t>1/3</w:t>
      </w:r>
      <w:r>
        <w:rPr>
          <w:rFonts w:ascii="Times New Roman;sans-serif" w:hAnsi="Times New Roman;sans-serif"/>
          <w:b w:val="false"/>
          <w:color w:val="000000"/>
          <w:sz w:val="18"/>
        </w:rPr>
        <w:t>% of the Exempt Salary, the Employer's Payments shall replace 100% of the employee's severance pay.</w:t>
      </w:r>
    </w:p>
    <w:p>
      <w:pPr>
        <w:pStyle w:val="TextBody"/>
        <w:spacing w:lineRule="auto" w:line="288" w:before="0" w:after="180"/>
        <w:ind w:left="0" w:right="0" w:hanging="540"/>
        <w:jc w:val="both"/>
        <w:rPr/>
      </w:pPr>
      <w:r>
        <w:rPr>
          <w:rFonts w:ascii="Times New Roman;sans-serif" w:hAnsi="Times New Roman;sans-serif"/>
          <w:b w:val="false"/>
          <w:color w:val="000000"/>
          <w:sz w:val="18"/>
        </w:rPr>
        <w:t>2.    </w:t>
      </w:r>
      <w:r>
        <w:rPr>
          <w:rFonts w:ascii="Times New Roman;sans-serif" w:hAnsi="Times New Roman;sans-serif"/>
          <w:b w:val="false"/>
          <w:color w:val="000000"/>
          <w:sz w:val="20"/>
        </w:rPr>
        <w:t>No</w:t>
      </w:r>
      <w:r>
        <w:rPr>
          <w:color w:val="000000"/>
        </w:rPr>
        <w:t xml:space="preserve"> </w:t>
      </w:r>
      <w:r>
        <w:rPr>
          <w:rFonts w:ascii="Times New Roman;sans-serif" w:hAnsi="Times New Roman;sans-serif"/>
          <w:b w:val="false"/>
          <w:color w:val="000000"/>
          <w:sz w:val="18"/>
        </w:rPr>
        <w:t>later than three months from the commencement of the Employer's Payments, a written agreement is executed between the employer and the employee in which:</w:t>
      </w:r>
    </w:p>
    <w:p>
      <w:pPr>
        <w:pStyle w:val="TextBody"/>
        <w:spacing w:lineRule="auto" w:line="288" w:before="0" w:after="18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2.1.    The employee has agreed to the arrangement pursuant to this approval in a text specifying the Employer's Payments, the Pension Fund and Insurance Fund,. as the case may be; the said agreement shall also include the text of this approval; and</w:t>
      </w:r>
    </w:p>
    <w:p>
      <w:pPr>
        <w:pStyle w:val="TextBody"/>
        <w:spacing w:lineRule="auto" w:line="288" w:before="0" w:after="18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2.2.    The employer waives in advance any right, which he may have to a refund of monies from his payments, unless the employee's right to severance pay has been revoked by a judgment by virtue of Section 16 and 17 of the Law, and to the extent so revoked and/or the employee has withdrawn monies from the Pension Fund or Insurance Fund other than by reason of an entitling event; in such regard "Entitling Event" means death, disability or retirement after the age of 60.</w:t>
      </w:r>
    </w:p>
    <w:p>
      <w:pPr>
        <w:pStyle w:val="TextBody"/>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    This approval is not such as to derogate from the employee's right to severance pay pursuant to any law, collective agreement extension order or employment agreement, in respect of salary over and above the Exempt Salary.</w:t>
      </w:r>
    </w:p>
    <w:p>
      <w:pPr>
        <w:pStyle w:val="TextBody"/>
        <w:spacing w:lineRule="auto" w:line="288"/>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18"/>
        </w:rPr>
        <w:t>This is not an official translation of Exhibit C and should not be relied upon for its accuracy. In any event, Exhibit C prevails.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256540"/>
                <wp:effectExtent l="0" t="0" r="0" b="0"/>
                <wp:wrapNone/>
                <wp:docPr id="595" name="Frame574"/>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13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13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9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22" descr=""/>
                    <pic:cNvPicPr>
                      <a:picLocks noChangeAspect="1" noChangeArrowheads="1"/>
                    </pic:cNvPicPr>
                  </pic:nvPicPr>
                  <pic:blipFill>
                    <a:blip r:embed="rId49"/>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E</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COMPANY COMPUTER POLICY CONSENT</w:t>
      </w:r>
    </w:p>
    <w:p>
      <w:pPr>
        <w:pStyle w:val="TextBody"/>
        <w:spacing w:lineRule="auto" w:line="288" w:before="0" w:after="180"/>
        <w:jc w:val="both"/>
        <w:rPr/>
      </w:pPr>
      <w:r>
        <w:rPr>
          <w:rFonts w:ascii="Times New Roman;sans-serif" w:hAnsi="Times New Roman;sans-serif"/>
          <w:b w:val="false"/>
          <w:color w:val="000000"/>
          <w:sz w:val="18"/>
        </w:rPr>
        <w:t>Kaltura Ltd. (the</w:t>
      </w:r>
      <w:r>
        <w:rPr>
          <w:rFonts w:ascii="Times New Roman;sans-serif" w:hAnsi="Times New Roman;sans-serif"/>
          <w:b w:val="false"/>
          <w:i/>
          <w:color w:val="000000"/>
          <w:sz w:val="20"/>
        </w:rPr>
        <w:t>"</w:t>
      </w:r>
      <w:r>
        <w:rPr>
          <w:rFonts w:ascii="Times New Roman;sans-serif" w:hAnsi="Times New Roman;sans-serif"/>
          <w:b/>
          <w:i/>
          <w:color w:val="000000"/>
          <w:sz w:val="20"/>
        </w:rPr>
        <w:t>Company</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has a policy regarding the use of the Company's computer systems (the</w:t>
      </w:r>
      <w:r>
        <w:rPr>
          <w:rFonts w:ascii="Times New Roman;sans-serif" w:hAnsi="Times New Roman;sans-serif"/>
          <w:b w:val="false"/>
          <w:i/>
          <w:color w:val="000000"/>
          <w:sz w:val="20"/>
        </w:rPr>
        <w:t>"</w:t>
      </w:r>
      <w:r>
        <w:rPr>
          <w:rFonts w:ascii="Times New Roman;sans-serif" w:hAnsi="Times New Roman;sans-serif"/>
          <w:b/>
          <w:i/>
          <w:color w:val="000000"/>
          <w:sz w:val="18"/>
        </w:rPr>
        <w:t>Company's Computers Policy</w:t>
      </w:r>
      <w:r>
        <w:rPr>
          <w:rFonts w:ascii="Times New Roman;sans-serif" w:hAnsi="Times New Roman;sans-serif"/>
          <w:b w:val="false"/>
          <w:i/>
          <w:color w:val="000000"/>
          <w:sz w:val="18"/>
        </w:rPr>
        <w:t xml:space="preserve">"), </w:t>
      </w:r>
      <w:r>
        <w:rPr>
          <w:rFonts w:ascii="Times New Roman;sans-serif" w:hAnsi="Times New Roman;sans-serif"/>
          <w:b w:val="false"/>
          <w:color w:val="000000"/>
          <w:sz w:val="20"/>
        </w:rPr>
        <w:t>as follows:</w:t>
      </w:r>
    </w:p>
    <w:p>
      <w:pPr>
        <w:pStyle w:val="TextBody"/>
        <w:spacing w:lineRule="auto" w:line="288" w:before="0" w:after="180"/>
        <w:jc w:val="both"/>
        <w:rPr/>
      </w:pPr>
      <w:r>
        <w:rPr>
          <w:rFonts w:ascii="Times New Roman;sans-serif" w:hAnsi="Times New Roman;sans-serif"/>
          <w:b w:val="false"/>
          <w:color w:val="000000"/>
          <w:sz w:val="18"/>
        </w:rPr>
        <w:t>1.    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18"/>
        </w:rPr>
        <w:t xml:space="preserve">Company has provided you, for the purpose of the performance of your duties, various types of computer related devices, including a computer, hardware, software, Company e-mail account, phone etc. (the </w:t>
      </w:r>
      <w:r>
        <w:rPr>
          <w:rFonts w:ascii="Times New Roman;sans-serif" w:hAnsi="Times New Roman;sans-serif"/>
          <w:b w:val="false"/>
          <w:i/>
          <w:color w:val="000000"/>
          <w:sz w:val="18"/>
        </w:rPr>
        <w:t>"</w:t>
      </w:r>
      <w:r>
        <w:rPr>
          <w:rFonts w:ascii="Times New Roman;sans-serif" w:hAnsi="Times New Roman;sans-serif"/>
          <w:b/>
          <w:i/>
          <w:color w:val="000000"/>
          <w:sz w:val="18"/>
        </w:rPr>
        <w:t>Computer Devices</w:t>
      </w:r>
      <w:r>
        <w:rPr>
          <w:rFonts w:ascii="Times New Roman;sans-serif" w:hAnsi="Times New Roman;sans-serif"/>
          <w:b w:val="false"/>
          <w:i/>
          <w:color w:val="000000"/>
          <w:sz w:val="20"/>
        </w:rPr>
        <w:t xml:space="preserve">"). </w:t>
      </w:r>
      <w:r>
        <w:rPr>
          <w:rFonts w:ascii="Times New Roman;sans-serif" w:hAnsi="Times New Roman;sans-serif"/>
          <w:b w:val="false"/>
          <w:color w:val="000000"/>
          <w:sz w:val="18"/>
        </w:rPr>
        <w:t>The Computer Devices are the exclusive property of the Company, and in order to protect the Computer Devices, you are hereby required to adhere to the following instructions:</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1.1    Hardware- it is prohibited to install hardware on, and/or to, Computer Devices without the prior authorization of your manager or the Company's computer systems team. In this regard, it is prohibited to connect to a Computer Device an external hard - drive, disk on key (also known as memory stick and/or flash memory), camera, cell phone or any other type of hardware without the prior authorization of your manager or the Company's computer systems team.</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1.2    Software- it is prohibited to install software on Computer Devices without the prior authorization of your manager or the Company's computer systems team. In this regard, it is prohibited to install software which enables processing of photos, games, chat programs, toolbars or any other type of software.</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1.3    Files- it is prohibited to save on Computer Devices any files, photos or videos that are not related to the Company; unless, all such files, photos or videos shall be saved under one folder labeled as "Private 11 located at the root directory of the computer. The attention of the Employee's attention is particularly drawn to potential issues of intellectual property rights that may arise from such saving of files.</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1.4    If any of the above instructions is not clear or if you have a question regarding the use of Computer Devices, please contact your manager or Company's computer systems team.</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2.    Notwithstanding the above, the Company is aware that you may be required to make use of Computer Devices for your own private needs. Such private use of the Computer Devices is allowed subject to the following instructions:</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2.1    The Company's e-mail account which was assigned to you is provided to you only for the purpose of work related use. You are not allowed to use the Company's e-mail account, which was assigned to you, for private purposes which are not related to the Company's activities, such prohibited private use of your e-mail account includes correspondence with friends and family.</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2.2    In the event you wish to send private e-mails during work hours and/or while at Company’s offices, you can do so through your private external web based e-mail account (Gmail, Hotmail etc.). As said, it is prohibited to save to Computer Devices any files received by you through your external web based e-mail account.</w:t>
      </w:r>
    </w:p>
    <w:p>
      <w:pPr>
        <w:pStyle w:val="TextBody"/>
        <w:spacing w:lineRule="auto" w:line="288" w:before="0" w:after="18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2.3    You may access the internet for your own private use provided that such access is done for a reasonable period of time, without such access having a negative effect on your performance, in accordance with the Company's Computers Policy.</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3.    In order to maintain the security of the Computer Devices and the protection of the Company's legitimate interests, the Company is using various monitoring technologies, as well as blocking technologies, in the scope detailed in the Computer Policy. These technologies enable the Company to monitor and review content and information which is present on Computer Devices or exchanged through Computer Devices, including through the Company's e-mail account assigned to Company's employees.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4.    Said monitoring is not intended to infringe your privacy, and as a general rule the Company is not interested in reviewing correspondence which is exchanged through the Company's e-mail account assigned to you. However, the Company may review professional correspondence and will act within the boundaries of applicable law, and when circumstances so require, necessitate and obligate, in order to protect the Company's legitimate interests.</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5.    In the event that private correspondence exists in the Computer Devices and/or the Company e-mail account assigned to you, this, despite the clear instructions detailed hereinabove, the Company may review such correspondence, if special and unique circumstances exist in which there is a serious suspicion that you are carrying out harmful or illegal activity through Computer Devices, and subject to your consent.</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As a sign of your consent to the Computer Policy and the foregoing instructions, you are required to sign below.</w:t>
      </w:r>
      <w:r>
        <w:br w:type="page"/>
      </w:r>
    </w:p>
    <w:p>
      <w:pPr>
        <w:pStyle w:val="TextBody"/>
        <w:spacing w:before="0" w:after="0"/>
        <w:rPr/>
      </w:pPr>
      <w:r>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256540"/>
                <wp:effectExtent l="0" t="0" r="0" b="0"/>
                <wp:wrapNone/>
                <wp:docPr id="597" name="Frame575"/>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14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14 of 17</w:t>
                      </w:r>
                    </w:p>
                  </w:txbxContent>
                </v:textbox>
              </v:rect>
            </w:pict>
          </mc:Fallback>
        </mc:AlternateContent>
      </w:r>
    </w:p>
    <w:p>
      <w:pPr>
        <w:pStyle w:val="TextBody"/>
        <w:spacing w:lineRule="auto" w:line="288" w:before="0" w:after="180"/>
        <w:jc w:val="center"/>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EMPLOYEE ACKNOWLEDGEMENT AND CONSENT</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 the undersigned, hereby acknowledge and approve that I have read all the above mentioned, received any and all clarifications which I required, and agree to it.</w:t>
      </w:r>
    </w:p>
    <w:tbl>
      <w:tblPr>
        <w:tblW w:w="5644" w:type="dxa"/>
        <w:jc w:val="left"/>
        <w:tblInd w:w="0" w:type="dxa"/>
        <w:tblCellMar>
          <w:top w:w="28" w:type="dxa"/>
          <w:left w:w="28" w:type="dxa"/>
          <w:bottom w:w="28" w:type="dxa"/>
          <w:right w:w="28" w:type="dxa"/>
        </w:tblCellMar>
      </w:tblPr>
      <w:tblGrid>
        <w:gridCol w:w="440"/>
        <w:gridCol w:w="386"/>
        <w:gridCol w:w="389"/>
        <w:gridCol w:w="109"/>
        <w:gridCol w:w="109"/>
        <w:gridCol w:w="109"/>
        <w:gridCol w:w="294"/>
        <w:gridCol w:w="294"/>
        <w:gridCol w:w="296"/>
        <w:gridCol w:w="109"/>
        <w:gridCol w:w="109"/>
        <w:gridCol w:w="109"/>
        <w:gridCol w:w="469"/>
        <w:gridCol w:w="469"/>
        <w:gridCol w:w="471"/>
        <w:gridCol w:w="109"/>
        <w:gridCol w:w="109"/>
        <w:gridCol w:w="109"/>
        <w:gridCol w:w="336"/>
        <w:gridCol w:w="336"/>
        <w:gridCol w:w="483"/>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Yaron Garmazi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18, 2017</w:t>
            </w:r>
          </w:p>
        </w:tc>
      </w:tr>
      <w:tr>
        <w:trPr/>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Date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256540"/>
                <wp:effectExtent l="0" t="0" r="0" b="0"/>
                <wp:wrapNone/>
                <wp:docPr id="598" name="Frame576"/>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15 of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15 of 17</w:t>
                      </w:r>
                    </w:p>
                  </w:txbxContent>
                </v:textbox>
              </v:rect>
            </w:pict>
          </mc:Fallback>
        </mc:AlternateContent>
      </w:r>
    </w:p>
    <w:p>
      <w:pPr>
        <w:pStyle w:val="TextBody"/>
        <w:spacing w:before="0" w:after="0"/>
        <w:jc w:val="both"/>
        <w:rPr/>
      </w:pPr>
      <w:r>
        <w:rPr/>
        <w:drawing>
          <wp:inline distT="0" distB="63500" distL="0" distR="0">
            <wp:extent cx="428625" cy="523875"/>
            <wp:effectExtent l="0" t="0" r="0" b="0"/>
            <wp:docPr id="59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23" descr=""/>
                    <pic:cNvPicPr>
                      <a:picLocks noChangeAspect="1" noChangeArrowheads="1"/>
                    </pic:cNvPicPr>
                  </pic:nvPicPr>
                  <pic:blipFill>
                    <a:blip r:embed="rId50"/>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center"/>
        <w:rPr>
          <w:rFonts w:ascii="Arial;sans-serif" w:hAnsi="Arial;sans-serif"/>
          <w:b/>
          <w:color w:val="080808"/>
          <w:sz w:val="18"/>
        </w:rPr>
      </w:pPr>
      <w:r>
        <w:rPr>
          <w:rFonts w:ascii="Arial;sans-serif" w:hAnsi="Arial;sans-serif"/>
          <w:b/>
          <w:color w:val="080808"/>
          <w:sz w:val="18"/>
        </w:rPr>
        <w:t>ADDENDUM TO PERSONAL EMPLOYMENT AGREEMENT</w:t>
      </w:r>
    </w:p>
    <w:p>
      <w:pPr>
        <w:pStyle w:val="TextBody"/>
        <w:spacing w:lineRule="auto" w:line="288" w:before="0" w:after="180"/>
        <w:jc w:val="both"/>
        <w:rPr/>
      </w:pPr>
      <w:r>
        <w:rPr>
          <w:rFonts w:ascii="Arial;sans-serif" w:hAnsi="Arial;sans-serif"/>
          <w:b w:val="false"/>
          <w:color w:val="080808"/>
          <w:sz w:val="18"/>
        </w:rPr>
        <w:t xml:space="preserve">THIS ADDENDUM TO EMPLOYMENT AGREEMENT (this </w:t>
      </w:r>
      <w:r>
        <w:rPr>
          <w:rFonts w:ascii="Arial;sans-serif" w:hAnsi="Arial;sans-serif"/>
          <w:b/>
          <w:color w:val="080808"/>
          <w:sz w:val="18"/>
        </w:rPr>
        <w:t xml:space="preserve">"Addendum") </w:t>
      </w:r>
      <w:r>
        <w:rPr>
          <w:rFonts w:ascii="Arial;sans-serif" w:hAnsi="Arial;sans-serif"/>
          <w:b w:val="false"/>
          <w:color w:val="080808"/>
          <w:sz w:val="18"/>
        </w:rPr>
        <w:t xml:space="preserve">is made and entered into this </w:t>
      </w:r>
      <w:r>
        <w:rPr>
          <w:rFonts w:ascii="Arial;sans-serif" w:hAnsi="Arial;sans-serif"/>
          <w:b w:val="false"/>
          <w:color w:val="080808"/>
          <w:sz w:val="18"/>
          <w:u w:val="single"/>
        </w:rPr>
        <w:t>27</w:t>
      </w:r>
      <w:r>
        <w:rPr>
          <w:color w:val="080808"/>
        </w:rPr>
        <w:t xml:space="preserve"> </w:t>
      </w:r>
      <w:r>
        <w:rPr>
          <w:rFonts w:ascii="Arial;sans-serif" w:hAnsi="Arial;sans-serif"/>
          <w:b w:val="false"/>
          <w:color w:val="080808"/>
          <w:sz w:val="18"/>
        </w:rPr>
        <w:t xml:space="preserve">day of September 2018 by and between Kaltura Ltd., (the </w:t>
      </w:r>
      <w:r>
        <w:rPr>
          <w:rFonts w:ascii="Arial;sans-serif" w:hAnsi="Arial;sans-serif"/>
          <w:b/>
          <w:color w:val="080808"/>
          <w:sz w:val="18"/>
        </w:rPr>
        <w:t xml:space="preserve">"Company''), </w:t>
      </w:r>
      <w:r>
        <w:rPr>
          <w:rFonts w:ascii="Arial;sans-serif" w:hAnsi="Arial;sans-serif"/>
          <w:b w:val="false"/>
          <w:color w:val="080808"/>
          <w:sz w:val="18"/>
        </w:rPr>
        <w:t xml:space="preserve">and Yaron Garmazi (the </w:t>
      </w:r>
      <w:r>
        <w:rPr>
          <w:rFonts w:ascii="Arial;sans-serif" w:hAnsi="Arial;sans-serif"/>
          <w:b/>
          <w:color w:val="080808"/>
          <w:sz w:val="18"/>
        </w:rPr>
        <w:t xml:space="preserve">"Employee"). </w:t>
      </w:r>
      <w:r>
        <w:rPr>
          <w:rFonts w:ascii="Arial;sans-serif" w:hAnsi="Arial;sans-serif"/>
          <w:b w:val="false"/>
          <w:color w:val="080808"/>
          <w:sz w:val="18"/>
        </w:rPr>
        <w:t xml:space="preserve">Company and Employee are sometimes referred to herein individually as </w:t>
      </w:r>
      <w:r>
        <w:rPr>
          <w:rFonts w:ascii="Arial;sans-serif" w:hAnsi="Arial;sans-serif"/>
          <w:b/>
          <w:color w:val="080808"/>
          <w:sz w:val="18"/>
        </w:rPr>
        <w:t xml:space="preserve">a "Party" </w:t>
      </w:r>
      <w:r>
        <w:rPr>
          <w:rFonts w:ascii="Arial;sans-serif" w:hAnsi="Arial;sans-serif"/>
          <w:b w:val="false"/>
          <w:color w:val="080808"/>
          <w:sz w:val="18"/>
        </w:rPr>
        <w:t xml:space="preserve">and collectively as the </w:t>
      </w:r>
      <w:r>
        <w:rPr>
          <w:rFonts w:ascii="Arial;sans-serif" w:hAnsi="Arial;sans-serif"/>
          <w:b/>
          <w:color w:val="080808"/>
          <w:sz w:val="18"/>
        </w:rPr>
        <w:t>"Parties."</w:t>
      </w:r>
    </w:p>
    <w:p>
      <w:pPr>
        <w:pStyle w:val="TextBody"/>
        <w:spacing w:lineRule="auto" w:line="288" w:before="0" w:after="180"/>
        <w:ind w:left="0" w:right="0" w:firstLine="540"/>
        <w:jc w:val="both"/>
        <w:rPr/>
      </w:pPr>
      <w:r>
        <w:rPr>
          <w:rFonts w:ascii="Arial;sans-serif" w:hAnsi="Arial;sans-serif"/>
          <w:b/>
          <w:color w:val="080808"/>
          <w:sz w:val="18"/>
        </w:rPr>
        <w:t xml:space="preserve">WHEREAS, </w:t>
      </w:r>
      <w:r>
        <w:rPr>
          <w:rFonts w:ascii="Arial;sans-serif" w:hAnsi="Arial;sans-serif"/>
          <w:b w:val="false"/>
          <w:color w:val="080808"/>
          <w:sz w:val="18"/>
        </w:rPr>
        <w:t xml:space="preserve">the Parties entered into an Employment Agreement dated 18 June 2017 (the </w:t>
      </w:r>
      <w:r>
        <w:rPr>
          <w:rFonts w:ascii="Arial;sans-serif" w:hAnsi="Arial;sans-serif"/>
          <w:b/>
          <w:color w:val="080808"/>
          <w:sz w:val="18"/>
        </w:rPr>
        <w:t>"Employment Agreement");</w:t>
      </w:r>
    </w:p>
    <w:p>
      <w:pPr>
        <w:pStyle w:val="TextBody"/>
        <w:spacing w:lineRule="auto" w:line="288" w:before="0" w:after="180"/>
        <w:ind w:left="0" w:right="0" w:firstLine="540"/>
        <w:jc w:val="both"/>
        <w:rPr/>
      </w:pPr>
      <w:r>
        <w:rPr>
          <w:rFonts w:ascii="Arial;sans-serif" w:hAnsi="Arial;sans-serif"/>
          <w:b/>
          <w:color w:val="080808"/>
          <w:sz w:val="18"/>
        </w:rPr>
        <w:t xml:space="preserve">WHEREAS, </w:t>
      </w:r>
      <w:r>
        <w:rPr>
          <w:rFonts w:ascii="Arial;sans-serif" w:hAnsi="Arial;sans-serif"/>
          <w:b w:val="false"/>
          <w:color w:val="080808"/>
          <w:sz w:val="18"/>
        </w:rPr>
        <w:t>the Parties wish to amend or add certain terms and provisions to the Employment Agreement as detailed below;</w:t>
      </w:r>
    </w:p>
    <w:p>
      <w:pPr>
        <w:pStyle w:val="TextBody"/>
        <w:spacing w:lineRule="auto" w:line="288" w:before="0" w:after="180"/>
        <w:ind w:left="0" w:right="0" w:firstLine="540"/>
        <w:jc w:val="both"/>
        <w:rPr/>
      </w:pPr>
      <w:r>
        <w:rPr>
          <w:rFonts w:ascii="Arial;sans-serif" w:hAnsi="Arial;sans-serif"/>
          <w:b/>
          <w:color w:val="080808"/>
          <w:sz w:val="18"/>
        </w:rPr>
        <w:t xml:space="preserve">NOW, THEREFORE, </w:t>
      </w:r>
      <w:r>
        <w:rPr>
          <w:rFonts w:ascii="Arial;sans-serif" w:hAnsi="Arial;sans-serif"/>
          <w:b w:val="false"/>
          <w:color w:val="080808"/>
          <w:sz w:val="18"/>
        </w:rPr>
        <w:t>in consideration of the premises and mutual covenants and conditions herein contained, the Parties agree as follows:</w:t>
      </w:r>
    </w:p>
    <w:p>
      <w:pPr>
        <w:pStyle w:val="TextBody"/>
        <w:spacing w:lineRule="auto" w:line="288" w:before="0" w:after="180"/>
        <w:ind w:left="0" w:right="0" w:firstLine="540"/>
        <w:jc w:val="both"/>
        <w:rPr>
          <w:rFonts w:ascii="Arial;sans-serif" w:hAnsi="Arial;sans-serif"/>
          <w:b w:val="false"/>
          <w:i/>
          <w:color w:val="080808"/>
          <w:sz w:val="18"/>
        </w:rPr>
      </w:pPr>
      <w:r>
        <w:rPr>
          <w:rFonts w:ascii="Arial;sans-serif" w:hAnsi="Arial;sans-serif"/>
          <w:b w:val="false"/>
          <w:i/>
          <w:color w:val="080808"/>
          <w:sz w:val="18"/>
        </w:rPr>
        <w:t>Capitalized terms used but not defined herein have the meanings assigned to them in the Employment Agreement.</w:t>
      </w:r>
    </w:p>
    <w:p>
      <w:pPr>
        <w:pStyle w:val="TextBody"/>
        <w:spacing w:lineRule="auto" w:line="288" w:before="0" w:after="0"/>
        <w:ind w:left="0" w:right="0" w:firstLine="360"/>
        <w:rPr/>
      </w:pPr>
      <w:r>
        <w:rPr>
          <w:rFonts w:ascii="Arial;sans-serif" w:hAnsi="Arial;sans-serif"/>
          <w:b w:val="false"/>
          <w:color w:val="080808"/>
          <w:sz w:val="18"/>
        </w:rPr>
        <w:t>1.    </w:t>
      </w:r>
      <w:r>
        <w:rPr>
          <w:rFonts w:ascii="Arial;sans-serif" w:hAnsi="Arial;sans-serif"/>
          <w:b w:val="false"/>
          <w:color w:val="080808"/>
          <w:sz w:val="18"/>
          <w:u w:val="single"/>
        </w:rPr>
        <w:t>Salary</w:t>
      </w:r>
    </w:p>
    <w:p>
      <w:pPr>
        <w:pStyle w:val="TextBody"/>
        <w:spacing w:lineRule="auto" w:line="288" w:before="0" w:after="180"/>
        <w:ind w:left="0" w:right="0" w:hanging="360"/>
        <w:jc w:val="both"/>
        <w:rPr>
          <w:rFonts w:ascii="Arial;sans-serif" w:hAnsi="Arial;sans-serif"/>
          <w:b w:val="false"/>
          <w:color w:val="080808"/>
          <w:sz w:val="18"/>
        </w:rPr>
      </w:pPr>
      <w:r>
        <w:rPr>
          <w:rFonts w:ascii="Arial;sans-serif" w:hAnsi="Arial;sans-serif"/>
          <w:b w:val="false"/>
          <w:color w:val="080808"/>
          <w:sz w:val="18"/>
        </w:rPr>
        <w:t>a.    Effective from 1 July 2018 the amounts contributed by the Company to the Employee's Education Fund will not be subject to the limit recognized by the Income Tax Authority.</w:t>
      </w:r>
    </w:p>
    <w:p>
      <w:pPr>
        <w:pStyle w:val="TextBody"/>
        <w:spacing w:lineRule="auto" w:line="288" w:before="0" w:after="180"/>
        <w:ind w:left="0" w:right="0" w:hanging="360"/>
        <w:jc w:val="both"/>
        <w:rPr>
          <w:rFonts w:ascii="Arial;sans-serif" w:hAnsi="Arial;sans-serif"/>
          <w:b w:val="false"/>
          <w:color w:val="080808"/>
          <w:sz w:val="18"/>
        </w:rPr>
      </w:pPr>
      <w:r>
        <w:rPr>
          <w:rFonts w:ascii="Arial;sans-serif" w:hAnsi="Arial;sans-serif"/>
          <w:b w:val="false"/>
          <w:color w:val="080808"/>
          <w:sz w:val="18"/>
        </w:rPr>
        <w:t>b.    It is explicitly acknowledged and agreed that the Monthly Salary includes mandatory travel expenses in accordance with applicable law and Employee shall not be entitled to receive any additional reimbursement of travel expenses.</w:t>
      </w:r>
    </w:p>
    <w:p>
      <w:pPr>
        <w:pStyle w:val="TextBody"/>
        <w:spacing w:lineRule="auto" w:line="288" w:before="0" w:after="0"/>
        <w:ind w:left="0" w:right="0" w:firstLine="360"/>
        <w:rPr/>
      </w:pPr>
      <w:r>
        <w:rPr>
          <w:rFonts w:ascii="Arial;sans-serif" w:hAnsi="Arial;sans-serif"/>
          <w:b w:val="false"/>
          <w:color w:val="080808"/>
          <w:sz w:val="18"/>
        </w:rPr>
        <w:t>2.    </w:t>
      </w:r>
      <w:r>
        <w:rPr>
          <w:rFonts w:ascii="Arial;sans-serif" w:hAnsi="Arial;sans-serif"/>
          <w:b w:val="false"/>
          <w:color w:val="080808"/>
          <w:sz w:val="18"/>
          <w:u w:val="single"/>
        </w:rPr>
        <w:t>Bonus</w:t>
      </w:r>
    </w:p>
    <w:p>
      <w:pPr>
        <w:pStyle w:val="TextBody"/>
        <w:spacing w:lineRule="auto" w:line="288" w:before="0" w:after="0"/>
        <w:ind w:left="0" w:right="0" w:hanging="360"/>
        <w:jc w:val="both"/>
        <w:rPr>
          <w:rFonts w:ascii="Arial;sans-serif" w:hAnsi="Arial;sans-serif"/>
          <w:b w:val="false"/>
          <w:color w:val="080808"/>
          <w:sz w:val="18"/>
        </w:rPr>
      </w:pPr>
      <w:r>
        <w:rPr>
          <w:rFonts w:ascii="Arial;sans-serif" w:hAnsi="Arial;sans-serif"/>
          <w:b w:val="false"/>
          <w:color w:val="080808"/>
          <w:sz w:val="18"/>
        </w:rPr>
        <w:t>a.    The applicable Bonus for the 2018 calendar year and any subsequent calendar years shall be as follows:</w:t>
      </w:r>
    </w:p>
    <w:p>
      <w:pPr>
        <w:pStyle w:val="TextBody"/>
        <w:spacing w:lineRule="auto" w:line="288" w:before="0" w:after="180"/>
        <w:ind w:left="0" w:right="0" w:hanging="270"/>
        <w:rPr>
          <w:rFonts w:ascii="Arial;sans-serif" w:hAnsi="Arial;sans-serif"/>
          <w:b w:val="false"/>
          <w:color w:val="080808"/>
          <w:sz w:val="18"/>
        </w:rPr>
      </w:pPr>
      <w:r>
        <w:rPr>
          <w:rFonts w:ascii="Arial;sans-serif" w:hAnsi="Arial;sans-serif"/>
          <w:b w:val="false"/>
          <w:color w:val="080808"/>
          <w:sz w:val="18"/>
        </w:rPr>
        <w:t>i.    The maximum Annual Bonus shall be 420,000 NIS (gross).</w:t>
      </w:r>
    </w:p>
    <w:p>
      <w:pPr>
        <w:pStyle w:val="TextBody"/>
        <w:spacing w:lineRule="auto" w:line="288" w:before="0" w:after="180"/>
        <w:ind w:left="0" w:right="0" w:hanging="270"/>
        <w:rPr>
          <w:rFonts w:ascii="Arial;sans-serif" w:hAnsi="Arial;sans-serif"/>
          <w:b w:val="false"/>
          <w:color w:val="080808"/>
          <w:sz w:val="18"/>
        </w:rPr>
      </w:pPr>
      <w:r>
        <w:rPr>
          <w:rFonts w:ascii="Arial;sans-serif" w:hAnsi="Arial;sans-serif"/>
          <w:b w:val="false"/>
          <w:color w:val="080808"/>
          <w:sz w:val="18"/>
        </w:rPr>
        <w:t>ii.    The maximum Annual Additional Stretch Bonus shall be 121,333 NIS (gross)</w:t>
      </w:r>
    </w:p>
    <w:p>
      <w:pPr>
        <w:pStyle w:val="TextBody"/>
        <w:spacing w:lineRule="auto" w:line="288" w:before="0" w:after="180"/>
        <w:ind w:left="0" w:right="0" w:hanging="360"/>
        <w:jc w:val="both"/>
        <w:rPr/>
      </w:pPr>
      <w:r>
        <w:rPr>
          <w:rFonts w:ascii="Arial;sans-serif" w:hAnsi="Arial;sans-serif"/>
          <w:b w:val="false"/>
          <w:color w:val="080808"/>
          <w:sz w:val="18"/>
        </w:rPr>
        <w:t>b</w:t>
      </w:r>
      <w:r>
        <w:rPr>
          <w:rFonts w:ascii="Arial;sans-serif" w:hAnsi="Arial;sans-serif"/>
          <w:b/>
          <w:color w:val="080808"/>
          <w:sz w:val="18"/>
        </w:rPr>
        <w:t>.    </w:t>
      </w:r>
      <w:r>
        <w:rPr>
          <w:rFonts w:ascii="Arial;sans-serif" w:hAnsi="Arial;sans-serif"/>
          <w:b w:val="false"/>
          <w:color w:val="080808"/>
          <w:sz w:val="18"/>
        </w:rPr>
        <w:t xml:space="preserve">Employee's entitlement to the Annual Bonus and Additional Stretch Bonus shall be determined, for each calendar year, on the basis of Employee's (and the Company's) attainment of certain goals and objectives defined by the Company. The goals and objectives for calendar year 2018 are set forth in Exhibit 4 to the Kaltura, Inc. board resolution of 14 August 2018 (the </w:t>
      </w:r>
      <w:r>
        <w:rPr>
          <w:rFonts w:ascii="Arial;sans-serif" w:hAnsi="Arial;sans-serif"/>
          <w:b/>
          <w:color w:val="080808"/>
          <w:sz w:val="18"/>
        </w:rPr>
        <w:t>"Qualifying Objectives").</w:t>
      </w:r>
    </w:p>
    <w:p>
      <w:pPr>
        <w:pStyle w:val="TextBody"/>
        <w:spacing w:lineRule="auto" w:line="288" w:before="0" w:after="180"/>
        <w:ind w:left="0" w:right="0" w:hanging="360"/>
        <w:jc w:val="both"/>
        <w:rPr/>
      </w:pPr>
      <w:r>
        <w:rPr>
          <w:rFonts w:ascii="Arial;sans-serif" w:hAnsi="Arial;sans-serif"/>
          <w:b w:val="false"/>
          <w:color w:val="080808"/>
          <w:sz w:val="18"/>
        </w:rPr>
        <w:t xml:space="preserve">c.    During September to December 2018 the Company will pay the Employee a monthly amount of 10,000 NIS (gross) </w:t>
      </w:r>
      <w:r>
        <w:rPr>
          <w:rFonts w:ascii="Arial;sans-serif" w:hAnsi="Arial;sans-serif"/>
          <w:b/>
          <w:color w:val="080808"/>
          <w:sz w:val="18"/>
        </w:rPr>
        <w:t xml:space="preserve">("Monthly Bonus Amount") </w:t>
      </w:r>
      <w:r>
        <w:rPr>
          <w:rFonts w:ascii="Arial;sans-serif" w:hAnsi="Arial;sans-serif"/>
          <w:b w:val="false"/>
          <w:color w:val="080808"/>
          <w:sz w:val="18"/>
        </w:rPr>
        <w:t>(i.e., the equivalent of 50% of the pro-rated annual bonus in effect prior to the execution of this Addendum) on account of the Annual Bonus (section 2.a.i above).</w:t>
      </w:r>
    </w:p>
    <w:p>
      <w:pPr>
        <w:pStyle w:val="TextBody"/>
        <w:spacing w:lineRule="auto" w:line="288" w:before="0" w:after="180"/>
        <w:ind w:left="0" w:right="0" w:hanging="360"/>
        <w:jc w:val="both"/>
        <w:rPr>
          <w:rFonts w:ascii="Arial;sans-serif" w:hAnsi="Arial;sans-serif"/>
          <w:b w:val="false"/>
          <w:color w:val="080808"/>
          <w:sz w:val="18"/>
        </w:rPr>
      </w:pPr>
      <w:r>
        <w:rPr>
          <w:rFonts w:ascii="Arial;sans-serif" w:hAnsi="Arial;sans-serif"/>
          <w:b w:val="false"/>
          <w:color w:val="080808"/>
          <w:sz w:val="18"/>
        </w:rPr>
        <w:t>d.    As of January 2019 the Employee's Monthly Bonus Amount shall be 24,500 NIS (gross) (1.e., the equivalent of 70% of the pro-rated Annual Bonus).</w:t>
      </w:r>
    </w:p>
    <w:p>
      <w:pPr>
        <w:pStyle w:val="TextBody"/>
        <w:spacing w:lineRule="auto" w:line="288" w:before="0" w:after="180"/>
        <w:ind w:left="0" w:right="0" w:hanging="360"/>
        <w:jc w:val="both"/>
        <w:rPr/>
      </w:pPr>
      <w:r>
        <w:rPr>
          <w:rFonts w:ascii="Arial;sans-serif" w:hAnsi="Arial;sans-serif"/>
          <w:b w:val="false"/>
          <w:color w:val="080808"/>
          <w:sz w:val="18"/>
        </w:rPr>
        <w:t>e.    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In the event that the applicable Annual Bonus and Annual Additional Stretch Bonus attainment amounts are lower than the aggregate Bonus amounts paid during the applicable calendar</w:t>
      </w:r>
      <w:r>
        <w:rPr>
          <w:rFonts w:ascii="Arial;sans-serif" w:hAnsi="Arial;sans-serif"/>
          <w:b w:val="false"/>
          <w:color w:val="C8C8C8"/>
          <w:sz w:val="18"/>
        </w:rPr>
        <w:t xml:space="preserve">· </w:t>
      </w:r>
      <w:r>
        <w:rPr>
          <w:rFonts w:ascii="Arial;sans-serif" w:hAnsi="Arial;sans-serif"/>
          <w:b w:val="false"/>
          <w:color w:val="080808"/>
          <w:sz w:val="18"/>
        </w:rPr>
        <w:t>year, then such shortfall amount will be taken into account and deducted from Employee's future Bonus payments. For the avoidance of doubt, for the 2018 calendar year, the difference between the Monthly Bonus Amounts paid in 2018 (inclusive of any monthly amounts paid prior to the effective date of this Addendum) and the Annual Bonus and Annual Additional Stretch Bonus attainment calculated at the end of the calendar year shall be paid by the end of March 2019.</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274320"/>
                <wp:effectExtent l="0" t="0" r="0" b="0"/>
                <wp:wrapNone/>
                <wp:docPr id="600" name="Frame577"/>
                <a:graphic xmlns:a="http://schemas.openxmlformats.org/drawingml/2006/main">
                  <a:graphicData uri="http://schemas.microsoft.com/office/word/2010/wordprocessingShape">
                    <wps:wsp>
                      <wps:cNvSpPr txBox="1"/>
                      <wps:spPr>
                        <a:xfrm>
                          <a:off x="0" y="0"/>
                          <a:ext cx="6480175" cy="274320"/>
                        </a:xfrm>
                        <a:prstGeom prst="rect"/>
                      </wps:spPr>
                      <wps:txbx>
                        <w:txbxContent>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Confidential</w:t>
                      </w:r>
                    </w:p>
                  </w:txbxContent>
                </v:textbox>
              </v:rect>
            </w:pict>
          </mc:Fallback>
        </mc:AlternateContent>
      </w:r>
    </w:p>
    <w:p>
      <w:pPr>
        <w:pStyle w:val="TextBody"/>
        <w:spacing w:before="0" w:after="0"/>
        <w:jc w:val="both"/>
        <w:rPr/>
      </w:pPr>
      <w:r>
        <w:rPr/>
        <w:drawing>
          <wp:inline distT="0" distB="63500" distL="0" distR="0">
            <wp:extent cx="428625" cy="523875"/>
            <wp:effectExtent l="0" t="0" r="0" b="0"/>
            <wp:docPr id="60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24" descr=""/>
                    <pic:cNvPicPr>
                      <a:picLocks noChangeAspect="1" noChangeArrowheads="1"/>
                    </pic:cNvPicPr>
                  </pic:nvPicPr>
                  <pic:blipFill>
                    <a:blip r:embed="rId51"/>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ind w:left="0" w:right="0" w:hanging="360"/>
        <w:jc w:val="both"/>
        <w:rPr>
          <w:rFonts w:ascii="Arial;sans-serif" w:hAnsi="Arial;sans-serif"/>
          <w:b w:val="false"/>
          <w:color w:val="080808"/>
          <w:sz w:val="18"/>
        </w:rPr>
      </w:pPr>
      <w:r>
        <w:rPr>
          <w:rFonts w:ascii="Arial;sans-serif" w:hAnsi="Arial;sans-serif"/>
          <w:b w:val="false"/>
          <w:color w:val="080808"/>
          <w:sz w:val="18"/>
        </w:rPr>
        <w:t>f.    As of January 2018, Bonus payments shall not be taken into account in the calculation of any employment related payments or social benefits.</w:t>
      </w:r>
    </w:p>
    <w:p>
      <w:pPr>
        <w:pStyle w:val="TextBody"/>
        <w:spacing w:lineRule="auto" w:line="288" w:before="0" w:after="180"/>
        <w:ind w:left="0" w:right="0" w:hanging="360"/>
        <w:jc w:val="both"/>
        <w:rPr>
          <w:rFonts w:ascii="Arial;sans-serif" w:hAnsi="Arial;sans-serif"/>
          <w:b w:val="false"/>
          <w:color w:val="080808"/>
          <w:sz w:val="18"/>
        </w:rPr>
      </w:pPr>
      <w:r>
        <w:rPr>
          <w:rFonts w:ascii="Arial;sans-serif" w:hAnsi="Arial;sans-serif"/>
          <w:b w:val="false"/>
          <w:color w:val="080808"/>
          <w:sz w:val="18"/>
        </w:rPr>
        <w:t>g.    As of January 2018, all contributions made by Company to Employee's insurances or funds, derived from the Bonus payments, will be deemed excess payments on account of the Employee's Bonus, and shall be deducted from calendar year 2018's Annual Bonus as calculated and paid to the Employee in accordance with section 2e. above.</w:t>
      </w:r>
    </w:p>
    <w:p>
      <w:pPr>
        <w:pStyle w:val="TextBody"/>
        <w:spacing w:lineRule="auto" w:line="288" w:before="0" w:after="180"/>
        <w:ind w:left="0" w:right="0" w:hanging="720"/>
        <w:jc w:val="both"/>
        <w:rPr>
          <w:rFonts w:ascii="Arial;sans-serif" w:hAnsi="Arial;sans-serif"/>
          <w:b w:val="false"/>
          <w:color w:val="080808"/>
          <w:sz w:val="18"/>
        </w:rPr>
      </w:pPr>
      <w:r>
        <w:rPr>
          <w:rFonts w:ascii="Arial;sans-serif" w:hAnsi="Arial;sans-serif"/>
          <w:b w:val="false"/>
          <w:color w:val="080808"/>
          <w:sz w:val="18"/>
        </w:rPr>
        <w:t>3.    Except as expressly set forth herein, the terms and conditions of the Employment Agreement shall remain in full force and effect and each Party hereto agrees to be bound by the terms thereof.</w:t>
      </w:r>
    </w:p>
    <w:p>
      <w:pPr>
        <w:pStyle w:val="TextBody"/>
        <w:spacing w:lineRule="auto" w:line="288" w:before="0" w:after="180"/>
        <w:rPr>
          <w:rFonts w:ascii="Arial;sans-serif" w:hAnsi="Arial;sans-serif"/>
          <w:b w:val="false"/>
          <w:color w:val="080808"/>
          <w:sz w:val="18"/>
        </w:rPr>
      </w:pPr>
      <w:r>
        <w:rPr>
          <w:rFonts w:ascii="Arial;sans-serif" w:hAnsi="Arial;sans-serif"/>
          <w:b w:val="false"/>
          <w:color w:val="080808"/>
          <w:sz w:val="18"/>
        </w:rPr>
        <w:t>IN WITNESS WHEREOF, the Parties hereto have executed this Addendum as of the date set forth above.</w:t>
      </w:r>
    </w:p>
    <w:tbl>
      <w:tblPr>
        <w:tblW w:w="4521" w:type="dxa"/>
        <w:jc w:val="left"/>
        <w:tblInd w:w="0" w:type="dxa"/>
        <w:tblCellMar>
          <w:top w:w="28" w:type="dxa"/>
          <w:left w:w="28" w:type="dxa"/>
          <w:bottom w:w="28" w:type="dxa"/>
          <w:right w:w="28" w:type="dxa"/>
        </w:tblCellMar>
      </w:tblPr>
      <w:tblGrid>
        <w:gridCol w:w="267"/>
        <w:gridCol w:w="233"/>
        <w:gridCol w:w="233"/>
        <w:gridCol w:w="377"/>
        <w:gridCol w:w="377"/>
        <w:gridCol w:w="386"/>
        <w:gridCol w:w="109"/>
        <w:gridCol w:w="109"/>
        <w:gridCol w:w="109"/>
        <w:gridCol w:w="239"/>
        <w:gridCol w:w="239"/>
        <w:gridCol w:w="239"/>
        <w:gridCol w:w="465"/>
        <w:gridCol w:w="465"/>
        <w:gridCol w:w="674"/>
      </w:tblGrid>
      <w:tr>
        <w:trPr/>
        <w:tc>
          <w:tcPr>
            <w:tcW w:w="26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r>
      <w:tr>
        <w:trPr/>
        <w:tc>
          <w:tcPr>
            <w:tcW w:w="187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THE EMPLOYEE</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By:</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By:</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80808"/>
                <w:sz w:val="18"/>
              </w:rPr>
              <w:t xml:space="preserve">/s/ </w:t>
            </w:r>
            <w:r>
              <w:rPr>
                <w:rFonts w:ascii="Arial;sans-serif" w:hAnsi="Arial;sans-serif"/>
                <w:b w:val="false"/>
                <w:color w:val="000000"/>
                <w:sz w:val="18"/>
              </w:rPr>
              <w:t>Yaron Garmazi</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Name:</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Name:</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Yaron Garmazi</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Title:</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SVP 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Title:</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80808"/>
                <w:sz w:val="18"/>
              </w:rPr>
            </w:pPr>
            <w:r>
              <w:rPr>
                <w:rFonts w:ascii="Arial;sans-serif" w:hAnsi="Arial;sans-serif"/>
                <w:b w:val="false"/>
                <w:color w:val="080808"/>
                <w:sz w:val="18"/>
              </w:rPr>
              <w:t>CFO</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Date:</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18.10.18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Date:</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80808"/>
                <w:sz w:val="18"/>
              </w:rPr>
            </w:pPr>
            <w:r>
              <w:rPr>
                <w:rFonts w:ascii="Arial;sans-serif" w:hAnsi="Arial;sans-serif"/>
                <w:b w:val="false"/>
                <w:color w:val="080808"/>
                <w:sz w:val="18"/>
              </w:rPr>
              <w:t>20.10.18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274320"/>
                <wp:effectExtent l="0" t="0" r="0" b="0"/>
                <wp:wrapNone/>
                <wp:docPr id="602" name="Frame578"/>
                <a:graphic xmlns:a="http://schemas.openxmlformats.org/drawingml/2006/main">
                  <a:graphicData uri="http://schemas.microsoft.com/office/word/2010/wordprocessingShape">
                    <wps:wsp>
                      <wps:cNvSpPr txBox="1"/>
                      <wps:spPr>
                        <a:xfrm>
                          <a:off x="0" y="0"/>
                          <a:ext cx="6480175" cy="274320"/>
                        </a:xfrm>
                        <a:prstGeom prst="rect"/>
                      </wps:spPr>
                      <wps:txbx>
                        <w:txbxContent>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Confidential</w:t>
                      </w:r>
                    </w:p>
                  </w:txbxContent>
                </v:textbox>
              </v:rect>
            </w:pict>
          </mc:Fallback>
        </mc:AlternateContent>
      </w:r>
    </w:p>
    <w:p>
      <w:pPr>
        <w:pStyle w:val="TextBody"/>
        <w:spacing w:before="0" w:after="0"/>
        <w:jc w:val="both"/>
        <w:rPr/>
      </w:pPr>
      <w:r>
        <w:rPr/>
        <w:drawing>
          <wp:inline distT="0" distB="63500" distL="0" distR="0">
            <wp:extent cx="428625" cy="523875"/>
            <wp:effectExtent l="0" t="0" r="0" b="0"/>
            <wp:docPr id="60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25" descr=""/>
                    <pic:cNvPicPr>
                      <a:picLocks noChangeAspect="1" noChangeArrowheads="1"/>
                    </pic:cNvPicPr>
                  </pic:nvPicPr>
                  <pic:blipFill>
                    <a:blip r:embed="rId52"/>
                    <a:stretch>
                      <a:fillRect/>
                    </a:stretch>
                  </pic:blipFill>
                  <pic:spPr bwMode="auto">
                    <a:xfrm>
                      <a:off x="0" y="0"/>
                      <a:ext cx="428625" cy="523875"/>
                    </a:xfrm>
                    <a:prstGeom prst="rect">
                      <a:avLst/>
                    </a:prstGeom>
                  </pic:spPr>
                </pic:pic>
              </a:graphicData>
            </a:graphic>
          </wp:inline>
        </w:drawing>
      </w:r>
    </w:p>
    <w:p>
      <w:pPr>
        <w:pStyle w:val="TextBody"/>
        <w:spacing w:lineRule="auto" w:line="288" w:before="0" w:after="0"/>
        <w:jc w:val="both"/>
        <w:rPr>
          <w:rFonts w:ascii="Arial;sans-serif" w:hAnsi="Arial;sans-serif"/>
          <w:b/>
          <w:i/>
          <w:color w:val="000000"/>
          <w:sz w:val="22"/>
        </w:rPr>
      </w:pPr>
      <w:r>
        <w:rPr>
          <w:rFonts w:ascii="Arial;sans-serif" w:hAnsi="Arial;sans-serif"/>
          <w:b/>
          <w:i/>
          <w:color w:val="000000"/>
          <w:sz w:val="22"/>
        </w:rPr>
        <w:t>KALTURA</w:t>
      </w:r>
    </w:p>
    <w:p>
      <w:pPr>
        <w:pStyle w:val="TextBody"/>
        <w:spacing w:lineRule="auto" w:line="288" w:before="0" w:after="180"/>
        <w:jc w:val="center"/>
        <w:rPr>
          <w:rFonts w:ascii="Arial;sans-serif" w:hAnsi="Arial;sans-serif"/>
          <w:b/>
          <w:color w:val="000000"/>
          <w:sz w:val="18"/>
        </w:rPr>
      </w:pPr>
      <w:r>
        <w:rPr>
          <w:rFonts w:ascii="Arial;sans-serif" w:hAnsi="Arial;sans-serif"/>
          <w:b/>
          <w:color w:val="000000"/>
          <w:sz w:val="18"/>
        </w:rPr>
        <w:t>ADDENDUM TO PERSONAL EMPLOYMENT AGREEMENT</w:t>
      </w:r>
    </w:p>
    <w:p>
      <w:pPr>
        <w:pStyle w:val="TextBody"/>
        <w:spacing w:lineRule="auto" w:line="288" w:before="0" w:after="180"/>
        <w:jc w:val="both"/>
        <w:rPr/>
      </w:pPr>
      <w:r>
        <w:rPr>
          <w:rFonts w:ascii="Arial;sans-serif" w:hAnsi="Arial;sans-serif"/>
          <w:b w:val="false"/>
          <w:color w:val="000000"/>
          <w:sz w:val="18"/>
        </w:rPr>
        <w:t>THIS ADDENDUM TO EMPLOYMENT AGREEMENT (this "</w:t>
      </w:r>
      <w:r>
        <w:rPr>
          <w:rFonts w:ascii="Arial;sans-serif" w:hAnsi="Arial;sans-serif"/>
          <w:b/>
          <w:color w:val="000000"/>
          <w:sz w:val="18"/>
        </w:rPr>
        <w:t>Addendum</w:t>
      </w:r>
      <w:r>
        <w:rPr>
          <w:rFonts w:ascii="Arial;sans-serif" w:hAnsi="Arial;sans-serif"/>
          <w:b w:val="false"/>
          <w:color w:val="000000"/>
          <w:sz w:val="18"/>
        </w:rPr>
        <w:t>") is made and entered into this 30 day of December 2019 by and between Kaltura Ltd., (the "</w:t>
      </w:r>
      <w:r>
        <w:rPr>
          <w:rFonts w:ascii="Arial;sans-serif" w:hAnsi="Arial;sans-serif"/>
          <w:b/>
          <w:color w:val="000000"/>
          <w:sz w:val="18"/>
        </w:rPr>
        <w:t>Company</w:t>
      </w:r>
      <w:r>
        <w:rPr>
          <w:rFonts w:ascii="Arial;sans-serif" w:hAnsi="Arial;sans-serif"/>
          <w:b w:val="false"/>
          <w:color w:val="000000"/>
          <w:sz w:val="18"/>
        </w:rPr>
        <w:t>"), and Yaron Garmazi (the "</w:t>
      </w:r>
      <w:r>
        <w:rPr>
          <w:rFonts w:ascii="Arial;sans-serif" w:hAnsi="Arial;sans-serif"/>
          <w:b/>
          <w:color w:val="000000"/>
          <w:sz w:val="18"/>
        </w:rPr>
        <w:t>Employee</w:t>
      </w:r>
      <w:r>
        <w:rPr>
          <w:rFonts w:ascii="Arial;sans-serif" w:hAnsi="Arial;sans-serif"/>
          <w:b w:val="false"/>
          <w:color w:val="000000"/>
          <w:sz w:val="18"/>
        </w:rPr>
        <w:t>"). Company and Employee are sometimes referred to herein individually as a "</w:t>
      </w:r>
      <w:r>
        <w:rPr>
          <w:rFonts w:ascii="Arial;sans-serif" w:hAnsi="Arial;sans-serif"/>
          <w:b/>
          <w:color w:val="000000"/>
          <w:sz w:val="18"/>
        </w:rPr>
        <w:t xml:space="preserve">Party" </w:t>
      </w:r>
      <w:r>
        <w:rPr>
          <w:rFonts w:ascii="Arial;sans-serif" w:hAnsi="Arial;sans-serif"/>
          <w:b w:val="false"/>
          <w:color w:val="000000"/>
          <w:sz w:val="18"/>
        </w:rPr>
        <w:t>and collectively as the "</w:t>
      </w:r>
      <w:r>
        <w:rPr>
          <w:rFonts w:ascii="Arial;sans-serif" w:hAnsi="Arial;sans-serif"/>
          <w:b/>
          <w:color w:val="000000"/>
          <w:sz w:val="18"/>
        </w:rPr>
        <w:t>Parties.</w:t>
      </w:r>
      <w:r>
        <w:rPr>
          <w:rFonts w:ascii="Arial;sans-serif" w:hAnsi="Arial;sans-serif"/>
          <w:b w:val="false"/>
          <w:color w:val="000000"/>
          <w:sz w:val="18"/>
        </w:rPr>
        <w:t>"</w:t>
      </w:r>
    </w:p>
    <w:p>
      <w:pPr>
        <w:pStyle w:val="TextBody"/>
        <w:spacing w:lineRule="auto" w:line="288" w:before="0" w:after="180"/>
        <w:ind w:left="0" w:right="0" w:firstLine="540"/>
        <w:jc w:val="both"/>
        <w:rPr/>
      </w:pPr>
      <w:r>
        <w:rPr>
          <w:rFonts w:ascii="Arial;sans-serif" w:hAnsi="Arial;sans-serif"/>
          <w:b/>
          <w:color w:val="000000"/>
          <w:sz w:val="18"/>
        </w:rPr>
        <w:t xml:space="preserve">WHEREAS, </w:t>
      </w:r>
      <w:r>
        <w:rPr>
          <w:rFonts w:ascii="Arial;sans-serif" w:hAnsi="Arial;sans-serif"/>
          <w:b w:val="false"/>
          <w:color w:val="000000"/>
          <w:sz w:val="18"/>
        </w:rPr>
        <w:t xml:space="preserve">the Parties entered into an Employment Agreement dated 18 June 2017 as was amended from time to time (collectively, the </w:t>
      </w:r>
      <w:r>
        <w:rPr>
          <w:rFonts w:ascii="Arial;sans-serif" w:hAnsi="Arial;sans-serif"/>
          <w:b/>
          <w:color w:val="000000"/>
          <w:sz w:val="18"/>
        </w:rPr>
        <w:t>Employment Agreement</w:t>
      </w:r>
      <w:r>
        <w:rPr>
          <w:rFonts w:ascii="Arial;sans-serif" w:hAnsi="Arial;sans-serif"/>
          <w:b w:val="false"/>
          <w:color w:val="000000"/>
          <w:sz w:val="18"/>
        </w:rPr>
        <w:t>");</w:t>
      </w:r>
    </w:p>
    <w:p>
      <w:pPr>
        <w:pStyle w:val="TextBody"/>
        <w:spacing w:lineRule="auto" w:line="288" w:before="0" w:after="180"/>
        <w:ind w:left="0" w:right="0" w:firstLine="540"/>
        <w:jc w:val="both"/>
        <w:rPr/>
      </w:pPr>
      <w:r>
        <w:rPr>
          <w:rFonts w:ascii="Arial;sans-serif" w:hAnsi="Arial;sans-serif"/>
          <w:b/>
          <w:color w:val="000000"/>
          <w:sz w:val="18"/>
        </w:rPr>
        <w:t>WHEREAS</w:t>
      </w:r>
      <w:r>
        <w:rPr>
          <w:rFonts w:ascii="Arial;sans-serif" w:hAnsi="Arial;sans-serif"/>
          <w:b w:val="false"/>
          <w:color w:val="000000"/>
          <w:sz w:val="18"/>
        </w:rPr>
        <w:t>, the Parties wish to amend or add certain terms and provisions to the Employment Agreement as detailed below;</w:t>
      </w:r>
    </w:p>
    <w:p>
      <w:pPr>
        <w:pStyle w:val="TextBody"/>
        <w:spacing w:lineRule="auto" w:line="288" w:before="0" w:after="180"/>
        <w:ind w:left="0" w:right="0" w:firstLine="540"/>
        <w:jc w:val="both"/>
        <w:rPr/>
      </w:pPr>
      <w:r>
        <w:rPr>
          <w:rFonts w:ascii="Arial;sans-serif" w:hAnsi="Arial;sans-serif"/>
          <w:b/>
          <w:color w:val="000000"/>
          <w:sz w:val="18"/>
        </w:rPr>
        <w:t>NOW, THEREFORE</w:t>
      </w:r>
      <w:r>
        <w:rPr>
          <w:rFonts w:ascii="Arial;sans-serif" w:hAnsi="Arial;sans-serif"/>
          <w:b w:val="false"/>
          <w:color w:val="000000"/>
          <w:sz w:val="18"/>
        </w:rPr>
        <w:t>, in consideration of the premises and mutual covenants and conditions herein contained, the Parties agree as follows:</w:t>
      </w:r>
    </w:p>
    <w:p>
      <w:pPr>
        <w:pStyle w:val="TextBody"/>
        <w:spacing w:lineRule="auto" w:line="288" w:before="0" w:after="180"/>
        <w:ind w:left="0" w:right="0" w:firstLine="540"/>
        <w:jc w:val="both"/>
        <w:rPr>
          <w:rFonts w:ascii="Arial;sans-serif" w:hAnsi="Arial;sans-serif"/>
          <w:b w:val="false"/>
          <w:i/>
          <w:color w:val="000000"/>
          <w:sz w:val="18"/>
        </w:rPr>
      </w:pPr>
      <w:r>
        <w:rPr>
          <w:rFonts w:ascii="Arial;sans-serif" w:hAnsi="Arial;sans-serif"/>
          <w:b w:val="false"/>
          <w:i/>
          <w:color w:val="000000"/>
          <w:sz w:val="18"/>
        </w:rPr>
        <w:t>Capitalized terms used but not defined herein have the meanings assigned to them in the Employment Agreement.</w:t>
      </w:r>
    </w:p>
    <w:p>
      <w:pPr>
        <w:pStyle w:val="TextBody"/>
        <w:spacing w:lineRule="auto" w:line="288" w:before="0" w:after="0"/>
        <w:ind w:left="0" w:right="0" w:firstLine="360"/>
        <w:rPr/>
      </w:pPr>
      <w:r>
        <w:rPr>
          <w:rFonts w:ascii="Arial;sans-serif" w:hAnsi="Arial;sans-serif"/>
          <w:b w:val="false"/>
          <w:color w:val="080808"/>
          <w:sz w:val="18"/>
        </w:rPr>
        <w:t>1</w:t>
      </w:r>
      <w:r>
        <w:rPr>
          <w:rFonts w:ascii="Arial;sans-serif" w:hAnsi="Arial;sans-serif"/>
          <w:b w:val="false"/>
          <w:color w:val="000000"/>
          <w:sz w:val="18"/>
        </w:rPr>
        <w:t>.    </w:t>
      </w:r>
      <w:r>
        <w:rPr>
          <w:rFonts w:ascii="Arial;sans-serif" w:hAnsi="Arial;sans-serif"/>
          <w:b w:val="false"/>
          <w:color w:val="000000"/>
          <w:sz w:val="18"/>
          <w:u w:val="single"/>
        </w:rPr>
        <w:t>Salary</w:t>
      </w:r>
    </w:p>
    <w:p>
      <w:pPr>
        <w:pStyle w:val="TextBody"/>
        <w:spacing w:lineRule="auto" w:line="288" w:before="0" w:after="0"/>
        <w:ind w:left="0" w:right="0" w:hanging="360"/>
        <w:jc w:val="both"/>
        <w:rPr/>
      </w:pPr>
      <w:r>
        <w:rPr>
          <w:rFonts w:ascii="Arial;sans-serif" w:hAnsi="Arial;sans-serif"/>
          <w:b w:val="false"/>
          <w:color w:val="080808"/>
          <w:sz w:val="18"/>
        </w:rPr>
        <w:t>a</w:t>
      </w:r>
      <w:r>
        <w:rPr>
          <w:rFonts w:ascii="Arial;sans-serif" w:hAnsi="Arial;sans-serif"/>
          <w:b w:val="false"/>
          <w:color w:val="000000"/>
          <w:sz w:val="18"/>
        </w:rPr>
        <w:t>.    Effective from 1 January 2020 (the "</w:t>
      </w:r>
      <w:r>
        <w:rPr>
          <w:rFonts w:ascii="Arial;sans-serif" w:hAnsi="Arial;sans-serif"/>
          <w:b/>
          <w:color w:val="000000"/>
          <w:sz w:val="18"/>
        </w:rPr>
        <w:t>Salary Increase Date"</w:t>
      </w:r>
      <w:r>
        <w:rPr>
          <w:rFonts w:ascii="Arial;sans-serif" w:hAnsi="Arial;sans-serif"/>
          <w:b w:val="false"/>
          <w:color w:val="000000"/>
          <w:sz w:val="18"/>
        </w:rPr>
        <w:t>) Employee's Monthly Salary shall be as follows:</w:t>
      </w:r>
    </w:p>
    <w:p>
      <w:pPr>
        <w:pStyle w:val="TextBody"/>
        <w:spacing w:lineRule="auto" w:line="288" w:before="0" w:after="0"/>
        <w:ind w:left="0" w:right="0" w:hanging="270"/>
        <w:jc w:val="both"/>
        <w:rPr/>
      </w:pPr>
      <w:r>
        <w:rPr>
          <w:rFonts w:ascii="Arial;sans-serif" w:hAnsi="Arial;sans-serif"/>
          <w:b w:val="false"/>
          <w:color w:val="080808"/>
          <w:sz w:val="18"/>
        </w:rPr>
        <w:t>i</w:t>
      </w:r>
      <w:r>
        <w:rPr>
          <w:rFonts w:ascii="Arial;sans-serif" w:hAnsi="Arial;sans-serif"/>
          <w:b w:val="false"/>
          <w:color w:val="000000"/>
          <w:sz w:val="18"/>
        </w:rPr>
        <w:t>.    Base Salary shall be NIS 64,465 (gross)</w:t>
      </w:r>
    </w:p>
    <w:p>
      <w:pPr>
        <w:pStyle w:val="TextBody"/>
        <w:spacing w:lineRule="auto" w:line="288" w:before="0" w:after="0"/>
        <w:ind w:left="0" w:right="0" w:hanging="270"/>
        <w:jc w:val="both"/>
        <w:rPr>
          <w:rFonts w:ascii="Arial;sans-serif" w:hAnsi="Arial;sans-serif"/>
          <w:b w:val="false"/>
          <w:color w:val="080808"/>
          <w:sz w:val="18"/>
        </w:rPr>
      </w:pPr>
      <w:r>
        <w:rPr>
          <w:rFonts w:ascii="Arial;sans-serif" w:hAnsi="Arial;sans-serif"/>
          <w:b w:val="false"/>
          <w:color w:val="080808"/>
          <w:sz w:val="18"/>
        </w:rPr>
        <w:t>ii.    Global Overtime Pay shall be NIS 16,116(gross)</w:t>
      </w:r>
    </w:p>
    <w:p>
      <w:pPr>
        <w:pStyle w:val="TextBody"/>
        <w:spacing w:lineRule="auto" w:line="288" w:before="0" w:after="180"/>
        <w:ind w:left="0" w:right="0" w:hanging="270"/>
        <w:jc w:val="both"/>
        <w:rPr>
          <w:rFonts w:ascii="Arial;sans-serif" w:hAnsi="Arial;sans-serif"/>
          <w:b w:val="false"/>
          <w:color w:val="080808"/>
          <w:sz w:val="18"/>
        </w:rPr>
      </w:pPr>
      <w:r>
        <w:rPr>
          <w:rFonts w:ascii="Arial;sans-serif" w:hAnsi="Arial;sans-serif"/>
          <w:b w:val="false"/>
          <w:color w:val="080808"/>
          <w:sz w:val="18"/>
        </w:rPr>
        <w:t>iii.    Monthly Salary (Base + Global Overtime Pay) shall be NIS 80,581(gross)</w:t>
      </w:r>
    </w:p>
    <w:p>
      <w:pPr>
        <w:pStyle w:val="TextBody"/>
        <w:spacing w:lineRule="auto" w:line="288" w:before="0" w:after="0"/>
        <w:ind w:left="0" w:right="0" w:firstLine="360"/>
        <w:jc w:val="both"/>
        <w:rPr/>
      </w:pPr>
      <w:r>
        <w:rPr>
          <w:rFonts w:ascii="Arial;sans-serif" w:hAnsi="Arial;sans-serif"/>
          <w:b w:val="false"/>
          <w:color w:val="080808"/>
          <w:sz w:val="18"/>
        </w:rPr>
        <w:t>2</w:t>
      </w:r>
      <w:r>
        <w:rPr>
          <w:rFonts w:ascii="Arial;sans-serif" w:hAnsi="Arial;sans-serif"/>
          <w:b w:val="false"/>
          <w:color w:val="000000"/>
          <w:sz w:val="18"/>
        </w:rPr>
        <w:t>.    </w:t>
      </w:r>
      <w:r>
        <w:rPr>
          <w:rFonts w:ascii="Arial;sans-serif" w:hAnsi="Arial;sans-serif"/>
          <w:b w:val="false"/>
          <w:color w:val="000000"/>
          <w:sz w:val="18"/>
          <w:u w:val="single"/>
        </w:rPr>
        <w:t>Bonus</w:t>
      </w:r>
    </w:p>
    <w:p>
      <w:pPr>
        <w:pStyle w:val="TextBody"/>
        <w:spacing w:lineRule="auto" w:line="288" w:before="0" w:after="0"/>
        <w:ind w:left="0" w:right="0" w:hanging="360"/>
        <w:jc w:val="both"/>
        <w:rPr/>
      </w:pPr>
      <w:r>
        <w:rPr>
          <w:rFonts w:ascii="Arial;sans-serif" w:hAnsi="Arial;sans-serif"/>
          <w:b w:val="false"/>
          <w:color w:val="080808"/>
          <w:sz w:val="18"/>
        </w:rPr>
        <w:t>a</w:t>
      </w:r>
      <w:r>
        <w:rPr>
          <w:rFonts w:ascii="Arial;sans-serif" w:hAnsi="Arial;sans-serif"/>
          <w:b w:val="false"/>
          <w:color w:val="000000"/>
          <w:sz w:val="18"/>
        </w:rPr>
        <w:t>.    The applicable Bonus for the 2020 calendar year shall be as follows:</w:t>
      </w:r>
    </w:p>
    <w:p>
      <w:pPr>
        <w:pStyle w:val="TextBody"/>
        <w:spacing w:lineRule="auto" w:line="288" w:before="0" w:after="0"/>
        <w:ind w:left="0" w:right="0" w:hanging="270"/>
        <w:jc w:val="both"/>
        <w:rPr/>
      </w:pPr>
      <w:r>
        <w:rPr>
          <w:rFonts w:ascii="Arial;sans-serif" w:hAnsi="Arial;sans-serif"/>
          <w:b w:val="false"/>
          <w:color w:val="000000"/>
          <w:sz w:val="18"/>
        </w:rPr>
        <w:t>i.</w:t>
      </w:r>
      <w:r>
        <w:rPr>
          <w:color w:val="080808"/>
        </w:rPr>
        <w:t>    </w:t>
      </w:r>
      <w:r>
        <w:rPr>
          <w:rFonts w:ascii="Arial;sans-serif" w:hAnsi="Arial;sans-serif"/>
          <w:b w:val="false"/>
          <w:color w:val="080808"/>
          <w:sz w:val="18"/>
        </w:rPr>
        <w:t>The maximum Annual Bonus shall be 483,488NIS (gross).</w:t>
      </w:r>
    </w:p>
    <w:p>
      <w:pPr>
        <w:pStyle w:val="TextBody"/>
        <w:spacing w:lineRule="auto" w:line="288" w:before="0" w:after="180"/>
        <w:ind w:left="0" w:right="0" w:hanging="270"/>
        <w:jc w:val="both"/>
        <w:rPr/>
      </w:pPr>
      <w:r>
        <w:rPr>
          <w:rFonts w:ascii="Arial;sans-serif" w:hAnsi="Arial;sans-serif"/>
          <w:b w:val="false"/>
          <w:color w:val="080808"/>
          <w:sz w:val="18"/>
        </w:rPr>
        <w:t>ii.</w:t>
      </w:r>
      <w:r>
        <w:rPr>
          <w:color w:val="000000"/>
        </w:rPr>
        <w:t>    </w:t>
      </w:r>
      <w:r>
        <w:rPr>
          <w:rFonts w:ascii="Arial;sans-serif" w:hAnsi="Arial;sans-serif"/>
          <w:b w:val="false"/>
          <w:color w:val="000000"/>
          <w:sz w:val="18"/>
        </w:rPr>
        <w:t>The maximum Annual Additional Stretch Bonus shall be 139,674NIS (gross)</w:t>
      </w:r>
    </w:p>
    <w:p>
      <w:pPr>
        <w:pStyle w:val="TextBody"/>
        <w:spacing w:lineRule="auto" w:line="288" w:before="0" w:after="180"/>
        <w:ind w:left="0" w:right="0" w:hanging="360"/>
        <w:jc w:val="both"/>
        <w:rPr/>
      </w:pPr>
      <w:r>
        <w:rPr>
          <w:rFonts w:ascii="Arial;sans-serif" w:hAnsi="Arial;sans-serif"/>
          <w:b w:val="false"/>
          <w:color w:val="080808"/>
          <w:sz w:val="18"/>
        </w:rPr>
        <w:t>b</w:t>
      </w:r>
      <w:r>
        <w:rPr>
          <w:rFonts w:ascii="Arial;sans-serif" w:hAnsi="Arial;sans-serif"/>
          <w:b w:val="false"/>
          <w:color w:val="000000"/>
          <w:sz w:val="18"/>
        </w:rPr>
        <w:t>.    Employee's entitlement to the Annual Bonus and Additional Stretch Bonus shall be determined, for each calendar year, on the basic of Employee's (and the Company's) attainment of certain goals and objectives defined by the Company. The goals and objectives for calendar year 2020 will be set by the Compensation Committee that will be held on February 2020 ("Qualifying Objectives").</w:t>
      </w:r>
    </w:p>
    <w:p>
      <w:pPr>
        <w:pStyle w:val="TextBody"/>
        <w:spacing w:lineRule="auto" w:line="288" w:before="0" w:after="180"/>
        <w:ind w:left="0" w:right="0" w:hanging="360"/>
        <w:jc w:val="both"/>
        <w:rPr/>
      </w:pPr>
      <w:r>
        <w:rPr>
          <w:rFonts w:ascii="Arial;sans-serif" w:hAnsi="Arial;sans-serif"/>
          <w:b w:val="false"/>
          <w:color w:val="080808"/>
          <w:sz w:val="18"/>
        </w:rPr>
        <w:t>c</w:t>
      </w:r>
      <w:r>
        <w:rPr>
          <w:rFonts w:ascii="Arial;sans-serif" w:hAnsi="Arial;sans-serif"/>
          <w:b w:val="false"/>
          <w:color w:val="000000"/>
          <w:sz w:val="18"/>
        </w:rPr>
        <w:t>.     As of January 2020, the Employee's Monthly Bonus Amount shall be 28,203NIS (gross) (i.e., the equivalent of 70% of the pro-rated Annual Bonus).</w:t>
      </w:r>
    </w:p>
    <w:p>
      <w:pPr>
        <w:pStyle w:val="TextBody"/>
        <w:spacing w:lineRule="auto" w:line="288" w:before="0" w:after="180"/>
        <w:ind w:left="0" w:right="0" w:hanging="720"/>
        <w:jc w:val="both"/>
        <w:rPr/>
      </w:pPr>
      <w:r>
        <w:rPr>
          <w:rFonts w:ascii="Arial;sans-serif" w:hAnsi="Arial;sans-serif"/>
          <w:b w:val="false"/>
          <w:color w:val="080808"/>
          <w:sz w:val="18"/>
        </w:rPr>
        <w:t>3</w:t>
      </w:r>
      <w:r>
        <w:rPr>
          <w:rFonts w:ascii="Arial;sans-serif" w:hAnsi="Arial;sans-serif"/>
          <w:b w:val="false"/>
          <w:color w:val="000000"/>
          <w:sz w:val="18"/>
        </w:rPr>
        <w:t>.    Except as expressly set forth herein, the terms and conditions of the Employment Agreement shall remain in full force and effect and each Party hereto agrees to be bound by the terms thereof.</w:t>
      </w:r>
    </w:p>
    <w:p>
      <w:pPr>
        <w:pStyle w:val="TextBody"/>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WITNESS WHEREOF, the Parties hereto have executed this Addendum as of the date set forth above.</w:t>
      </w:r>
    </w:p>
    <w:tbl>
      <w:tblPr>
        <w:tblW w:w="5106" w:type="dxa"/>
        <w:jc w:val="left"/>
        <w:tblInd w:w="0" w:type="dxa"/>
        <w:tblCellMar>
          <w:top w:w="28" w:type="dxa"/>
          <w:left w:w="28" w:type="dxa"/>
          <w:bottom w:w="28" w:type="dxa"/>
          <w:right w:w="28" w:type="dxa"/>
        </w:tblCellMar>
      </w:tblPr>
      <w:tblGrid>
        <w:gridCol w:w="267"/>
        <w:gridCol w:w="233"/>
        <w:gridCol w:w="233"/>
        <w:gridCol w:w="730"/>
        <w:gridCol w:w="491"/>
        <w:gridCol w:w="504"/>
        <w:gridCol w:w="109"/>
        <w:gridCol w:w="109"/>
        <w:gridCol w:w="109"/>
        <w:gridCol w:w="239"/>
        <w:gridCol w:w="239"/>
        <w:gridCol w:w="239"/>
        <w:gridCol w:w="465"/>
        <w:gridCol w:w="465"/>
        <w:gridCol w:w="674"/>
      </w:tblGrid>
      <w:tr>
        <w:trPr/>
        <w:tc>
          <w:tcPr>
            <w:tcW w:w="26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r>
      <w:tr>
        <w:trPr/>
        <w:tc>
          <w:tcPr>
            <w:tcW w:w="245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THE EMPLOYEE</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By:</w:t>
            </w:r>
          </w:p>
        </w:tc>
        <w:tc>
          <w:tcPr>
            <w:tcW w:w="1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By:</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80808"/>
                <w:sz w:val="18"/>
              </w:rPr>
              <w:t xml:space="preserve">/s/ </w:t>
            </w:r>
            <w:r>
              <w:rPr>
                <w:rFonts w:ascii="Arial;sans-serif" w:hAnsi="Arial;sans-serif"/>
                <w:b w:val="false"/>
                <w:color w:val="000000"/>
                <w:sz w:val="18"/>
              </w:rPr>
              <w:t>Yaron Garmazi</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Name:</w:t>
            </w:r>
          </w:p>
        </w:tc>
        <w:tc>
          <w:tcPr>
            <w:tcW w:w="1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Name:</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Yaron Garmazi</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Title:</w:t>
            </w:r>
          </w:p>
        </w:tc>
        <w:tc>
          <w:tcPr>
            <w:tcW w:w="1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Title:</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80808"/>
                <w:sz w:val="18"/>
              </w:rPr>
            </w:pPr>
            <w:r>
              <w:rPr>
                <w:rFonts w:ascii="Arial;sans-serif" w:hAnsi="Arial;sans-serif"/>
                <w:b w:val="false"/>
                <w:color w:val="080808"/>
                <w:sz w:val="18"/>
              </w:rPr>
              <w:t>cfo</w:t>
            </w:r>
          </w:p>
        </w:tc>
      </w:tr>
      <w:tr>
        <w:trPr/>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Date:</w:t>
            </w:r>
          </w:p>
        </w:tc>
        <w:tc>
          <w:tcPr>
            <w:tcW w:w="1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30,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80808"/>
                <w:sz w:val="18"/>
              </w:rPr>
            </w:pPr>
            <w:r>
              <w:rPr>
                <w:rFonts w:ascii="Arial;sans-serif" w:hAnsi="Arial;sans-serif"/>
                <w:b w:val="false"/>
                <w:color w:val="080808"/>
                <w:sz w:val="18"/>
              </w:rPr>
              <w:t>Date:</w:t>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80808"/>
                <w:sz w:val="18"/>
              </w:rPr>
            </w:pPr>
            <w:r>
              <w:rPr>
                <w:rFonts w:ascii="Arial;sans-serif" w:hAnsi="Arial;sans-serif"/>
                <w:b w:val="false"/>
                <w:color w:val="080808"/>
                <w:sz w:val="18"/>
              </w:rPr>
              <w:t>January 9,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256540"/>
                <wp:effectExtent l="0" t="0" r="0" b="0"/>
                <wp:wrapNone/>
                <wp:docPr id="604" name="Frame579"/>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Confidential</w:t>
                      </w:r>
                    </w:p>
                  </w:txbxContent>
                </v:textbox>
              </v:rect>
            </w:pict>
          </mc:Fallback>
        </mc:AlternateContent>
      </w:r>
    </w:p>
    <w:p>
      <w:pPr>
        <w:pStyle w:val="TextBody"/>
        <w:spacing w:lineRule="auto" w:line="288" w:before="0" w:after="240"/>
        <w:jc w:val="center"/>
        <w:rPr>
          <w:rFonts w:ascii="Calibri;sans-serif" w:hAnsi="Calibri;sans-serif"/>
          <w:b/>
          <w:color w:val="000000"/>
          <w:sz w:val="22"/>
        </w:rPr>
      </w:pPr>
      <w:r>
        <w:rPr>
          <w:rFonts w:ascii="Calibri;sans-serif" w:hAnsi="Calibri;sans-serif"/>
          <w:b/>
          <w:color w:val="000000"/>
          <w:sz w:val="22"/>
        </w:rPr>
        <w:t>ADDENDUM TO PERSONAL EMPLOYMENT AGREEMENT</w:t>
      </w:r>
    </w:p>
    <w:p>
      <w:pPr>
        <w:pStyle w:val="TextBody"/>
        <w:spacing w:lineRule="auto" w:line="288" w:before="0" w:after="240"/>
        <w:jc w:val="both"/>
        <w:rPr/>
      </w:pPr>
      <w:r>
        <w:rPr>
          <w:rFonts w:ascii="Calibri;sans-serif" w:hAnsi="Calibri;sans-serif"/>
          <w:b w:val="false"/>
          <w:color w:val="000000"/>
          <w:sz w:val="22"/>
        </w:rPr>
        <w:t>THIS ADDENDUM TO EMPLOYMENT AGREEMENT (this “</w:t>
      </w:r>
      <w:r>
        <w:rPr>
          <w:rFonts w:ascii="Calibri;sans-serif" w:hAnsi="Calibri;sans-serif"/>
          <w:b/>
          <w:color w:val="000000"/>
          <w:sz w:val="22"/>
        </w:rPr>
        <w:t>Addendum</w:t>
      </w:r>
      <w:r>
        <w:rPr>
          <w:color w:val="000000"/>
        </w:rPr>
        <w:t>”</w:t>
      </w:r>
      <w:r>
        <w:rPr>
          <w:rFonts w:ascii="Calibri;sans-serif" w:hAnsi="Calibri;sans-serif"/>
          <w:b w:val="false"/>
          <w:color w:val="000000"/>
          <w:sz w:val="22"/>
        </w:rPr>
        <w:t>) is made and entered into this 4 day of March 2021 by and between Kaltura Ltd., (the “</w:t>
      </w:r>
      <w:r>
        <w:rPr>
          <w:rFonts w:ascii="Calibri;sans-serif" w:hAnsi="Calibri;sans-serif"/>
          <w:b/>
          <w:color w:val="000000"/>
          <w:sz w:val="22"/>
        </w:rPr>
        <w:t>Company</w:t>
      </w:r>
      <w:r>
        <w:rPr>
          <w:color w:val="000000"/>
        </w:rPr>
        <w:t>”</w:t>
      </w:r>
      <w:r>
        <w:rPr>
          <w:rFonts w:ascii="Calibri;sans-serif" w:hAnsi="Calibri;sans-serif"/>
          <w:b w:val="false"/>
          <w:color w:val="000000"/>
          <w:sz w:val="22"/>
        </w:rPr>
        <w:t>), and Yaron Garmazi (the “</w:t>
      </w:r>
      <w:r>
        <w:rPr>
          <w:rFonts w:ascii="Calibri;sans-serif" w:hAnsi="Calibri;sans-serif"/>
          <w:b/>
          <w:color w:val="000000"/>
          <w:sz w:val="22"/>
        </w:rPr>
        <w:t>Employee</w:t>
      </w:r>
      <w:r>
        <w:rPr>
          <w:color w:val="000000"/>
        </w:rPr>
        <w:t>”</w:t>
      </w:r>
      <w:r>
        <w:rPr>
          <w:rFonts w:ascii="Calibri;sans-serif" w:hAnsi="Calibri;sans-serif"/>
          <w:b w:val="false"/>
          <w:color w:val="000000"/>
          <w:sz w:val="22"/>
        </w:rPr>
        <w:t>). The Company and the Employee are sometimes referred to herein individually as a “</w:t>
      </w:r>
      <w:r>
        <w:rPr>
          <w:rFonts w:ascii="Calibri;sans-serif" w:hAnsi="Calibri;sans-serif"/>
          <w:b/>
          <w:color w:val="000000"/>
          <w:sz w:val="22"/>
        </w:rPr>
        <w:t>Party</w:t>
      </w:r>
      <w:r>
        <w:rPr>
          <w:color w:val="000000"/>
        </w:rPr>
        <w:t xml:space="preserve">” </w:t>
      </w:r>
      <w:r>
        <w:rPr>
          <w:rFonts w:ascii="Calibri;sans-serif" w:hAnsi="Calibri;sans-serif"/>
          <w:b w:val="false"/>
          <w:color w:val="000000"/>
          <w:sz w:val="22"/>
        </w:rPr>
        <w:t>and collectively as the “</w:t>
      </w:r>
      <w:r>
        <w:rPr>
          <w:rFonts w:ascii="Calibri;sans-serif" w:hAnsi="Calibri;sans-serif"/>
          <w:b/>
          <w:color w:val="000000"/>
          <w:sz w:val="22"/>
        </w:rPr>
        <w:t>Parties</w:t>
      </w:r>
      <w:r>
        <w:rPr>
          <w:rFonts w:ascii="Calibri;sans-serif" w:hAnsi="Calibri;sans-serif"/>
          <w:b w:val="false"/>
          <w:color w:val="000000"/>
          <w:sz w:val="22"/>
        </w:rPr>
        <w:t>.”</w:t>
      </w:r>
    </w:p>
    <w:p>
      <w:pPr>
        <w:pStyle w:val="TextBody"/>
        <w:spacing w:lineRule="auto" w:line="288" w:before="0" w:after="24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the Parties entered into an Employment Agreement dated 18 June 2017 (as subsequently amended, the “</w:t>
      </w:r>
      <w:r>
        <w:rPr>
          <w:rFonts w:ascii="Calibri;sans-serif" w:hAnsi="Calibri;sans-serif"/>
          <w:b/>
          <w:color w:val="000000"/>
          <w:sz w:val="22"/>
        </w:rPr>
        <w:t>Employment</w:t>
      </w:r>
      <w:r>
        <w:rPr>
          <w:color w:val="000000"/>
        </w:rPr>
        <w:t xml:space="preserve"> </w:t>
      </w:r>
      <w:r>
        <w:rPr>
          <w:rFonts w:ascii="Calibri;sans-serif" w:hAnsi="Calibri;sans-serif"/>
          <w:b/>
          <w:color w:val="000000"/>
          <w:sz w:val="22"/>
        </w:rPr>
        <w:t>Agreement</w:t>
      </w:r>
      <w:r>
        <w:rPr>
          <w:color w:val="000000"/>
        </w:rPr>
        <w:t>”</w:t>
      </w:r>
      <w:r>
        <w:rPr>
          <w:rFonts w:ascii="Calibri;sans-serif" w:hAnsi="Calibri;sans-serif"/>
          <w:b w:val="false"/>
          <w:color w:val="000000"/>
          <w:sz w:val="22"/>
        </w:rPr>
        <w:t>);</w:t>
      </w:r>
    </w:p>
    <w:p>
      <w:pPr>
        <w:pStyle w:val="TextBody"/>
        <w:spacing w:lineRule="auto" w:line="288" w:before="0" w:after="24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xml:space="preserve">, the Parties wish to amend or add certain terms and provisions to the Employment Agreement as detailed below; </w:t>
      </w:r>
    </w:p>
    <w:p>
      <w:pPr>
        <w:pStyle w:val="TextBody"/>
        <w:spacing w:lineRule="auto" w:line="288" w:before="0" w:after="240"/>
        <w:ind w:left="0" w:right="0" w:firstLine="720"/>
        <w:jc w:val="both"/>
        <w:rPr/>
      </w:pPr>
      <w:r>
        <w:rPr>
          <w:rFonts w:ascii="Calibri;sans-serif" w:hAnsi="Calibri;sans-serif"/>
          <w:b/>
          <w:color w:val="000000"/>
          <w:sz w:val="22"/>
        </w:rPr>
        <w:t>NOW, THEREFORE</w:t>
      </w:r>
      <w:r>
        <w:rPr>
          <w:rFonts w:ascii="Calibri;sans-serif" w:hAnsi="Calibri;sans-serif"/>
          <w:b w:val="false"/>
          <w:color w:val="000000"/>
          <w:sz w:val="22"/>
        </w:rPr>
        <w:t>, in consideration of the premises and mutual covenants and conditions herein contained, the Parties agree as follows:</w:t>
      </w:r>
    </w:p>
    <w:p>
      <w:pPr>
        <w:pStyle w:val="TextBody"/>
        <w:spacing w:lineRule="auto" w:line="288" w:before="0" w:after="240"/>
        <w:ind w:left="0" w:right="0" w:firstLine="720"/>
        <w:jc w:val="both"/>
        <w:rPr>
          <w:rFonts w:ascii="Calibri;sans-serif" w:hAnsi="Calibri;sans-serif"/>
          <w:b w:val="false"/>
          <w:i/>
          <w:color w:val="000000"/>
          <w:sz w:val="22"/>
        </w:rPr>
      </w:pPr>
      <w:r>
        <w:rPr>
          <w:rFonts w:ascii="Calibri;sans-serif" w:hAnsi="Calibri;sans-serif"/>
          <w:b w:val="false"/>
          <w:i/>
          <w:color w:val="000000"/>
          <w:sz w:val="22"/>
        </w:rPr>
        <w:t>Capitalized terms used but not defined herein have the meanings assigned to them in the Employment Agreement.</w:t>
      </w:r>
    </w:p>
    <w:p>
      <w:pPr>
        <w:pStyle w:val="TextBody"/>
        <w:spacing w:lineRule="auto" w:line="288" w:before="0" w:after="0"/>
        <w:ind w:left="0" w:right="0" w:hanging="720"/>
        <w:jc w:val="both"/>
        <w:rPr/>
      </w:pPr>
      <w:r>
        <w:rPr>
          <w:rFonts w:ascii="Calibri;sans-serif" w:hAnsi="Calibri;sans-serif"/>
          <w:b w:val="false"/>
          <w:color w:val="000000"/>
          <w:sz w:val="22"/>
        </w:rPr>
        <w:t>1.</w:t>
      </w:r>
      <w:r>
        <w:rPr>
          <w:rFonts w:ascii="Calibri;sans-serif" w:hAnsi="Calibri;sans-serif"/>
          <w:b w:val="false"/>
          <w:color w:val="000000"/>
          <w:sz w:val="22"/>
          <w:u w:val="single"/>
        </w:rPr>
        <w:t>Salary</w:t>
      </w:r>
    </w:p>
    <w:p>
      <w:pPr>
        <w:pStyle w:val="TextBody"/>
        <w:spacing w:lineRule="auto" w:line="288"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a.Effective from 1 January 2021, the Employee’s Monthly Salary shall be as follows:</w:t>
      </w:r>
    </w:p>
    <w:p>
      <w:pPr>
        <w:pStyle w:val="TextBody"/>
        <w:spacing w:lineRule="auto" w:line="288" w:before="0" w:after="0"/>
        <w:ind w:left="0" w:right="0" w:hanging="283"/>
        <w:jc w:val="both"/>
        <w:rPr>
          <w:rFonts w:ascii="Calibri;sans-serif" w:hAnsi="Calibri;sans-serif"/>
          <w:b w:val="false"/>
          <w:color w:val="000000"/>
          <w:sz w:val="22"/>
        </w:rPr>
      </w:pPr>
      <w:r>
        <w:rPr>
          <w:rFonts w:ascii="Calibri;sans-serif" w:hAnsi="Calibri;sans-serif"/>
          <w:b w:val="false"/>
          <w:color w:val="000000"/>
          <w:sz w:val="22"/>
        </w:rPr>
        <w:t>i.Base Salary shall be NIS 72,000 (gross)</w:t>
      </w:r>
    </w:p>
    <w:p>
      <w:pPr>
        <w:pStyle w:val="TextBody"/>
        <w:spacing w:lineRule="auto" w:line="288" w:before="0" w:after="0"/>
        <w:ind w:left="0" w:right="0" w:hanging="283"/>
        <w:jc w:val="both"/>
        <w:rPr>
          <w:rFonts w:ascii="Calibri;sans-serif" w:hAnsi="Calibri;sans-serif"/>
          <w:b w:val="false"/>
          <w:color w:val="000000"/>
          <w:sz w:val="22"/>
        </w:rPr>
      </w:pPr>
      <w:r>
        <w:rPr>
          <w:rFonts w:ascii="Calibri;sans-serif" w:hAnsi="Calibri;sans-serif"/>
          <w:b w:val="false"/>
          <w:color w:val="000000"/>
          <w:sz w:val="22"/>
        </w:rPr>
        <w:t>ii.Global Overtime Pay shall be NIS 18,000 (gross)</w:t>
      </w:r>
    </w:p>
    <w:p>
      <w:pPr>
        <w:pStyle w:val="TextBody"/>
        <w:spacing w:lineRule="auto" w:line="288" w:before="0" w:after="240"/>
        <w:ind w:left="0" w:right="0" w:hanging="283"/>
        <w:jc w:val="both"/>
        <w:rPr>
          <w:rFonts w:ascii="Calibri;sans-serif" w:hAnsi="Calibri;sans-serif"/>
          <w:b w:val="false"/>
          <w:color w:val="000000"/>
          <w:sz w:val="22"/>
        </w:rPr>
      </w:pPr>
      <w:r>
        <w:rPr>
          <w:rFonts w:ascii="Calibri;sans-serif" w:hAnsi="Calibri;sans-serif"/>
          <w:b w:val="false"/>
          <w:color w:val="000000"/>
          <w:sz w:val="22"/>
        </w:rPr>
        <w:t xml:space="preserve">iii.Monthly Salary (Base + Global Overtime Pay) shall be NIS 90,000 (gross) </w:t>
      </w:r>
    </w:p>
    <w:p>
      <w:pPr>
        <w:pStyle w:val="TextBody"/>
        <w:spacing w:lineRule="auto" w:line="288" w:before="0" w:after="0"/>
        <w:ind w:left="0" w:right="0" w:hanging="720"/>
        <w:jc w:val="both"/>
        <w:rPr/>
      </w:pPr>
      <w:r>
        <w:rPr>
          <w:rFonts w:ascii="Calibri;sans-serif" w:hAnsi="Calibri;sans-serif"/>
          <w:b w:val="false"/>
          <w:color w:val="000000"/>
          <w:sz w:val="22"/>
        </w:rPr>
        <w:t>2.</w:t>
      </w:r>
      <w:r>
        <w:rPr>
          <w:rFonts w:ascii="Calibri;sans-serif" w:hAnsi="Calibri;sans-serif"/>
          <w:b w:val="false"/>
          <w:color w:val="000000"/>
          <w:sz w:val="22"/>
          <w:u w:val="single"/>
        </w:rPr>
        <w:t>Bonus</w:t>
      </w:r>
    </w:p>
    <w:p>
      <w:pPr>
        <w:pStyle w:val="TextBody"/>
        <w:spacing w:lineRule="auto" w:line="288" w:before="0" w:after="0"/>
        <w:ind w:left="0" w:right="0" w:hanging="284"/>
        <w:jc w:val="both"/>
        <w:rPr>
          <w:rFonts w:ascii="Calibri;sans-serif" w:hAnsi="Calibri;sans-serif"/>
          <w:b w:val="false"/>
          <w:color w:val="000000"/>
          <w:sz w:val="22"/>
        </w:rPr>
      </w:pPr>
      <w:r>
        <w:rPr>
          <w:rFonts w:ascii="Calibri;sans-serif" w:hAnsi="Calibri;sans-serif"/>
          <w:b w:val="false"/>
          <w:color w:val="000000"/>
          <w:sz w:val="22"/>
        </w:rPr>
        <w:t>a.The applicable Bonus for the 2021 calendar year shall be as follows:</w:t>
      </w:r>
    </w:p>
    <w:p>
      <w:pPr>
        <w:pStyle w:val="TextBody"/>
        <w:spacing w:lineRule="auto" w:line="288" w:before="0" w:after="0"/>
        <w:ind w:left="0" w:right="0" w:hanging="283"/>
        <w:jc w:val="both"/>
        <w:rPr/>
      </w:pPr>
      <w:r>
        <w:rPr>
          <w:rFonts w:ascii="Calibri;sans-serif" w:hAnsi="Calibri;sans-serif"/>
          <w:b w:val="false"/>
          <w:color w:val="000000"/>
          <w:sz w:val="22"/>
        </w:rPr>
        <w:t>i.The maximum Annual Bonus shall be</w:t>
      </w:r>
      <w:r>
        <w:rPr>
          <w:color w:val="000000"/>
        </w:rPr>
        <w:t xml:space="preserve"> </w:t>
      </w:r>
      <w:r>
        <w:rPr>
          <w:rFonts w:ascii="Calibri;sans-serif" w:hAnsi="Calibri;sans-serif"/>
          <w:b w:val="false"/>
          <w:color w:val="000000"/>
          <w:sz w:val="22"/>
        </w:rPr>
        <w:t xml:space="preserve">NIS 810,000 (gross). </w:t>
      </w:r>
    </w:p>
    <w:p>
      <w:pPr>
        <w:pStyle w:val="TextBody"/>
        <w:spacing w:lineRule="auto" w:line="288" w:before="0" w:after="240"/>
        <w:ind w:left="0" w:right="0" w:hanging="283"/>
        <w:jc w:val="both"/>
        <w:rPr/>
      </w:pPr>
      <w:r>
        <w:rPr>
          <w:rFonts w:ascii="Calibri;sans-serif" w:hAnsi="Calibri;sans-serif"/>
          <w:b w:val="false"/>
          <w:color w:val="000000"/>
          <w:sz w:val="22"/>
        </w:rPr>
        <w:t>ii.The maximum Annual Additional Stretch Bonus shall be</w:t>
      </w:r>
      <w:r>
        <w:rPr>
          <w:color w:val="000000"/>
        </w:rPr>
        <w:t xml:space="preserve"> </w:t>
      </w:r>
      <w:r>
        <w:rPr>
          <w:rFonts w:ascii="Calibri;sans-serif" w:hAnsi="Calibri;sans-serif"/>
          <w:b w:val="false"/>
          <w:color w:val="000000"/>
          <w:sz w:val="22"/>
        </w:rPr>
        <w:t>NIS 303,750 (gross)</w:t>
      </w:r>
    </w:p>
    <w:p>
      <w:pPr>
        <w:pStyle w:val="TextBody"/>
        <w:spacing w:lineRule="auto" w:line="288" w:before="0" w:after="240"/>
        <w:ind w:left="0" w:right="0" w:hanging="284"/>
        <w:jc w:val="both"/>
        <w:rPr>
          <w:rFonts w:ascii="Calibri;sans-serif" w:hAnsi="Calibri;sans-serif"/>
          <w:b w:val="false"/>
          <w:color w:val="000000"/>
          <w:sz w:val="22"/>
        </w:rPr>
      </w:pPr>
      <w:r>
        <w:rPr>
          <w:rFonts w:ascii="Calibri;sans-serif" w:hAnsi="Calibri;sans-serif"/>
          <w:b w:val="false"/>
          <w:color w:val="000000"/>
          <w:sz w:val="22"/>
        </w:rPr>
        <w:t xml:space="preserve">b.The Employee’s entitlement to the Annual Bonus and Additional Stretch Bonus shall be determined, for each calendar year, on the basis of the attainment of certain financial and operational metrics set by Kaltura, Inc.’s board of directors. </w:t>
      </w:r>
    </w:p>
    <w:p>
      <w:pPr>
        <w:pStyle w:val="TextBody"/>
        <w:spacing w:lineRule="auto" w:line="288" w:before="0" w:after="240"/>
        <w:ind w:left="0" w:right="0" w:hanging="284"/>
        <w:jc w:val="both"/>
        <w:rPr/>
      </w:pPr>
      <w:r>
        <w:rPr>
          <w:rFonts w:ascii="Calibri;sans-serif" w:hAnsi="Calibri;sans-serif"/>
          <w:b w:val="false"/>
          <w:color w:val="000000"/>
          <w:sz w:val="22"/>
        </w:rPr>
        <w:t>c.As of January 2021, the Employee’s Monthly Bonus Amount shall be</w:t>
      </w:r>
      <w:r>
        <w:rPr>
          <w:color w:val="000000"/>
        </w:rPr>
        <w:t xml:space="preserve"> </w:t>
      </w:r>
      <w:r>
        <w:rPr>
          <w:rFonts w:ascii="Calibri;sans-serif" w:hAnsi="Calibri;sans-serif"/>
          <w:b w:val="false"/>
          <w:color w:val="000000"/>
          <w:sz w:val="22"/>
        </w:rPr>
        <w:t>NIS 47,250 (gross) (i.e., the equivalent of 70% of the pro-rated Annual Bonus) on account of the Annual Bonus (section 2.a.i above).</w:t>
      </w:r>
    </w:p>
    <w:p>
      <w:pPr>
        <w:pStyle w:val="TextBody"/>
        <w:spacing w:lineRule="auto" w:line="288" w:before="0" w:after="240"/>
        <w:ind w:left="0" w:right="0" w:hanging="720"/>
        <w:jc w:val="both"/>
        <w:rPr>
          <w:rFonts w:ascii="Calibri;sans-serif" w:hAnsi="Calibri;sans-serif"/>
          <w:b w:val="false"/>
          <w:color w:val="000000"/>
          <w:sz w:val="22"/>
        </w:rPr>
      </w:pPr>
      <w:r>
        <w:rPr>
          <w:rFonts w:ascii="Calibri;sans-serif" w:hAnsi="Calibri;sans-serif"/>
          <w:b w:val="false"/>
          <w:color w:val="000000"/>
          <w:sz w:val="22"/>
        </w:rPr>
        <w:t xml:space="preserve">3.Section 8.1 (Company Car) is hereby stricken in its entirety from the Employment Agreement. </w:t>
      </w:r>
    </w:p>
    <w:p>
      <w:pPr>
        <w:pStyle w:val="TextBody"/>
        <w:spacing w:lineRule="auto" w:line="288" w:before="0" w:after="1640"/>
        <w:ind w:left="0" w:right="0" w:hanging="720"/>
        <w:jc w:val="both"/>
        <w:rPr>
          <w:rFonts w:ascii="Calibri;sans-serif" w:hAnsi="Calibri;sans-serif"/>
          <w:b w:val="false"/>
          <w:color w:val="000000"/>
          <w:sz w:val="22"/>
        </w:rPr>
      </w:pPr>
      <w:r>
        <w:rPr>
          <w:rFonts w:ascii="Calibri;sans-serif" w:hAnsi="Calibri;sans-serif"/>
          <w:b w:val="false"/>
          <w:color w:val="000000"/>
          <w:sz w:val="22"/>
        </w:rPr>
        <w:t>4.Except as expressly set forth herein, the terms and conditions of the Employment Agreement shall remain in full force and effect and each Party hereto agrees to be bound by the terms thereof.</w:t>
      </w:r>
      <w:r>
        <w:br w:type="page"/>
      </w:r>
    </w:p>
    <w:p>
      <w:pPr>
        <w:pStyle w:val="TextBody"/>
        <w:spacing w:before="0" w:after="0"/>
        <w:rPr/>
      </w:pPr>
      <w:r>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330200"/>
                <wp:effectExtent l="0" t="0" r="0" b="0"/>
                <wp:wrapNone/>
                <wp:docPr id="605" name="Frame580"/>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Confidential</w:t>
                      </w:r>
                    </w:p>
                  </w:txbxContent>
                </v:textbox>
              </v:rect>
            </w:pict>
          </mc:Fallback>
        </mc:AlternateContent>
      </w:r>
    </w:p>
    <w:p>
      <w:pPr>
        <w:pStyle w:val="TextBody"/>
        <w:spacing w:lineRule="auto" w:line="288" w:before="0" w:after="480"/>
        <w:jc w:val="both"/>
        <w:rPr>
          <w:rFonts w:ascii="Calibri;sans-serif" w:hAnsi="Calibri;sans-serif"/>
          <w:b w:val="false"/>
          <w:color w:val="000000"/>
          <w:sz w:val="22"/>
        </w:rPr>
      </w:pPr>
      <w:r>
        <w:rPr>
          <w:rFonts w:ascii="Calibri;sans-serif" w:hAnsi="Calibri;sans-serif"/>
          <w:b w:val="false"/>
          <w:color w:val="000000"/>
          <w:sz w:val="22"/>
        </w:rPr>
        <w:t xml:space="preserve">IN WITNESS WHEREOF, the Parties hereto have executed this Addendum as of the date set forth above. </w:t>
      </w:r>
    </w:p>
    <w:tbl>
      <w:tblPr>
        <w:tblW w:w="4998" w:type="dxa"/>
        <w:jc w:val="left"/>
        <w:tblInd w:w="0" w:type="dxa"/>
        <w:tblCellMar>
          <w:top w:w="28" w:type="dxa"/>
          <w:left w:w="28" w:type="dxa"/>
          <w:bottom w:w="28" w:type="dxa"/>
          <w:right w:w="28" w:type="dxa"/>
        </w:tblCellMar>
      </w:tblPr>
      <w:tblGrid>
        <w:gridCol w:w="275"/>
        <w:gridCol w:w="241"/>
        <w:gridCol w:w="241"/>
        <w:gridCol w:w="477"/>
        <w:gridCol w:w="477"/>
        <w:gridCol w:w="486"/>
        <w:gridCol w:w="109"/>
        <w:gridCol w:w="109"/>
        <w:gridCol w:w="109"/>
        <w:gridCol w:w="235"/>
        <w:gridCol w:w="235"/>
        <w:gridCol w:w="235"/>
        <w:gridCol w:w="513"/>
        <w:gridCol w:w="513"/>
        <w:gridCol w:w="743"/>
      </w:tblGrid>
      <w:tr>
        <w:trPr/>
        <w:tc>
          <w:tcPr>
            <w:tcW w:w="27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r>
      <w:tr>
        <w:trPr/>
        <w:tc>
          <w:tcPr>
            <w:tcW w:w="2197"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THE EMPLOYEE</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By:</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 S.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By:</w:t>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080808"/>
                <w:sz w:val="22"/>
              </w:rPr>
              <w:t xml:space="preserve">/s/ </w:t>
            </w:r>
            <w:r>
              <w:rPr>
                <w:rFonts w:ascii="Calibri;sans-serif" w:hAnsi="Calibri;sans-serif"/>
                <w:b w:val="false"/>
                <w:color w:val="000000"/>
                <w:sz w:val="22"/>
              </w:rPr>
              <w:t>Yaron Garmazi</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Name: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Name:</w:t>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Yaron Garmazi</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Title: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Title:</w:t>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80808"/>
                <w:sz w:val="22"/>
              </w:rPr>
            </w:pPr>
            <w:r>
              <w:rPr>
                <w:rFonts w:ascii="Calibri;sans-serif" w:hAnsi="Calibri;sans-serif"/>
                <w:b w:val="false"/>
                <w:color w:val="080808"/>
                <w:sz w:val="22"/>
              </w:rPr>
              <w:t>cfo</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Date: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March 7,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Date:</w:t>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March 7, 2021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330200"/>
                <wp:effectExtent l="0" t="0" r="0" b="0"/>
                <wp:wrapNone/>
                <wp:docPr id="606" name="Frame581"/>
                <a:graphic xmlns:a="http://schemas.openxmlformats.org/drawingml/2006/main">
                  <a:graphicData uri="http://schemas.microsoft.com/office/word/2010/wordprocessingShape">
                    <wps:wsp>
                      <wps:cNvSpPr txBox="1"/>
                      <wps:spPr>
                        <a:xfrm>
                          <a:off x="0" y="0"/>
                          <a:ext cx="6480175" cy="33020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Confidential</w:t>
                      </w:r>
                    </w:p>
                  </w:txbxContent>
                </v:textbox>
              </v:rect>
            </w:pict>
          </mc:Fallback>
        </mc:AlternateContent>
      </w:r>
    </w:p>
    <w:tbl>
      <w:tblPr>
        <w:tblW w:w="2995" w:type="dxa"/>
        <w:jc w:val="right"/>
        <w:tblInd w:w="0" w:type="dxa"/>
        <w:tblCellMar>
          <w:top w:w="28" w:type="dxa"/>
          <w:left w:w="28" w:type="dxa"/>
          <w:bottom w:w="28" w:type="dxa"/>
          <w:right w:w="28" w:type="dxa"/>
        </w:tblCellMar>
      </w:tblPr>
      <w:tblGrid>
        <w:gridCol w:w="617"/>
        <w:gridCol w:w="542"/>
        <w:gridCol w:w="547"/>
        <w:gridCol w:w="376"/>
        <w:gridCol w:w="376"/>
        <w:gridCol w:w="537"/>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0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26" descr=""/>
                          <pic:cNvPicPr>
                            <a:picLocks noChangeAspect="1" noChangeArrowheads="1"/>
                          </pic:cNvPicPr>
                        </pic:nvPicPr>
                        <pic:blipFill>
                          <a:blip r:embed="rId53"/>
                          <a:stretch>
                            <a:fillRect/>
                          </a:stretch>
                        </pic:blipFill>
                        <pic:spPr bwMode="auto">
                          <a:xfrm>
                            <a:off x="0" y="0"/>
                            <a:ext cx="714375" cy="657225"/>
                          </a:xfrm>
                          <a:prstGeom prst="rect">
                            <a:avLst/>
                          </a:prstGeom>
                        </pic:spPr>
                      </pic:pic>
                    </a:graphicData>
                  </a:graphic>
                </wp:inline>
              </w:drawing>
            </w:r>
          </w:p>
        </w:tc>
        <w:tc>
          <w:tcPr>
            <w:tcW w:w="128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Exhibit 10.16</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0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27" descr=""/>
                          <pic:cNvPicPr>
                            <a:picLocks noChangeAspect="1" noChangeArrowheads="1"/>
                          </pic:cNvPicPr>
                        </pic:nvPicPr>
                        <pic:blipFill>
                          <a:blip r:embed="rId54"/>
                          <a:stretch>
                            <a:fillRect/>
                          </a:stretch>
                        </pic:blipFill>
                        <pic:spPr bwMode="auto">
                          <a:xfrm>
                            <a:off x="0" y="0"/>
                            <a:ext cx="1019175" cy="190500"/>
                          </a:xfrm>
                          <a:prstGeom prst="rect">
                            <a:avLst/>
                          </a:prstGeom>
                        </pic:spPr>
                      </pic:pic>
                    </a:graphicData>
                  </a:graphic>
                </wp:inline>
              </w:drawing>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EMPLOYMENT AGREEMENT</w:t>
      </w:r>
    </w:p>
    <w:p>
      <w:pPr>
        <w:pStyle w:val="TextBody"/>
        <w:spacing w:lineRule="auto" w:line="288" w:before="0" w:after="120"/>
        <w:rPr/>
      </w:pPr>
      <w:r>
        <w:rPr>
          <w:rFonts w:ascii="Times New Roman;sans-serif" w:hAnsi="Times New Roman;sans-serif"/>
          <w:b/>
          <w:color w:val="000000"/>
          <w:sz w:val="20"/>
        </w:rPr>
        <w:t xml:space="preserve">This Employment Agreement </w:t>
      </w:r>
      <w:r>
        <w:rPr>
          <w:rFonts w:ascii="Times New Roman;sans-serif" w:hAnsi="Times New Roman;sans-serif"/>
          <w:b w:val="false"/>
          <w:color w:val="000000"/>
          <w:sz w:val="20"/>
        </w:rPr>
        <w:t>(the “</w:t>
      </w:r>
      <w:r>
        <w:rPr>
          <w:rFonts w:ascii="Times New Roman;sans-serif" w:hAnsi="Times New Roman;sans-serif"/>
          <w:b/>
          <w:color w:val="000000"/>
          <w:sz w:val="20"/>
        </w:rPr>
        <w:t>Employment Agreement</w:t>
      </w:r>
      <w:r>
        <w:rPr>
          <w:color w:val="000000"/>
        </w:rPr>
        <w:t>”</w:t>
      </w:r>
      <w:r>
        <w:rPr>
          <w:rFonts w:ascii="Times New Roman;sans-serif" w:hAnsi="Times New Roman;sans-serif"/>
          <w:b w:val="false"/>
          <w:color w:val="000000"/>
          <w:sz w:val="20"/>
        </w:rPr>
        <w:t>) made as of January 28</w:t>
      </w:r>
      <w:r>
        <w:rPr>
          <w:rFonts w:ascii="Times New Roman;sans-serif" w:hAnsi="Times New Roman;sans-serif"/>
          <w:b w:val="false"/>
          <w:color w:val="000000"/>
          <w:sz w:val="13"/>
        </w:rPr>
        <w:t xml:space="preserve">th </w:t>
      </w:r>
      <w:r>
        <w:rPr>
          <w:rFonts w:ascii="Times New Roman;sans-serif" w:hAnsi="Times New Roman;sans-serif"/>
          <w:b w:val="false"/>
          <w:color w:val="000000"/>
          <w:sz w:val="20"/>
        </w:rPr>
        <w:t xml:space="preserve">, 2019 by and between </w:t>
      </w:r>
      <w:r>
        <w:rPr>
          <w:rFonts w:ascii="Times New Roman;sans-serif" w:hAnsi="Times New Roman;sans-serif"/>
          <w:b/>
          <w:color w:val="000000"/>
          <w:sz w:val="20"/>
        </w:rPr>
        <w:t>Kaltura Ltd</w:t>
      </w:r>
      <w:r>
        <w:rPr>
          <w:rFonts w:ascii="Times New Roman;sans-serif" w:hAnsi="Times New Roman;sans-serif"/>
          <w:b w:val="false"/>
          <w:color w:val="000000"/>
          <w:sz w:val="20"/>
        </w:rPr>
        <w:t>., Company Number 5-1391737-7 , an Israeli company, having its principal place of business at 2 Shoham St. Ramat Gan, Israel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xml:space="preserve">), and </w:t>
      </w:r>
      <w:r>
        <w:rPr>
          <w:rFonts w:ascii="Times New Roman;sans-serif" w:hAnsi="Times New Roman;sans-serif"/>
          <w:b/>
          <w:color w:val="000000"/>
          <w:sz w:val="20"/>
        </w:rPr>
        <w:t>Sergei Liakhovetsky</w:t>
      </w:r>
      <w:r>
        <w:rPr>
          <w:color w:val="000000"/>
        </w:rPr>
        <w:t xml:space="preserve"> </w:t>
      </w:r>
      <w:r>
        <w:rPr>
          <w:rFonts w:ascii="Times New Roman;sans-serif" w:hAnsi="Times New Roman;sans-serif"/>
          <w:b w:val="false"/>
          <w:color w:val="000000"/>
          <w:sz w:val="20"/>
        </w:rPr>
        <w:t>holder of an Israeli ID number #### (the “</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w:t>
      </w:r>
    </w:p>
    <w:p>
      <w:pPr>
        <w:pStyle w:val="TextBody"/>
        <w:spacing w:lineRule="auto" w:line="288" w:before="0" w:after="120"/>
        <w:jc w:val="both"/>
        <w:rPr/>
      </w:pPr>
      <w:r>
        <w:rPr>
          <w:rFonts w:ascii="Times New Roman;sans-serif" w:hAnsi="Times New Roman;sans-serif"/>
          <w:b/>
          <w:i/>
          <w:color w:val="000000"/>
          <w:sz w:val="20"/>
        </w:rPr>
        <w:t>WHEREAS</w:t>
      </w:r>
      <w:r>
        <w:rPr>
          <w:rFonts w:ascii="Times New Roman;sans-serif" w:hAnsi="Times New Roman;sans-serif"/>
          <w:b w:val="false"/>
          <w:color w:val="000000"/>
          <w:sz w:val="20"/>
        </w:rPr>
        <w:t>, the Company wishes to employ the Employee, and the Employee agrees to be employed by the Company, as of May 5th, 2019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and throughout the Term (as such term is defined below), all in accordance with the terms and conditions set forth in this Employment Agreement; and</w:t>
      </w:r>
    </w:p>
    <w:p>
      <w:pPr>
        <w:pStyle w:val="TextBody"/>
        <w:spacing w:lineRule="auto" w:line="288" w:before="0" w:after="120"/>
        <w:jc w:val="both"/>
        <w:rPr/>
      </w:pPr>
      <w:r>
        <w:rPr>
          <w:rFonts w:ascii="Times New Roman;sans-serif" w:hAnsi="Times New Roman;sans-serif"/>
          <w:b/>
          <w:i/>
          <w:color w:val="000000"/>
          <w:sz w:val="20"/>
        </w:rPr>
        <w:t>WHEREAS</w:t>
      </w:r>
      <w:r>
        <w:rPr>
          <w:rFonts w:ascii="Times New Roman;sans-serif" w:hAnsi="Times New Roman;sans-serif"/>
          <w:b w:val="false"/>
          <w:color w:val="000000"/>
          <w:sz w:val="20"/>
        </w:rPr>
        <w:t>, the Employee represents that he has significant expertise and knowledge with regard to the Position (as defined below).</w:t>
      </w:r>
    </w:p>
    <w:p>
      <w:pPr>
        <w:pStyle w:val="TextBody"/>
        <w:spacing w:lineRule="auto" w:line="288" w:before="0" w:after="120"/>
        <w:jc w:val="both"/>
        <w:rPr/>
      </w:pPr>
      <w:r>
        <w:rPr>
          <w:rFonts w:ascii="Times New Roman;sans-serif" w:hAnsi="Times New Roman;sans-serif"/>
          <w:b/>
          <w:i/>
          <w:color w:val="000000"/>
          <w:sz w:val="20"/>
        </w:rPr>
        <w:t>NOW, THEREFORE</w:t>
      </w:r>
      <w:r>
        <w:rPr>
          <w:rFonts w:ascii="Times New Roman;sans-serif" w:hAnsi="Times New Roman;sans-serif"/>
          <w:b w:val="false"/>
          <w:color w:val="000000"/>
          <w:sz w:val="20"/>
        </w:rPr>
        <w:t>, in consideration of the mutual premises, covenants and other agreements contained herein, the parties hereby agree as follows:</w:t>
      </w:r>
    </w:p>
    <w:p>
      <w:pPr>
        <w:pStyle w:val="TextBody"/>
        <w:spacing w:lineRule="auto" w:line="288" w:before="0" w:after="180"/>
        <w:rPr/>
      </w:pPr>
      <w:r>
        <w:rPr>
          <w:rFonts w:ascii="Times New Roman;sans-serif" w:hAnsi="Times New Roman;sans-serif"/>
          <w:b w:val="false"/>
          <w:color w:val="000000"/>
          <w:sz w:val="20"/>
        </w:rPr>
        <w:t>1     </w:t>
      </w:r>
      <w:r>
        <w:rPr>
          <w:rFonts w:ascii="Times New Roman;sans-serif" w:hAnsi="Times New Roman;sans-serif"/>
          <w:b/>
          <w:color w:val="000000"/>
          <w:sz w:val="20"/>
          <w:u w:val="single"/>
        </w:rPr>
        <w:t>General</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1.1     The preamble to this Employment Agreement constitutes an integral part thereof.</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1.2     The appendices to this Employment Agreement are an integral part thereof and are hereby incorporated by reference.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1.3     The headings in this Employment Agreement are for the purpose of convenience only and shall not be used for the purposes of interpretation.</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1.4     In this Employment Agreement words referring to a male employee are intended also for a female employee.</w:t>
      </w:r>
    </w:p>
    <w:p>
      <w:pPr>
        <w:pStyle w:val="TextBody"/>
        <w:spacing w:lineRule="auto" w:line="288" w:before="0" w:after="180"/>
        <w:rPr/>
      </w:pPr>
      <w:r>
        <w:rPr>
          <w:rFonts w:ascii="Times New Roman;sans-serif" w:hAnsi="Times New Roman;sans-serif"/>
          <w:b w:val="false"/>
          <w:color w:val="000000"/>
          <w:sz w:val="20"/>
        </w:rPr>
        <w:t>2     </w:t>
      </w:r>
      <w:r>
        <w:rPr>
          <w:rFonts w:ascii="Times New Roman;sans-serif" w:hAnsi="Times New Roman;sans-serif"/>
          <w:b/>
          <w:color w:val="000000"/>
          <w:sz w:val="20"/>
          <w:u w:val="single"/>
        </w:rPr>
        <w:t>Employment and Position.</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2.1     The Employee’s employment with the Company shall commence on the Effective Date and shall continue for an unlimited period, in accordance with the provisions of this Employment Agreement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2.2    The Company hereby agrees to employ the Employee and the Employee hereby agrees to be employed by Company in the position as described in Exhibit A hereto (the “Position”). The Employee shall have such authority as shall be delegated to him/her by the authorized representative(s) of the Company from time to time. The Company may, at its sole discretion, change the Position, the scope of authority, the content of the Position and its definitions, and/or to ask the Employee to render services out of the scope of the Position.</w:t>
      </w:r>
    </w:p>
    <w:p>
      <w:pPr>
        <w:pStyle w:val="TextBody"/>
        <w:spacing w:lineRule="auto" w:line="288" w:before="0" w:after="120"/>
        <w:jc w:val="both"/>
        <w:rPr/>
      </w:pPr>
      <w:r>
        <w:rPr>
          <w:rFonts w:ascii="Times New Roman;sans-serif" w:hAnsi="Times New Roman;sans-serif"/>
          <w:b w:val="false"/>
          <w:color w:val="000000"/>
          <w:sz w:val="20"/>
        </w:rPr>
        <w:t xml:space="preserve">2.3   The Employee shall report regularly to the person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 or to any other person or position as Company, at its sole discretion, shall instruct the Employees from time to time (the “</w:t>
      </w:r>
      <w:r>
        <w:rPr>
          <w:rFonts w:ascii="Times New Roman;sans-serif" w:hAnsi="Times New Roman;sans-serif"/>
          <w:b/>
          <w:color w:val="000000"/>
          <w:sz w:val="20"/>
        </w:rPr>
        <w:t>Direct Manager</w:t>
      </w:r>
      <w:r>
        <w:rPr>
          <w:color w:val="000000"/>
        </w:rPr>
        <w:t xml:space="preserve">” </w:t>
      </w:r>
      <w:r>
        <w:rPr>
          <w:rFonts w:ascii="Times New Roman;sans-serif" w:hAnsi="Times New Roman;sans-serif"/>
          <w:b w:val="false"/>
          <w:color w:val="000000"/>
          <w:sz w:val="20"/>
        </w:rPr>
        <w:t>).</w:t>
      </w:r>
    </w:p>
    <w:p>
      <w:pPr>
        <w:pStyle w:val="TextBody"/>
        <w:spacing w:lineRule="auto" w:line="288" w:before="0" w:after="180"/>
        <w:rPr/>
      </w:pPr>
      <w:r>
        <w:rPr/>
        <w:drawing>
          <wp:inline distT="0" distB="63500" distL="0" distR="0">
            <wp:extent cx="14605" cy="14605"/>
            <wp:effectExtent l="0" t="0" r="0" b="0"/>
            <wp:docPr id="60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28"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3     </w:t>
      </w:r>
      <w:r>
        <w:rPr>
          <w:rFonts w:ascii="Times New Roman;sans-serif" w:hAnsi="Times New Roman;sans-serif"/>
          <w:b/>
          <w:color w:val="000000"/>
          <w:sz w:val="20"/>
          <w:u w:val="single"/>
        </w:rPr>
        <w:t>Employee’s</w:t>
      </w:r>
      <w:r>
        <w:rPr>
          <w:color w:val="000000"/>
          <w:u w:val="single"/>
        </w:rPr>
        <w:t xml:space="preserve"> </w:t>
      </w:r>
      <w:r>
        <w:rPr>
          <w:rFonts w:ascii="Times New Roman;sans-serif" w:hAnsi="Times New Roman;sans-serif"/>
          <w:b/>
          <w:color w:val="000000"/>
          <w:sz w:val="20"/>
          <w:u w:val="single"/>
        </w:rPr>
        <w:t>Duties.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3.1     The Employee affirms and undertakes throughout the term of this Agreement: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3.1.1     To devote his entire working time, know-how, expertise, talent, experience and best efforts to the business and affairs of the Company and to perform his/her duties and functions diligently and skillfully with the utmost expertise and devotion.</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3.1.2     To travel abroad from time to time if and as may be required pursuant to his Position.</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3.1.3    Not to receive, at any time, whether during the term of this Agreement and/or at any time thereafter, directly or indirectly, any payment, benefit and/or other consideration, from any third party in connection with her employment at the company, without the Company’s prior written authorization.</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256540"/>
                <wp:effectExtent l="0" t="0" r="0" b="0"/>
                <wp:wrapNone/>
                <wp:docPr id="610" name="Frame582"/>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1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29" descr=""/>
                          <pic:cNvPicPr>
                            <a:picLocks noChangeAspect="1" noChangeArrowheads="1"/>
                          </pic:cNvPicPr>
                        </pic:nvPicPr>
                        <pic:blipFill>
                          <a:blip r:embed="rId56"/>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1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30" descr=""/>
                          <pic:cNvPicPr>
                            <a:picLocks noChangeAspect="1" noChangeArrowheads="1"/>
                          </pic:cNvPicPr>
                        </pic:nvPicPr>
                        <pic:blipFill>
                          <a:blip r:embed="rId57"/>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3.1.4    To immediately and without delay inform the Company of any affairs and/or matters that might constitute a conflict of interest with Employee’s Position and/or employment with Company (including its affiliates) and/or the interests of the Company (including its affiliates).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3.1.5     Not, without the prior written consent of the Company, to undertake or accept any other paid or unpaid employment or occupation or engage in or be associated with, directly or indirectly, any other businesses, duties or pursuits except for de minimis non-commercial or non-business activities.</w:t>
      </w:r>
    </w:p>
    <w:p>
      <w:pPr>
        <w:pStyle w:val="TextBody"/>
        <w:spacing w:lineRule="auto" w:line="288" w:before="0" w:after="120"/>
        <w:ind w:left="0" w:right="0" w:firstLine="720"/>
        <w:rPr/>
      </w:pPr>
      <w:r>
        <w:rPr>
          <w:rFonts w:ascii="Times New Roman;sans-serif" w:hAnsi="Times New Roman;sans-serif"/>
          <w:b w:val="false"/>
          <w:color w:val="000000"/>
          <w:sz w:val="20"/>
        </w:rPr>
        <w:t>3.1.6     To comply with all the Company’s regulations, work-rules, policies, procedures and objectives, as</w:t>
      </w:r>
      <w:r>
        <w:rPr/>
        <w:drawing>
          <wp:inline distT="0" distB="63500" distL="0" distR="0">
            <wp:extent cx="14605" cy="14605"/>
            <wp:effectExtent l="0" t="0" r="0" b="0"/>
            <wp:docPr id="61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31"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color w:val="000000"/>
        </w:rPr>
        <w:t xml:space="preserve"> </w:t>
      </w:r>
      <w:r>
        <w:rPr>
          <w:rFonts w:ascii="Times New Roman;sans-serif" w:hAnsi="Times New Roman;sans-serif"/>
          <w:b w:val="false"/>
          <w:color w:val="000000"/>
          <w:sz w:val="20"/>
        </w:rPr>
        <w:t>shall be in effect from time to time (the “</w:t>
      </w:r>
      <w:r>
        <w:rPr>
          <w:rFonts w:ascii="Times New Roman;sans-serif" w:hAnsi="Times New Roman;sans-serif"/>
          <w:b/>
          <w:color w:val="000000"/>
          <w:sz w:val="20"/>
        </w:rPr>
        <w:t>Company's Rules</w:t>
      </w:r>
      <w:r>
        <w:rPr>
          <w:color w:val="000000"/>
        </w:rPr>
        <w:t>”</w:t>
      </w:r>
      <w:r>
        <w:rPr>
          <w:rFonts w:ascii="Times New Roman;sans-serif" w:hAnsi="Times New Roman;sans-serif"/>
          <w:b w:val="false"/>
          <w:color w:val="000000"/>
          <w:sz w:val="20"/>
        </w:rPr>
        <w:t xml:space="preserve">). In the event of inconsistencies or contradictions between the provisions of this Employment Agreement and the Company’s Rules, this Agreement shall prevail.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3.1.7     To comply with any applicable law or provision, pertaining to his employment, including, without limitation, the Company’s Rules for Prevention of Sexual Harassment at the Workplace.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3.1.8     To the transfer of any information related to the Employee and held by the Company to a database (including a database located abroad) and to any other person or entity, as the Company shall deem necessary and reasonable for business purposes or to pursue the Company’s business interests.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3.2     This Employment Agreement is confidential and therefore the Employee shall not disclose this Employment Agreement as a whole, or any part thereof, to any third party (not including the Employee’s spouse, attorney or tax advisor), including, without limitation, to any other employee of the Company.</w:t>
      </w:r>
    </w:p>
    <w:p>
      <w:pPr>
        <w:pStyle w:val="TextBody"/>
        <w:spacing w:lineRule="auto" w:line="288" w:before="0" w:after="180"/>
        <w:jc w:val="both"/>
        <w:rPr/>
      </w:pPr>
      <w:r>
        <w:rPr>
          <w:rFonts w:ascii="Times New Roman;sans-serif" w:hAnsi="Times New Roman;sans-serif"/>
          <w:b w:val="false"/>
          <w:color w:val="000000"/>
          <w:sz w:val="20"/>
        </w:rPr>
        <w:t>4     </w:t>
      </w:r>
      <w:r>
        <w:rPr>
          <w:rFonts w:ascii="Times New Roman;sans-serif" w:hAnsi="Times New Roman;sans-serif"/>
          <w:b/>
          <w:color w:val="000000"/>
          <w:sz w:val="20"/>
          <w:u w:val="single"/>
        </w:rPr>
        <w:t>Time and Attention</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4.1     In general, work for the Company shall be performed on Sunday through Thursday, unless determined and instructed otherwise by the Company, as set forth hereunder. A regular workday with the Company, other than Sunday shall consist of 8.6 hours, not including a daily break which shall be taken by the Employee, and which shall be the Employee’s responsibility to take. Sunday shall consist of 7.6 hours, no including a daily break. Saturday shall be the Employee’s recognized and official rest day.</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4.2     Per the requirements under applicable law, the Employee shall cooperate with the Company in maintaining a record of the number of hours of work performed, in accordance with the Company’s Rules and instructions.</w:t>
      </w:r>
    </w:p>
    <w:p>
      <w:pPr>
        <w:pStyle w:val="TextBody"/>
        <w:spacing w:lineRule="auto" w:line="288" w:before="0" w:after="120"/>
        <w:rPr/>
      </w:pPr>
      <w:r>
        <w:rPr>
          <w:rFonts w:ascii="Times New Roman;sans-serif" w:hAnsi="Times New Roman;sans-serif"/>
          <w:b w:val="false"/>
          <w:color w:val="000000"/>
          <w:sz w:val="20"/>
        </w:rPr>
        <w:t>4.3     Employee agrees and acknowledges that due to the Employee’s senior managerial position in the Company, the special personal trust involved in the position in which the Employee shall be employed, and the inability to monitor the Employee’s actual work hours, the Hours of Work and Rest Law, 1951 (the</w:t>
      </w:r>
      <w:r>
        <w:rPr>
          <w:color w:val="000000"/>
        </w:rPr>
        <w:t xml:space="preserve"> “</w:t>
      </w:r>
      <w:r>
        <w:rPr>
          <w:rFonts w:ascii="Times New Roman;sans-serif" w:hAnsi="Times New Roman;sans-serif"/>
          <w:b/>
          <w:color w:val="000000"/>
          <w:sz w:val="20"/>
        </w:rPr>
        <w:t>Hours of Work and Rest Law”</w:t>
      </w:r>
      <w:r>
        <w:rPr>
          <w:color w:val="000000"/>
        </w:rPr>
        <w:t xml:space="preserve"> </w:t>
      </w:r>
      <w:r>
        <w:rPr>
          <w:rFonts w:ascii="Times New Roman;sans-serif" w:hAnsi="Times New Roman;sans-serif"/>
          <w:b w:val="false"/>
          <w:color w:val="000000"/>
          <w:sz w:val="20"/>
        </w:rPr>
        <w:t>shall not apply to the Employee. The Employee acknowledges that the set amount of the Monthly Salary (as defined hereunder), as well as all other compensation and benefits provided to the Employee by the Company, as agreed upon between the Employee and the Company, reflect the requirements of the position to work additional and irregular hours and days. Accordingly, the Employee shall not be entitled to claim or receive payments or any additional pay for work performed at overtime hours, nights, weekends, or at any other times in which the Hours of Work and Rest Law requires payment of special payments (to employees who are not in a position such as the position of the Employee).</w:t>
      </w:r>
    </w:p>
    <w:p>
      <w:pPr>
        <w:pStyle w:val="TextBody"/>
        <w:spacing w:lineRule="auto" w:line="288" w:before="0" w:after="180"/>
        <w:jc w:val="both"/>
        <w:rPr/>
      </w:pPr>
      <w:r>
        <w:rPr>
          <w:rFonts w:ascii="Times New Roman;sans-serif" w:hAnsi="Times New Roman;sans-serif"/>
          <w:b w:val="false"/>
          <w:color w:val="000000"/>
          <w:sz w:val="20"/>
        </w:rPr>
        <w:t>5     </w:t>
      </w:r>
      <w:r>
        <w:rPr>
          <w:rFonts w:ascii="Times New Roman;sans-serif" w:hAnsi="Times New Roman;sans-serif"/>
          <w:b/>
          <w:color w:val="000000"/>
          <w:sz w:val="20"/>
          <w:u w:val="single"/>
        </w:rPr>
        <w:t>Term and Termination</w:t>
      </w:r>
    </w:p>
    <w:p>
      <w:pPr>
        <w:pStyle w:val="TextBody"/>
        <w:spacing w:lineRule="auto" w:line="288" w:before="0" w:after="120"/>
        <w:rPr/>
      </w:pPr>
      <w:r>
        <w:rPr>
          <w:rFonts w:ascii="Times New Roman;sans-serif" w:hAnsi="Times New Roman;sans-serif"/>
          <w:b w:val="false"/>
          <w:color w:val="000000"/>
          <w:sz w:val="20"/>
        </w:rPr>
        <w:t>5.1     Employee’s employment under this Employment Agreement shall commence on the Effective Date and shall remain in full force and effect unless terminated in accordance with the terms and conditions herein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w:t>
      </w:r>
    </w:p>
    <w:p>
      <w:pPr>
        <w:pStyle w:val="TextBody"/>
        <w:spacing w:lineRule="auto" w:line="288" w:before="0" w:after="120"/>
        <w:jc w:val="both"/>
        <w:rPr/>
      </w:pPr>
      <w:r>
        <w:rPr>
          <w:rFonts w:ascii="Times New Roman;sans-serif" w:hAnsi="Times New Roman;sans-serif"/>
          <w:b w:val="false"/>
          <w:color w:val="000000"/>
          <w:sz w:val="20"/>
        </w:rPr>
        <w:t xml:space="preserve">5.2    Either the Company or Employee may terminate the Employee’s employment by providing prior written notice in the number of days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color w:val="000000"/>
          <w:sz w:val="20"/>
        </w:rPr>
        <w:t>Notice Period</w:t>
      </w:r>
      <w:r>
        <w:rPr>
          <w:color w:val="000000"/>
        </w:rPr>
        <w:t>”</w:t>
      </w:r>
      <w:r>
        <w:rPr>
          <w:rFonts w:ascii="Times New Roman;sans-serif" w:hAnsi="Times New Roman;sans-serif"/>
          <w:b w:val="false"/>
          <w:color w:val="000000"/>
          <w:sz w:val="20"/>
        </w:rPr>
        <w:t>). During the Notice Period, whether notice has been given by the Employee or by the Company, the Employee shall continue to work unless instructed otherwise by the Company and shall cooperate with the Company and use his best efforts to assist the integration into the Company organization of the person or persons who will assume the Employee’s responsibilities and duties.</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256540"/>
                <wp:effectExtent l="0" t="0" r="0" b="0"/>
                <wp:wrapNone/>
                <wp:docPr id="614" name="Frame583"/>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1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32" descr=""/>
                          <pic:cNvPicPr>
                            <a:picLocks noChangeAspect="1" noChangeArrowheads="1"/>
                          </pic:cNvPicPr>
                        </pic:nvPicPr>
                        <pic:blipFill>
                          <a:blip r:embed="rId59"/>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1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33" descr=""/>
                          <pic:cNvPicPr>
                            <a:picLocks noChangeAspect="1" noChangeArrowheads="1"/>
                          </pic:cNvPicPr>
                        </pic:nvPicPr>
                        <pic:blipFill>
                          <a:blip r:embed="rId60"/>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5.3     Nonetheless, the Company shall be entitled, but not obligated, at any time prior to the expiration of the Notice Period, at its sole discretion: (i) to waive, the Employee’s actual work during the Notice Period, in which even the Company shall pay to the Employee during the remainder of the Notice Period the payments payable to the Employee under Section 6 below; or (ii) to immediately terminate this Employment Agreement and the employment relationship, at any time prior to the expiration of the Notice Period, in which event the Company shall pay the Employee upon termination of the Employment Agreement and the employment relationship the value of the Monthly Salary during the remainder of the Notice Period.</w:t>
      </w:r>
    </w:p>
    <w:p>
      <w:pPr>
        <w:pStyle w:val="TextBody"/>
        <w:spacing w:lineRule="auto" w:line="288" w:before="0" w:after="120"/>
        <w:jc w:val="both"/>
        <w:rPr/>
      </w:pPr>
      <w:r>
        <w:rPr>
          <w:rFonts w:ascii="Times New Roman;sans-serif" w:hAnsi="Times New Roman;sans-serif"/>
          <w:b w:val="false"/>
          <w:color w:val="000000"/>
          <w:sz w:val="20"/>
        </w:rPr>
        <w:t>5.4    Notwithstanding the foregoing, the Company may immediately terminate this Employment Agreement and the employment relationship at any time for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(as defined below) without Notice Period or any compensation in lieu of Notice Period and/or severance pay (subject to applicable law). For the purpose of this Employment Agreement,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(i) the Employee’s breach of trust or fiduciary duties, including but not limited to theft, embezzlement, self-dealing, or breach of the provisions of the IP Agreement (as defined below); (ii) any willful failure to perform or failure to perform competently any of the Employee’s material functions or duties hereunder (including violation of the Company’s Rules), or other breach of this Employment Agreement, which, if capable of cure, was not cured within five (5) days of receipt by the Employee of written notice thereof; (iii) an event in which the Employee deliberately or gross negligently causes harm to the Company’s business affairs or reputation; (iv) conviction of, or entry of any plea of guilty or nolo contendere by, the Employee for any felony or other lesser crime that would require removal from his position at the Company (e.g., any alcohol or drug related misdemeanor); (v) personal dishonesty; (vi) willful misconduct; (vii) other cause justifying termination or dismissal without severance payment under applicable law; or (viii) if the Employee has provided the Company with false information about past career and/or education during the recruiting phase.</w:t>
      </w:r>
    </w:p>
    <w:p>
      <w:pPr>
        <w:pStyle w:val="TextBody"/>
        <w:spacing w:lineRule="auto" w:line="288" w:before="0" w:after="120"/>
        <w:jc w:val="both"/>
        <w:rPr/>
      </w:pPr>
      <w:r>
        <w:rPr>
          <w:rFonts w:ascii="Times New Roman;sans-serif" w:hAnsi="Times New Roman;sans-serif"/>
          <w:b w:val="false"/>
          <w:color w:val="000000"/>
          <w:sz w:val="20"/>
        </w:rPr>
        <w:t>6     </w:t>
      </w:r>
      <w:r>
        <w:rPr>
          <w:rFonts w:ascii="Times New Roman;sans-serif" w:hAnsi="Times New Roman;sans-serif"/>
          <w:b/>
          <w:color w:val="000000"/>
          <w:sz w:val="20"/>
          <w:u w:val="single"/>
        </w:rPr>
        <w:t>Salary and Social Benefits</w:t>
      </w:r>
    </w:p>
    <w:p>
      <w:pPr>
        <w:pStyle w:val="TextBody"/>
        <w:spacing w:lineRule="auto" w:line="288" w:before="0" w:after="120"/>
        <w:jc w:val="both"/>
        <w:rPr/>
      </w:pPr>
      <w:r>
        <w:rPr>
          <w:rFonts w:ascii="Times New Roman;sans-serif" w:hAnsi="Times New Roman;sans-serif"/>
          <w:b w:val="false"/>
          <w:color w:val="000000"/>
          <w:sz w:val="20"/>
        </w:rPr>
        <w:t xml:space="preserve">6.1   Commencing from the Effective Date and during the Term, in consideration for the fulfillment of the Employee’s work and other obligations set forth in the Employment Agreement, the Company shall pay the Employee </w:t>
      </w:r>
      <w:r>
        <w:rPr/>
        <w:drawing>
          <wp:inline distT="0" distB="63500" distL="0" distR="0">
            <wp:extent cx="14605" cy="14605"/>
            <wp:effectExtent l="0" t="0" r="0" b="0"/>
            <wp:docPr id="61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34" descr=""/>
                    <pic:cNvPicPr>
                      <a:picLocks noChangeAspect="1" noChangeArrowheads="1"/>
                    </pic:cNvPicPr>
                  </pic:nvPicPr>
                  <pic:blipFill>
                    <a:blip r:embed="rId61"/>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 xml:space="preserve">a gross monthly salary in the amount as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w:t>
      </w:r>
    </w:p>
    <w:p>
      <w:pPr>
        <w:pStyle w:val="TextBody"/>
        <w:spacing w:lineRule="auto" w:line="288" w:before="0" w:after="120"/>
        <w:jc w:val="both"/>
        <w:rPr/>
      </w:pPr>
      <w:r>
        <w:rPr>
          <w:rFonts w:ascii="Times New Roman;sans-serif" w:hAnsi="Times New Roman;sans-serif"/>
          <w:b w:val="false"/>
          <w:color w:val="000000"/>
          <w:sz w:val="20"/>
        </w:rPr>
        <w:t>6.2    The Monthly Salary shall be paid to the Employee no later than the 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the following month.</w:t>
      </w:r>
    </w:p>
    <w:p>
      <w:pPr>
        <w:pStyle w:val="TextBody"/>
        <w:spacing w:lineRule="auto" w:line="288" w:before="0" w:after="120"/>
        <w:jc w:val="both"/>
        <w:rPr/>
      </w:pPr>
      <w:r>
        <w:rPr>
          <w:rFonts w:ascii="Times New Roman;sans-serif" w:hAnsi="Times New Roman;sans-serif"/>
          <w:b w:val="false"/>
          <w:color w:val="000000"/>
          <w:sz w:val="20"/>
        </w:rPr>
        <w:t xml:space="preserve">6.3    </w:t>
      </w:r>
      <w:r>
        <w:rPr>
          <w:rFonts w:ascii="Times New Roman;sans-serif" w:hAnsi="Times New Roman;sans-serif"/>
          <w:b w:val="false"/>
          <w:color w:val="000000"/>
          <w:sz w:val="20"/>
          <w:u w:val="single"/>
        </w:rPr>
        <w:t>Pension Plan</w:t>
      </w:r>
      <w:r>
        <w:rPr>
          <w:rFonts w:ascii="Times New Roman;sans-serif" w:hAnsi="Times New Roman;sans-serif"/>
          <w:b w:val="false"/>
          <w:color w:val="000000"/>
          <w:sz w:val="20"/>
        </w:rPr>
        <w:t>: The Company and the Employee will obtain and maintain Managers’ Insurance or a Pension Fund, or combination of both (per the Employee’s preference) per the Employee’s choice (the “</w:t>
      </w:r>
      <w:r>
        <w:rPr>
          <w:rFonts w:ascii="Times New Roman;sans-serif" w:hAnsi="Times New Roman;sans-serif"/>
          <w:b/>
          <w:color w:val="000000"/>
          <w:sz w:val="20"/>
        </w:rPr>
        <w:t>Pension Plan</w:t>
      </w:r>
      <w:r>
        <w:rPr>
          <w:color w:val="000000"/>
        </w:rPr>
        <w:t>”</w:t>
      </w:r>
      <w:r>
        <w:rPr>
          <w:rFonts w:ascii="Times New Roman;sans-serif" w:hAnsi="Times New Roman;sans-serif"/>
          <w:b w:val="false"/>
          <w:color w:val="000000"/>
          <w:sz w:val="20"/>
        </w:rPr>
        <w:t>). The contributions to the Pension Plan shall be as detailed below:</w:t>
      </w:r>
    </w:p>
    <w:p>
      <w:pPr>
        <w:pStyle w:val="TextBody"/>
        <w:spacing w:lineRule="auto" w:line="288" w:before="0" w:after="120"/>
        <w:ind w:left="0" w:right="0" w:hanging="720"/>
        <w:rPr/>
      </w:pPr>
      <w:r>
        <w:rPr>
          <w:rFonts w:ascii="Times New Roman;sans-serif" w:hAnsi="Times New Roman;sans-serif"/>
          <w:b w:val="false"/>
          <w:color w:val="000000"/>
          <w:sz w:val="20"/>
        </w:rPr>
        <w:t xml:space="preserve">6.3.1      In the event that the Pension Plan is a </w:t>
      </w:r>
      <w:r>
        <w:rPr>
          <w:rFonts w:ascii="Times New Roman;sans-serif" w:hAnsi="Times New Roman;sans-serif"/>
          <w:b/>
          <w:i/>
          <w:color w:val="000000"/>
          <w:sz w:val="20"/>
          <w:u w:val="single"/>
        </w:rPr>
        <w:t>Pension Fund</w:t>
      </w:r>
      <w:r>
        <w:rPr>
          <w:color w:val="000000"/>
        </w:rPr>
        <w:t xml:space="preserve"> </w:t>
      </w:r>
      <w:r>
        <w:rPr>
          <w:rFonts w:ascii="Times New Roman;sans-serif" w:hAnsi="Times New Roman;sans-serif"/>
          <w:b w:val="false"/>
          <w:color w:val="000000"/>
          <w:sz w:val="20"/>
        </w:rPr>
        <w:t>: The Company shall contribute an amount equal to 14.833% of the Monthly Salary as follows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(i) 6.5% of the Monthly Salary toward the premiums payable; and (ii) 8.33% of the Monthly Salary towards severance. The Employee shall contribute 6% of the Monthly Salary payment toward the premiums payable (the “</w:t>
      </w:r>
      <w:r>
        <w:rPr>
          <w:rFonts w:ascii="Times New Roman;sans-serif" w:hAnsi="Times New Roman;sans-serif"/>
          <w:b/>
          <w:color w:val="000000"/>
          <w:sz w:val="20"/>
        </w:rPr>
        <w:t>Employee's Contribution</w:t>
      </w:r>
      <w:r>
        <w:rPr>
          <w:color w:val="000000"/>
        </w:rPr>
        <w:t>”</w:t>
      </w:r>
      <w:r>
        <w:rPr>
          <w:rFonts w:ascii="Times New Roman;sans-serif" w:hAnsi="Times New Roman;sans-serif"/>
          <w:b w:val="false"/>
          <w:color w:val="000000"/>
          <w:sz w:val="20"/>
        </w:rPr>
        <w:t>).</w:t>
      </w:r>
    </w:p>
    <w:p>
      <w:pPr>
        <w:pStyle w:val="TextBody"/>
        <w:spacing w:lineRule="auto" w:line="288" w:before="0" w:after="120"/>
        <w:ind w:left="0" w:right="0" w:hanging="720"/>
        <w:jc w:val="both"/>
        <w:rPr/>
      </w:pPr>
      <w:r>
        <w:rPr>
          <w:rFonts w:ascii="Times New Roman;sans-serif" w:hAnsi="Times New Roman;sans-serif"/>
          <w:b w:val="false"/>
          <w:color w:val="000000"/>
          <w:sz w:val="20"/>
        </w:rPr>
        <w:t xml:space="preserve">6.3.2    In the event that the Pension Plan is </w:t>
      </w:r>
      <w:r>
        <w:rPr>
          <w:rFonts w:ascii="Times New Roman;sans-serif" w:hAnsi="Times New Roman;sans-serif"/>
          <w:b/>
          <w:i/>
          <w:color w:val="000000"/>
          <w:sz w:val="20"/>
          <w:u w:val="single"/>
        </w:rPr>
        <w:t>Managers’ Insurance</w:t>
      </w:r>
      <w:r>
        <w:rPr>
          <w:rFonts w:ascii="Times New Roman;sans-serif" w:hAnsi="Times New Roman;sans-serif"/>
          <w:b w:val="false"/>
          <w:color w:val="000000"/>
          <w:sz w:val="20"/>
        </w:rPr>
        <w:t>: the Company shall contribute up to 15.833% as follows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(i) 8.33% of the Monthly Salary towards severance; (ii) the difference between 6.5% of the Monthly Salary and the actual percentage of the Monthly Salary contributed towards Disability Insurance (as described below) shall go towards premium payable (provided that the Company’s contribution towards premium payable are not less than 5% of the Monthly Salary); and (iii) “Disability Insurance” - The Company shall purchase the Employee a Disability Insurance at the cost of 2.5% of the Monthly Salary or at such rate that will entitle him to a disability pension of 75% of his Monthly Salary, whichever is lesser.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The Employee shall contribute 6% of the Monthly Salary payment toward the premiums payable in respect of Managers’ Insurance (the “</w:t>
      </w:r>
      <w:r>
        <w:rPr>
          <w:rFonts w:ascii="Times New Roman;sans-serif" w:hAnsi="Times New Roman;sans-serif"/>
          <w:b/>
          <w:color w:val="000000"/>
          <w:sz w:val="20"/>
        </w:rPr>
        <w:t>Employee's Contribution</w:t>
      </w:r>
      <w:r>
        <w:rPr>
          <w:color w:val="000000"/>
        </w:rPr>
        <w:t>”</w:t>
      </w:r>
      <w:r>
        <w:rPr>
          <w:rFonts w:ascii="Times New Roman;sans-serif" w:hAnsi="Times New Roman;sans-serif"/>
          <w:b w:val="false"/>
          <w:color w:val="000000"/>
          <w:sz w:val="20"/>
        </w:rPr>
        <w: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6.3.3      If the Employee chose to combine Managers’ Insurance and Pension Fund, the terms, structure and percentage, as defined above, with respect to Managers’ Insurance and Pension Fund shall apply,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256540"/>
                <wp:effectExtent l="0" t="0" r="0" b="0"/>
                <wp:wrapNone/>
                <wp:docPr id="618" name="Frame584"/>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1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35" descr=""/>
                          <pic:cNvPicPr>
                            <a:picLocks noChangeAspect="1" noChangeArrowheads="1"/>
                          </pic:cNvPicPr>
                        </pic:nvPicPr>
                        <pic:blipFill>
                          <a:blip r:embed="rId62"/>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2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36" descr=""/>
                          <pic:cNvPicPr>
                            <a:picLocks noChangeAspect="1" noChangeArrowheads="1"/>
                          </pic:cNvPicPr>
                        </pic:nvPicPr>
                        <pic:blipFill>
                          <a:blip r:embed="rId63"/>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proportionally , to the Employee’s salary which the Employee chose to insure in Managers’ Insurance and Pension Fund. </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6.3.4      For clarity’s sake, the abovementioned contributions to the Employee’s Pension Plan may be changed from time to time per that applicable law. </w:t>
      </w:r>
    </w:p>
    <w:p>
      <w:pPr>
        <w:pStyle w:val="TextBody"/>
        <w:spacing w:lineRule="auto" w:line="288" w:before="0" w:after="120"/>
        <w:rPr/>
      </w:pPr>
      <w:r>
        <w:rPr>
          <w:rFonts w:ascii="Times New Roman;sans-serif" w:hAnsi="Times New Roman;sans-serif"/>
          <w:b w:val="false"/>
          <w:color w:val="000000"/>
          <w:sz w:val="20"/>
        </w:rPr>
        <w:t>6.4     It is agreed and warranted between the parties that the Company’s provisions to the severance component are in lieu of severance pay, in accordance with the provisions of the General Approval regarding Employers’ Payments to a Pension Fund and Insurance Fund in lieu of Severance Pay issued by virtue of Section 14 of the Severance Pay Law 5723-1963 by the Labor Minister, dated June 30, 1998 (as amended and as may be amended from time to time) (the “</w:t>
      </w:r>
      <w:r>
        <w:rPr>
          <w:rFonts w:ascii="Times New Roman;sans-serif" w:hAnsi="Times New Roman;sans-serif"/>
          <w:b/>
          <w:color w:val="000000"/>
          <w:sz w:val="20"/>
        </w:rPr>
        <w:t>General Approval</w:t>
      </w:r>
      <w:r>
        <w:rPr>
          <w:color w:val="000000"/>
        </w:rPr>
        <w:t>”</w:t>
      </w:r>
      <w:r>
        <w:rPr>
          <w:rFonts w:ascii="Times New Roman;sans-serif" w:hAnsi="Times New Roman;sans-serif"/>
          <w:b w:val="false"/>
          <w:color w:val="000000"/>
          <w:sz w:val="20"/>
        </w:rPr>
        <w:t xml:space="preserve">). By signing this agreement, the parties are acknowledging their consent to applicability of the provisions of the General Approval, a copy of which is attached hereby as </w:t>
      </w:r>
      <w:r>
        <w:rPr>
          <w:rFonts w:ascii="Times New Roman;sans-serif" w:hAnsi="Times New Roman;sans-serif"/>
          <w:b/>
          <w:color w:val="000000"/>
          <w:sz w:val="20"/>
          <w:u w:val="single"/>
        </w:rPr>
        <w:t>Exhibit C</w:t>
      </w:r>
      <w:r>
        <w:rPr>
          <w:rFonts w:ascii="Times New Roman;sans-serif" w:hAnsi="Times New Roman;sans-serif"/>
          <w:b w:val="false"/>
          <w:color w:val="000000"/>
          <w:sz w:val="20"/>
        </w:rPr>
        <w:t xml:space="preserve">, together with an English translation of the same, attached hereto as </w:t>
      </w:r>
      <w:r>
        <w:rPr>
          <w:rFonts w:ascii="Times New Roman;sans-serif" w:hAnsi="Times New Roman;sans-serif"/>
          <w:b/>
          <w:color w:val="000000"/>
          <w:sz w:val="20"/>
          <w:u w:val="single"/>
        </w:rPr>
        <w:t>Exhibit D</w:t>
      </w:r>
      <w:r>
        <w:rPr>
          <w:rFonts w:ascii="Times New Roman;sans-serif" w:hAnsi="Times New Roman;sans-serif"/>
          <w:b w:val="false"/>
          <w:color w:val="000000"/>
          <w:sz w:val="20"/>
        </w:rPr>
        <w:t xml:space="preserve">, which constitutes an integral part hereof. In so far as amendments to the General Approval shall be necessary, according and subject to any law or regulations, the provisions of the amended General Approval shall prevail and replace the General Approval attached hereto as </w:t>
      </w:r>
      <w:r>
        <w:rPr>
          <w:rFonts w:ascii="Times New Roman;sans-serif" w:hAnsi="Times New Roman;sans-serif"/>
          <w:b/>
          <w:color w:val="000000"/>
          <w:sz w:val="20"/>
          <w:u w:val="single"/>
        </w:rPr>
        <w:t>Exhibit 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u w:val="single"/>
        </w:rPr>
        <w:t>Exhibit D</w:t>
      </w:r>
      <w:r>
        <w:rPr>
          <w:rFonts w:ascii="Times New Roman;sans-serif" w:hAnsi="Times New Roman;sans-serif"/>
          <w:b w:val="false"/>
          <w:color w:val="000000"/>
          <w:sz w:val="20"/>
        </w:rPr>
        <w:t xml:space="preserve">. </w:t>
      </w:r>
    </w:p>
    <w:p>
      <w:pPr>
        <w:pStyle w:val="TextBody"/>
        <w:spacing w:lineRule="auto" w:line="288" w:before="0" w:after="120"/>
        <w:rPr/>
      </w:pPr>
      <w:r>
        <w:rPr>
          <w:rFonts w:ascii="Times New Roman;sans-serif" w:hAnsi="Times New Roman;sans-serif"/>
          <w:b w:val="false"/>
          <w:color w:val="000000"/>
          <w:sz w:val="20"/>
        </w:rPr>
        <w:t>6.5     The Company and the Employee shall open and maintain an education fund (“Keren Hishtalmut” in Hebrew) (the “</w:t>
      </w:r>
      <w:r>
        <w:rPr>
          <w:rFonts w:ascii="Times New Roman;sans-serif" w:hAnsi="Times New Roman;sans-serif"/>
          <w:b/>
          <w:color w:val="000000"/>
          <w:sz w:val="20"/>
        </w:rPr>
        <w:t>Educational Fund</w:t>
      </w:r>
      <w:r>
        <w:rPr>
          <w:color w:val="000000"/>
        </w:rPr>
        <w:t>”</w:t>
      </w:r>
      <w:r>
        <w:rPr>
          <w:rFonts w:ascii="Times New Roman;sans-serif" w:hAnsi="Times New Roman;sans-serif"/>
          <w:b w:val="false"/>
          <w:color w:val="000000"/>
          <w:sz w:val="20"/>
        </w:rPr>
        <w:t>). The Company shall contribute to the Education Fund an amount equal to seven and a half percent (7.5%) and the Employee shall contribute to such Education Fund an amount equal to two and a half percent (2.5%) of each Monthly Salary payment. Notwithstanding the above, the amounts contributed by the Company to the Education Fund will exceed the limit recognized by the Income Tax Authority. In any event, any tax liability related to the Education Fund shall be borne, exclusively, by the employee. The Employee hereby authorizes the Company to transfer to the Education Fund the amount of the employee’s and the Company’s contribution from each Monthly Salary payment.</w:t>
      </w:r>
    </w:p>
    <w:p>
      <w:pPr>
        <w:pStyle w:val="TextBody"/>
        <w:spacing w:lineRule="auto" w:line="288" w:before="0" w:after="120"/>
        <w:rPr/>
      </w:pPr>
      <w:r>
        <w:rPr>
          <w:rFonts w:ascii="Times New Roman;sans-serif" w:hAnsi="Times New Roman;sans-serif"/>
          <w:b w:val="false"/>
          <w:color w:val="000000"/>
          <w:sz w:val="20"/>
        </w:rPr>
        <w:t xml:space="preserve">6.6     The Employee shall be entitled to paid annual vacation days as set forth in </w:t>
      </w:r>
      <w:r>
        <w:rPr>
          <w:rFonts w:ascii="Times New Roman;sans-serif" w:hAnsi="Times New Roman;sans-serif"/>
          <w:b/>
          <w:color w:val="000000"/>
          <w:sz w:val="20"/>
          <w:u w:val="single"/>
        </w:rPr>
        <w:t>Exhibit</w:t>
      </w:r>
      <w:r>
        <w:rPr>
          <w:color w:val="000000"/>
          <w:u w:val="single"/>
        </w:rPr>
        <w:t xml:space="preserve"> </w:t>
      </w:r>
      <w:r>
        <w:rPr>
          <w:rFonts w:ascii="Times New Roman;sans-serif" w:hAnsi="Times New Roman;sans-serif"/>
          <w:b/>
          <w:color w:val="000000"/>
          <w:sz w:val="20"/>
          <w:u w:val="single"/>
        </w:rPr>
        <w:t>A</w:t>
      </w:r>
      <w:r>
        <w:rPr>
          <w:color w:val="000000"/>
        </w:rPr>
        <w:t xml:space="preserve"> </w:t>
      </w:r>
      <w:r>
        <w:rPr>
          <w:rFonts w:ascii="Times New Roman;sans-serif" w:hAnsi="Times New Roman;sans-serif"/>
          <w:b w:val="false"/>
          <w:color w:val="000000"/>
          <w:sz w:val="20"/>
        </w:rPr>
        <w:t>hereto. Accumulation, execution and redemption of such annual vacation days shall be made in accordance with the applicable Company’s Rules, as may be amended from time to time.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6.7   It is explicitly acknowledged and agreed that the Monthly Salary includes mandatory travel expenses in accordance with applicable law and Employee shall not be entitled to receive any additional reimbursement of travel expenses.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6.8   The Employee shall be entitled to sick leave and convalescence payments (known as “Dmei Havra’a”) in accordance with the applicable law, extension orders and in accordance with the applicable Company’ Rules, as may be amended from time to time.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6.9     The Employee shall bring to the attention of his Direct Manager any call-up order for military reserve duty immediately upon receipt of the order.</w:t>
      </w:r>
    </w:p>
    <w:p>
      <w:pPr>
        <w:pStyle w:val="TextBody"/>
        <w:spacing w:lineRule="auto" w:line="288" w:before="0" w:after="120"/>
        <w:rPr/>
      </w:pPr>
      <w:r>
        <w:rPr>
          <w:rFonts w:ascii="Times New Roman;sans-serif" w:hAnsi="Times New Roman;sans-serif"/>
          <w:b w:val="false"/>
          <w:color w:val="000000"/>
          <w:sz w:val="20"/>
        </w:rPr>
        <w:t>7     </w:t>
      </w:r>
      <w:r>
        <w:rPr>
          <w:rFonts w:ascii="Times New Roman;sans-serif" w:hAnsi="Times New Roman;sans-serif"/>
          <w:b/>
          <w:color w:val="000000"/>
          <w:sz w:val="20"/>
          <w:u w:val="single"/>
        </w:rPr>
        <w:t>Bonus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7.1     The Employee shall be entitled to MBO incentive payments, according to the CEO’s decision.</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7.2     The maximum Bonus payment per year shall be as follows: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7.2.1     The maximum Annual Bonus shall be 420,000 NIS (gross).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7.2.2     The maximum Annual Additional Stretch Bonus shall be 121,333 NIS (gross)</w:t>
      </w:r>
    </w:p>
    <w:p>
      <w:pPr>
        <w:pStyle w:val="TextBody"/>
        <w:spacing w:lineRule="auto" w:line="288" w:before="0" w:after="120"/>
        <w:rPr/>
      </w:pPr>
      <w:r>
        <w:rPr>
          <w:rFonts w:ascii="Times New Roman;sans-serif" w:hAnsi="Times New Roman;sans-serif"/>
          <w:b w:val="false"/>
          <w:color w:val="000000"/>
          <w:sz w:val="20"/>
        </w:rPr>
        <w:t>7.3     Employee’s entitlement to the Annual Bonus and Annual Additional Stretch Bonus shall be determined, for each calender year, on the basis of Employee’s (and the Company’s) attainment of certain goals and objectives defined by the Company, which are set forth in the Employee’s annual Bonus Plan (the “</w:t>
      </w:r>
      <w:r>
        <w:rPr>
          <w:rFonts w:ascii="Times New Roman;sans-serif" w:hAnsi="Times New Roman;sans-serif"/>
          <w:b/>
          <w:color w:val="000000"/>
          <w:sz w:val="20"/>
        </w:rPr>
        <w:t>Qualifying Objectives</w:t>
      </w:r>
      <w:r>
        <w:rPr>
          <w:color w:val="000000"/>
        </w:rPr>
        <w:t>”</w:t>
      </w:r>
      <w:r>
        <w:rPr>
          <w:rFonts w:ascii="Times New Roman;sans-serif" w:hAnsi="Times New Roman;sans-serif"/>
          <w:b w:val="false"/>
          <w:color w:val="000000"/>
          <w:sz w:val="20"/>
        </w:rPr>
        <w:t>).</w:t>
      </w:r>
    </w:p>
    <w:p>
      <w:pPr>
        <w:pStyle w:val="TextBody"/>
        <w:spacing w:lineRule="auto" w:line="288" w:before="0" w:after="120"/>
        <w:jc w:val="both"/>
        <w:rPr/>
      </w:pPr>
      <w:r>
        <w:rPr>
          <w:rFonts w:ascii="Times New Roman;sans-serif" w:hAnsi="Times New Roman;sans-serif"/>
          <w:b w:val="false"/>
          <w:color w:val="000000"/>
          <w:sz w:val="20"/>
        </w:rPr>
        <w:t>7.4     The Company will pay the Employee a monthly amount of 24,500 NIS (gross) (“</w:t>
      </w:r>
      <w:r>
        <w:rPr>
          <w:rFonts w:ascii="Times New Roman;sans-serif" w:hAnsi="Times New Roman;sans-serif"/>
          <w:b/>
          <w:color w:val="000000"/>
          <w:sz w:val="20"/>
        </w:rPr>
        <w:t>Monthly Bonus Amount</w:t>
      </w:r>
      <w:r>
        <w:rPr>
          <w:color w:val="000000"/>
        </w:rPr>
        <w:t>”</w:t>
      </w:r>
      <w:r>
        <w:rPr>
          <w:rFonts w:ascii="Times New Roman;sans-serif" w:hAnsi="Times New Roman;sans-serif"/>
          <w:b w:val="false"/>
          <w:color w:val="000000"/>
          <w:sz w:val="20"/>
        </w:rPr>
        <w:t>) which is the equivalent of 70% of the pro-rated maximum Annual Bonus.</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256540"/>
                <wp:effectExtent l="0" t="0" r="0" b="0"/>
                <wp:wrapNone/>
                <wp:docPr id="621" name="Frame585"/>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4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4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2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37" descr=""/>
                          <pic:cNvPicPr>
                            <a:picLocks noChangeAspect="1" noChangeArrowheads="1"/>
                          </pic:cNvPicPr>
                        </pic:nvPicPr>
                        <pic:blipFill>
                          <a:blip r:embed="rId64"/>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2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38" descr=""/>
                          <pic:cNvPicPr>
                            <a:picLocks noChangeAspect="1" noChangeArrowheads="1"/>
                          </pic:cNvPicPr>
                        </pic:nvPicPr>
                        <pic:blipFill>
                          <a:blip r:embed="rId65"/>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pPr>
      <w:r>
        <w:rPr>
          <w:rFonts w:ascii="Times New Roman;sans-serif" w:hAnsi="Times New Roman;sans-serif"/>
          <w:b w:val="false"/>
          <w:color w:val="000000"/>
          <w:sz w:val="20"/>
        </w:rPr>
        <w:t xml:space="preserve">7.5   At the end of Q2 of each calendar year, and again at the end of the calendar year, Company will assess attainment of the Qualifying Objectives, and will calculate Employee’s entitlement to the Bonus (or any portion </w:t>
      </w:r>
      <w:r>
        <w:rPr/>
        <w:drawing>
          <wp:inline distT="0" distB="63500" distL="0" distR="0">
            <wp:extent cx="14605" cy="14605"/>
            <wp:effectExtent l="0" t="0" r="0" b="0"/>
            <wp:docPr id="62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39"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thereof). In the event that Annual Bonus and Annual Additional Stretch Bonus attainment amounts exceed the aggregate Monthly Bonus Amounts paid during the applicable part of the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If the applicable Annual Bonus and Annual Additional Stretch Bonus attainment amounts are lower than the aggregate Bonus amounts paid during the applicable calendar year, then such shortfall amount will be taken into account and deducted from Employee’s future Bonus payments.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7.6     If Employee’s employment is terminated prior to the end of a semi-annual term as set above, or if Employee was on notice period during the term and was not actively and fully performing all of his duties through the entire term, then the Employee shall not be entitled to the Bonus for such period.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7.7    Since Bonus payments, if paid, are conditional and discretionary payments, Bonus payments shall not be deemed to be part of the Employee’s salary and shall not be taken into account in the calculation of the Employee’s allocations to pension plan, education fund, severance pay, redemption of vacation, or any other employment related payment or benefit.</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7.8     All Bonus payments shall be subject to all mandatory deductions and shall be deemed to be quoted in gross figures.</w:t>
      </w:r>
    </w:p>
    <w:p>
      <w:pPr>
        <w:pStyle w:val="TextBody"/>
        <w:spacing w:lineRule="auto" w:line="288" w:before="0" w:after="120"/>
        <w:rPr/>
      </w:pPr>
      <w:r>
        <w:rPr>
          <w:rFonts w:ascii="Times New Roman;sans-serif" w:hAnsi="Times New Roman;sans-serif"/>
          <w:b w:val="false"/>
          <w:color w:val="000000"/>
          <w:sz w:val="20"/>
        </w:rPr>
        <w:t>8     </w:t>
      </w:r>
      <w:r>
        <w:rPr>
          <w:rFonts w:ascii="Times New Roman;sans-serif" w:hAnsi="Times New Roman;sans-serif"/>
          <w:b/>
          <w:color w:val="000000"/>
          <w:sz w:val="20"/>
          <w:u w:val="single"/>
        </w:rPr>
        <w:t>Additional Benefits</w:t>
      </w:r>
    </w:p>
    <w:p>
      <w:pPr>
        <w:pStyle w:val="TextBody"/>
        <w:spacing w:lineRule="auto" w:line="288" w:before="0" w:after="120"/>
        <w:rPr/>
      </w:pPr>
      <w:r>
        <w:rPr>
          <w:rFonts w:ascii="Times New Roman;sans-serif" w:hAnsi="Times New Roman;sans-serif"/>
          <w:b w:val="false"/>
          <w:color w:val="000000"/>
          <w:sz w:val="20"/>
        </w:rPr>
        <w:t>8.1     </w:t>
      </w:r>
      <w:r>
        <w:rPr>
          <w:rFonts w:ascii="Times New Roman;sans-serif" w:hAnsi="Times New Roman;sans-serif"/>
          <w:b/>
          <w:color w:val="000000"/>
          <w:sz w:val="20"/>
        </w:rPr>
        <w:t>Stock Options.</w:t>
      </w:r>
    </w:p>
    <w:p>
      <w:pPr>
        <w:pStyle w:val="TextBody"/>
        <w:spacing w:lineRule="auto" w:line="288" w:before="0" w:after="120"/>
        <w:ind w:left="0" w:right="0" w:firstLine="720"/>
        <w:jc w:val="both"/>
        <w:rPr/>
      </w:pPr>
      <w:r>
        <w:rPr>
          <w:rFonts w:ascii="Times New Roman;sans-serif" w:hAnsi="Times New Roman;sans-serif"/>
          <w:b w:val="false"/>
          <w:color w:val="000000"/>
          <w:sz w:val="20"/>
        </w:rPr>
        <w:t>8.1.1   Following the date hereof, the management of the Company shall recommend to the Board of Directors of Kaltura, Inc,. the Company’s parent company (“</w:t>
      </w:r>
      <w:r>
        <w:rPr>
          <w:rFonts w:ascii="Times New Roman;sans-serif" w:hAnsi="Times New Roman;sans-serif"/>
          <w:b/>
          <w:color w:val="000000"/>
          <w:sz w:val="20"/>
        </w:rPr>
        <w:t>Kaltura</w:t>
      </w:r>
      <w:r>
        <w:rPr>
          <w:color w:val="000000"/>
        </w:rPr>
        <w:t>”</w:t>
      </w:r>
      <w:r>
        <w:rPr>
          <w:rFonts w:ascii="Times New Roman;sans-serif" w:hAnsi="Times New Roman;sans-serif"/>
          <w:b w:val="false"/>
          <w:color w:val="000000"/>
          <w:sz w:val="20"/>
        </w:rPr>
        <w:t>), to consider the Employee will participate in Kaltura’s 2017 Equity Incentive Plan and any applicable sub-plan (together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xml:space="preserve">), subject to its terms and conditions and such additional terms and conditions of an equity award agreement to be entered into between Employee and Kaltura, all as will be determined by the Board of Directors of Kaltura. Accordingly, subject to the approval of the Board of Directors of Kaltura, Employee will be granted the option to purchase up to </w:t>
      </w:r>
      <w:r>
        <w:rPr>
          <w:rFonts w:ascii="Times New Roman;sans-serif" w:hAnsi="Times New Roman;sans-serif"/>
          <w:b/>
          <w:color w:val="000000"/>
          <w:sz w:val="20"/>
        </w:rPr>
        <w:t>182,000</w:t>
      </w:r>
      <w:r>
        <w:rPr>
          <w:color w:val="000000"/>
        </w:rPr>
        <w:t xml:space="preserve"> </w:t>
      </w:r>
      <w:r>
        <w:rPr>
          <w:rFonts w:ascii="Times New Roman;sans-serif" w:hAnsi="Times New Roman;sans-serif"/>
          <w:b w:val="false"/>
          <w:color w:val="000000"/>
          <w:sz w:val="20"/>
        </w:rPr>
        <w:t>shares of common stock of Kaltura (the “</w:t>
      </w:r>
      <w:r>
        <w:rPr>
          <w:rFonts w:ascii="Times New Roman;sans-serif" w:hAnsi="Times New Roman;sans-serif"/>
          <w:b/>
          <w:color w:val="000000"/>
          <w:sz w:val="20"/>
        </w:rPr>
        <w:t>Options</w:t>
      </w:r>
      <w:r>
        <w:rPr>
          <w:color w:val="000000"/>
        </w:rPr>
        <w:t>”</w:t>
      </w:r>
      <w:r>
        <w:rPr>
          <w:rFonts w:ascii="Times New Roman;sans-serif" w:hAnsi="Times New Roman;sans-serif"/>
          <w:b w:val="false"/>
          <w:color w:val="000000"/>
          <w:sz w:val="20"/>
        </w:rPr>
        <w:t>), at a price per share to be determined by the Board of Directors of Kaltura as the fair market value of such shares as of the applicable grant date.</w:t>
      </w:r>
    </w:p>
    <w:p>
      <w:pPr>
        <w:pStyle w:val="TextBody"/>
        <w:spacing w:lineRule="auto" w:line="288" w:before="0" w:after="120"/>
        <w:ind w:left="0" w:right="0" w:firstLine="720"/>
        <w:jc w:val="both"/>
        <w:rPr/>
      </w:pPr>
      <w:r>
        <w:rPr>
          <w:rFonts w:ascii="Times New Roman;sans-serif" w:hAnsi="Times New Roman;sans-serif"/>
          <w:b w:val="false"/>
          <w:color w:val="000000"/>
          <w:sz w:val="20"/>
        </w:rPr>
        <w:t>8.1.2    The commencement date of the vesting schedule of the Options shall be the Effective Date (the “</w:t>
      </w:r>
      <w:r>
        <w:rPr>
          <w:rFonts w:ascii="Times New Roman;sans-serif" w:hAnsi="Times New Roman;sans-serif"/>
          <w:b/>
          <w:color w:val="000000"/>
          <w:sz w:val="20"/>
        </w:rPr>
        <w:t>Vesting Commencement Date</w:t>
      </w:r>
      <w:r>
        <w:rPr>
          <w:color w:val="000000"/>
        </w:rPr>
        <w:t>”</w:t>
      </w:r>
      <w:r>
        <w:rPr>
          <w:rFonts w:ascii="Times New Roman;sans-serif" w:hAnsi="Times New Roman;sans-serif"/>
          <w:b w:val="false"/>
          <w:color w:val="000000"/>
          <w:sz w:val="20"/>
        </w:rPr>
        <w:t>). The Options shall vest and be exercisable over a four (4) year-period (“</w:t>
      </w:r>
      <w:r>
        <w:rPr>
          <w:rFonts w:ascii="Times New Roman;sans-serif" w:hAnsi="Times New Roman;sans-serif"/>
          <w:b/>
          <w:color w:val="000000"/>
          <w:sz w:val="20"/>
        </w:rPr>
        <w:t>Vesting Period</w:t>
      </w:r>
      <w:r>
        <w:rPr>
          <w:color w:val="000000"/>
        </w:rPr>
        <w:t>”</w:t>
      </w:r>
      <w:r>
        <w:rPr>
          <w:rFonts w:ascii="Times New Roman;sans-serif" w:hAnsi="Times New Roman;sans-serif"/>
          <w:b w:val="false"/>
          <w:color w:val="000000"/>
          <w:sz w:val="20"/>
        </w:rPr>
        <w:t>) as follows: (i) 1/4 of the Options shall vest on the first anniversary of the Vesting Commencement Date (the “</w:t>
      </w:r>
      <w:r>
        <w:rPr>
          <w:rFonts w:ascii="Times New Roman;sans-serif" w:hAnsi="Times New Roman;sans-serif"/>
          <w:b/>
          <w:color w:val="000000"/>
          <w:sz w:val="20"/>
        </w:rPr>
        <w:t>First Anniversary</w:t>
      </w:r>
      <w:r>
        <w:rPr>
          <w:color w:val="000000"/>
        </w:rPr>
        <w:t>”</w:t>
      </w:r>
      <w:r>
        <w:rPr>
          <w:rFonts w:ascii="Times New Roman;sans-serif" w:hAnsi="Times New Roman;sans-serif"/>
          <w:b w:val="false"/>
          <w:color w:val="000000"/>
          <w:sz w:val="20"/>
        </w:rPr>
        <w:t xml:space="preserve">); (ii) thereafter, additional 1/48 of the Options shall vest at the end of each subsequent month following the First Anniversary over a three (3) year-period; (iii) in accordance with the above and provided that Employee has been continuously engaged with the Company throughout the Vesting Period, all Options shall become fully vested by the fourth (4th) anniversary of the Vesting Commencement Date. Notwithstanding the foregoing, all unvested portions of the Options shall become fully vested and exercisable subject to the occurrence of the following “double trigger” conditions (i) during Employee’s employment with the Company (or its subsidiary, parent, or another subsidiary of Kaltura), Kaltura consummates a Merger Transaction (as such term is defined in the Plan), and (ii) within 12 months following the closing of such Merger Transaction, Employee’s employment with the Company (or the entity that employs Employee after the consummation of the Merger Transaction) is terminated (a) by the Company (or by such entity that employs Employee) for any reason other than for Cause (as such term is defined in the Plan); or (b) by Employee for Good Reason. “Good Reason” means any of the following: (i) unless agreed to otherwise by Employee, the failure by the Company (or by such entity that employs Employee) to provide Employee with all or part of his agreed upon salary and/or any other benefits required under law and/or any other material breach by the Company (or by such entity that employs Employee) of any provision of the applicable employment agreement which breach, in each case, is not cured within five (5) days after the receipt of written notice by the Company (or by such entity that employs Employee) of a description of such breach, if the breach is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256540"/>
                <wp:effectExtent l="0" t="0" r="0" b="0"/>
                <wp:wrapNone/>
                <wp:docPr id="625" name="Frame586"/>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5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5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2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40" descr=""/>
                          <pic:cNvPicPr>
                            <a:picLocks noChangeAspect="1" noChangeArrowheads="1"/>
                          </pic:cNvPicPr>
                        </pic:nvPicPr>
                        <pic:blipFill>
                          <a:blip r:embed="rId67"/>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2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41" descr=""/>
                          <pic:cNvPicPr>
                            <a:picLocks noChangeAspect="1" noChangeArrowheads="1"/>
                          </pic:cNvPicPr>
                        </pic:nvPicPr>
                        <pic:blipFill>
                          <a:blip r:embed="rId68"/>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curable; (ii) a reduction resulting in the value of Employee’s salary and/or the monetary value of Employee’s benefits, of more than 12.5%, unless such reductions are made in the same proportion as part of across-the-board salary reductions for substantially all other employees with a similar level; (iii) a substantial diminution in the nature or status of Employee’s responsibilities, duties, titles or reporting level (unless otherwise agreed to by Employee), provided, however, that notwithstanding the foregoing, for purposes of this subsection (iii), a substantial diminution in such nature or status shall not exist in the event that due to a Merger Transaction the Employee has authority and responsibility over a division, subsidiary or entity that is substantially similar in size to the division, subsidiary or entity over which Employee had authority and responsibility immediately prior to such Merger Transaction.</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8.1.3    Employee acknowledges and agrees that Employee will be required to execute additional documents in compliance with any applicable law and the Plan, including, without limitation, an irrevocable proxy empowering a person designated by the Board of Directors of Kaltura to vote any and all shares underlying the Options, in its exclusive discretion. Any and all tax consequences arising from the grant and/or exercise of the Options to the Employee, from the payment for, or the subsequent disposition of, shares covered thereby or from any other event or act of the Company, Kaltura or of the Employee hereunder, shall be borne solely by the Employee, and the Employee will indemnify the Company and Kaltura and hold them harmless against and from any and all liability for any such tax or interest or penalty thereon, including, without limitation, liabilities relating to the necessity to withhold, or to have withheld, any such tax. The Employee hereby irrevocably authorizes the Company to deduct from any payment, which may be due to the Employee from the Company, any amount which the Employee may owe to the Company hereunder.</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8.1.4     The Employee acknowledges and confirms that as of the Effective Date, the above provisions constitute the sole promise made by the Company with respect to the grant of options and any other equity securities of Kaltura to the Employee, in his capacity as an Employee and in any other capacity; provided that notwithstanding the foregoing, Employee acknowledges and agrees that Employee has no right to receive any such stock or options to acquire stock unless the grant is approved by the Board of Directors of Kaltura.</w:t>
      </w:r>
    </w:p>
    <w:p>
      <w:pPr>
        <w:pStyle w:val="TextBody"/>
        <w:spacing w:lineRule="auto" w:line="288" w:before="0" w:after="120"/>
        <w:jc w:val="both"/>
        <w:rPr/>
      </w:pPr>
      <w:r>
        <w:rPr>
          <w:rFonts w:ascii="Times New Roman;sans-serif" w:hAnsi="Times New Roman;sans-serif"/>
          <w:b w:val="false"/>
          <w:color w:val="000000"/>
          <w:sz w:val="20"/>
        </w:rPr>
        <w:t>9     </w:t>
      </w:r>
      <w:r>
        <w:rPr>
          <w:rFonts w:ascii="Times New Roman;sans-serif" w:hAnsi="Times New Roman;sans-serif"/>
          <w:b/>
          <w:color w:val="000000"/>
          <w:sz w:val="20"/>
          <w:u w:val="single"/>
        </w:rPr>
        <w:t>Confidentiality, Non-Compete and Proprietary Rights</w:t>
      </w:r>
    </w:p>
    <w:p>
      <w:pPr>
        <w:pStyle w:val="TextBody"/>
        <w:spacing w:lineRule="auto" w:line="288" w:before="0" w:after="120"/>
        <w:jc w:val="both"/>
        <w:rPr/>
      </w:pPr>
      <w:r>
        <w:rPr>
          <w:rFonts w:ascii="Times New Roman;sans-serif" w:hAnsi="Times New Roman;sans-serif"/>
          <w:b w:val="false"/>
          <w:color w:val="000000"/>
          <w:sz w:val="20"/>
        </w:rPr>
        <w:t xml:space="preserve">9.1     The Employee shall be required, as a condition to Employee’s employment with the Company, to sign the Non- Competition, Proprietary Information and Inventions Agreement in the form attached hereto as </w:t>
      </w:r>
      <w:r>
        <w:rPr>
          <w:rFonts w:ascii="Times New Roman;sans-serif" w:hAnsi="Times New Roman;sans-serif"/>
          <w:b/>
          <w:color w:val="000000"/>
          <w:sz w:val="20"/>
          <w:u w:val="single"/>
        </w:rPr>
        <w:t>Exhibit B</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color w:val="000000"/>
          <w:sz w:val="20"/>
        </w:rPr>
        <w:t>IP Agreement</w:t>
      </w:r>
      <w:r>
        <w:rPr>
          <w:color w:val="000000"/>
        </w:rPr>
        <w:t>”</w:t>
      </w:r>
      <w:r>
        <w:rPr>
          <w:rFonts w:ascii="Times New Roman;sans-serif" w:hAnsi="Times New Roman;sans-serif"/>
          <w:b w:val="false"/>
          <w:color w:val="000000"/>
          <w:sz w:val="20"/>
        </w:rPr>
        <w: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9.2     Employee represents and warrants to the Company that he is aware that any breach of, or failure to comply with, the terms and conditions set forth in the IP Agreement, or part of them, will cause the Company or the Company’s affiliates serious and irreparable damage, and that no financial compensation can be an appropriate remedy to such damage. Therefore, Employee agrees, that if such a breach occurs, the Company, any of the Company’s affiliates or any of their designee(s) shall be entitled, without prejudice, to take all legal means necessary, and all and any injunctive relief as is necessary to restrain any continuing or further breach of this Agreement and the IP Agreement</w:t>
      </w:r>
    </w:p>
    <w:p>
      <w:pPr>
        <w:pStyle w:val="TextBody"/>
        <w:spacing w:lineRule="auto" w:line="288" w:before="0" w:after="120"/>
        <w:jc w:val="both"/>
        <w:rPr/>
      </w:pPr>
      <w:r>
        <w:rPr>
          <w:rFonts w:ascii="Times New Roman;sans-serif" w:hAnsi="Times New Roman;sans-serif"/>
          <w:b w:val="false"/>
          <w:color w:val="000000"/>
          <w:sz w:val="20"/>
        </w:rPr>
        <w:t xml:space="preserve">9.3    For the removal of doubt, it is hereby clarified that the Employee’s compensation under this Employment Agreement has been calculated to include special consideration for the commitments under </w:t>
      </w:r>
      <w:r>
        <w:rPr>
          <w:rFonts w:ascii="Times New Roman;sans-serif" w:hAnsi="Times New Roman;sans-serif"/>
          <w:b/>
          <w:color w:val="000000"/>
          <w:sz w:val="20"/>
          <w:u w:val="single"/>
        </w:rPr>
        <w:t>Exhibit B</w:t>
      </w:r>
      <w:r>
        <w:rPr>
          <w:color w:val="000000"/>
        </w:rPr>
        <w:t xml:space="preserve"> </w:t>
      </w:r>
      <w:r>
        <w:rPr>
          <w:rFonts w:ascii="Times New Roman;sans-serif" w:hAnsi="Times New Roman;sans-serif"/>
          <w:b w:val="false"/>
          <w:color w:val="000000"/>
          <w:sz w:val="20"/>
        </w:rPr>
        <w:t>and the Employee will not be entitled to any further consideration for such commitments, expressly including no entitlement to royalties for any Service Inventions as defined in Section 132 of the Patent Law, 1967 (the “</w:t>
      </w:r>
      <w:r>
        <w:rPr>
          <w:rFonts w:ascii="Times New Roman;sans-serif" w:hAnsi="Times New Roman;sans-serif"/>
          <w:b/>
          <w:color w:val="000000"/>
          <w:sz w:val="20"/>
        </w:rPr>
        <w:t>Patent Law</w:t>
      </w:r>
      <w:r>
        <w:rPr>
          <w:color w:val="000000"/>
        </w:rPr>
        <w:t>”</w:t>
      </w:r>
      <w:r>
        <w:rPr>
          <w:rFonts w:ascii="Times New Roman;sans-serif" w:hAnsi="Times New Roman;sans-serif"/>
          <w:b w:val="false"/>
          <w:color w:val="000000"/>
          <w:sz w:val="20"/>
        </w:rPr>
        <w:t>). This clause constitutes an express waiver of my rights under Section 134 of the Patent Law.</w:t>
      </w:r>
    </w:p>
    <w:p>
      <w:pPr>
        <w:pStyle w:val="TextBody"/>
        <w:spacing w:lineRule="auto" w:line="288" w:before="0" w:after="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9.4     To the extent the services, deliverables, Inventions (as defined in the IP Agreement) or any other work product provided by Employee include any software, computer code and/or firmware, any such services, deliverables, Inventions or work product shall not incorporate or include any Open Source (as defined below), unless explicitly approved in writing by Company in each instance. In addition, all services, deliverables, Inventions and any other work product provided by Employee shall on delivery be free of viruses, malicious code, time bombs, Trojan horses, back doors, drop dead devices, worms, or other code of any kind that may disable, erase, display any unauthorized message, permit unauthorized access, automatically or remotely stop software, code and/or firmware from operating,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256540"/>
                <wp:effectExtent l="0" t="0" r="0" b="0"/>
                <wp:wrapNone/>
                <wp:docPr id="628" name="Frame587"/>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6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6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2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42" descr=""/>
                          <pic:cNvPicPr>
                            <a:picLocks noChangeAspect="1" noChangeArrowheads="1"/>
                          </pic:cNvPicPr>
                        </pic:nvPicPr>
                        <pic:blipFill>
                          <a:blip r:embed="rId69"/>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3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43" descr=""/>
                          <pic:cNvPicPr>
                            <a:picLocks noChangeAspect="1" noChangeArrowheads="1"/>
                          </pic:cNvPicPr>
                        </pic:nvPicPr>
                        <pic:blipFill>
                          <a:blip r:embed="rId70"/>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300"/>
        <w:jc w:val="both"/>
        <w:rPr/>
      </w:pPr>
      <w:r>
        <w:rPr>
          <w:rFonts w:ascii="Times New Roman;sans-serif" w:hAnsi="Times New Roman;sans-serif"/>
          <w:b w:val="false"/>
          <w:color w:val="000000"/>
          <w:sz w:val="20"/>
        </w:rPr>
        <w:t>or otherwise impair the services, deliverables, Inventions or work product or the Company network or any part thereof. “</w:t>
      </w:r>
      <w:r>
        <w:rPr>
          <w:rFonts w:ascii="Times New Roman;sans-serif" w:hAnsi="Times New Roman;sans-serif"/>
          <w:b/>
          <w:color w:val="000000"/>
          <w:sz w:val="20"/>
        </w:rPr>
        <w:t>Open Source</w:t>
      </w:r>
      <w:r>
        <w:rPr>
          <w:color w:val="000000"/>
        </w:rPr>
        <w:t xml:space="preserve">” </w:t>
      </w:r>
      <w:r>
        <w:rPr>
          <w:rFonts w:ascii="Times New Roman;sans-serif" w:hAnsi="Times New Roman;sans-serif"/>
          <w:b w:val="false"/>
          <w:color w:val="000000"/>
          <w:sz w:val="20"/>
        </w:rPr>
        <w:t>means any software that requires as a condition of its use, the modification and/or distribution of such software or other software incorporated into, derived from or distributed with such software be: (i) disclosed or distributed in source code form; (ii) licensed for the purpose of making derivative works; or (ii) redistributable at no charge.</w:t>
      </w:r>
    </w:p>
    <w:p>
      <w:pPr>
        <w:pStyle w:val="TextBody"/>
        <w:spacing w:lineRule="auto" w:line="288" w:before="0" w:after="120"/>
        <w:jc w:val="both"/>
        <w:rPr/>
      </w:pPr>
      <w:r>
        <w:rPr>
          <w:rFonts w:ascii="Times New Roman;sans-serif" w:hAnsi="Times New Roman;sans-serif"/>
          <w:b w:val="false"/>
          <w:color w:val="000000"/>
          <w:sz w:val="20"/>
        </w:rPr>
        <w:t>10     </w:t>
      </w:r>
      <w:r>
        <w:rPr>
          <w:rFonts w:ascii="Times New Roman;sans-serif" w:hAnsi="Times New Roman;sans-serif"/>
          <w:b/>
          <w:color w:val="000000"/>
          <w:sz w:val="20"/>
          <w:u w:val="single"/>
        </w:rPr>
        <w:t>Employee Representations and Warranties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10.1     The Employee represents and warrants to the Company that the execution and delivery of this Employment Agreement and the fulfillment of the terms hereof: (i) will not constitute a default under or breach of any agreement or other instrument to which he/she is a party or by which he is bound, including without limitation, any confidentiality, invention assignment or non-competition agreement; (ii) that no provision of any law, regulation, agreement or other document prohibits him/her from entering into this Employment Agreement; (iii) do not require the consent of any person or entity; and (iv) shall not utilize during the term of his employment any proprietary information of any third party, including prior employers of the Employee (other than any affiliate of the Company).</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10.1   The Employee acknowledges that the Company is relying on the Employee’s representations under this Section 8 upon entering into this Employment Agreement and any misrepresentation under this section by the Employee shall constitute a material breach of this Employment Agreement.</w:t>
      </w:r>
    </w:p>
    <w:p>
      <w:pPr>
        <w:pStyle w:val="TextBody"/>
        <w:spacing w:lineRule="auto" w:line="288" w:before="0" w:after="120"/>
        <w:jc w:val="both"/>
        <w:rPr/>
      </w:pPr>
      <w:r>
        <w:rPr>
          <w:rFonts w:ascii="Times New Roman;sans-serif" w:hAnsi="Times New Roman;sans-serif"/>
          <w:b w:val="false"/>
          <w:color w:val="000000"/>
          <w:sz w:val="20"/>
        </w:rPr>
        <w:t xml:space="preserve">10.2    The Employee hereby agrees and acknowledges that he has read, understands and consents to the Company Computer Policy attached hereto as </w:t>
      </w:r>
      <w:r>
        <w:rPr>
          <w:rFonts w:ascii="Times New Roman;sans-serif" w:hAnsi="Times New Roman;sans-serif"/>
          <w:b/>
          <w:color w:val="000000"/>
          <w:sz w:val="20"/>
          <w:u w:val="single"/>
        </w:rPr>
        <w:t>Exhibit E</w:t>
      </w:r>
      <w:r>
        <w:rPr>
          <w:color w:val="000000"/>
        </w:rPr>
        <w:t xml:space="preserve"> </w:t>
      </w:r>
      <w:r>
        <w:rPr>
          <w:rFonts w:ascii="Times New Roman;sans-serif" w:hAnsi="Times New Roman;sans-serif"/>
          <w:b w:val="false"/>
          <w:color w:val="000000"/>
          <w:sz w:val="20"/>
        </w:rPr>
        <w:t>and incorporated herein by reference, and agrees to, concurrently with the execution of this Employment Agreement, to execute such form.</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10.3    The Employee shall immediately and without delay inform the Company of any affairs and/or matters that might constitute a conflict of interest with the Employee’s Position and/or employment with Company and/or the interests of the Company.</w:t>
      </w:r>
    </w:p>
    <w:p>
      <w:pPr>
        <w:pStyle w:val="TextBody"/>
        <w:spacing w:lineRule="auto" w:line="288" w:before="0" w:after="120"/>
        <w:jc w:val="both"/>
        <w:rPr/>
      </w:pPr>
      <w:r>
        <w:rPr>
          <w:rFonts w:ascii="Times New Roman;sans-serif" w:hAnsi="Times New Roman;sans-serif"/>
          <w:b w:val="false"/>
          <w:color w:val="000000"/>
          <w:sz w:val="20"/>
        </w:rPr>
        <w:t>11     </w:t>
      </w:r>
      <w:r>
        <w:rPr>
          <w:rFonts w:ascii="Times New Roman;sans-serif" w:hAnsi="Times New Roman;sans-serif"/>
          <w:b/>
          <w:color w:val="000000"/>
          <w:sz w:val="20"/>
          <w:u w:val="single"/>
        </w:rPr>
        <w:t>General</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11.1    This Employment Agreement, together with its Exhibit and Schedules, constitute the entire understanding and agreement between the parties hereto, supersedes any and all prior discussions, agreements and correspondence with regard to the subject matter hereof, and may not be amended, modified or supplemented in any respect, except by a subsequent written document executed by both Employee and the Company.</w:t>
      </w:r>
    </w:p>
    <w:p>
      <w:pPr>
        <w:pStyle w:val="TextBody"/>
        <w:spacing w:lineRule="auto" w:line="288" w:before="0" w:after="120"/>
        <w:jc w:val="both"/>
        <w:rPr/>
      </w:pPr>
      <w:r>
        <w:rPr>
          <w:rFonts w:ascii="Times New Roman;sans-serif" w:hAnsi="Times New Roman;sans-serif"/>
          <w:b w:val="false"/>
          <w:color w:val="000000"/>
          <w:sz w:val="20"/>
        </w:rPr>
        <w:t>11.2     The Company may assign or transfer this Employment Agreement or any right, claim or obligation provided herein subject to any applicable law, provided however that none of the Employee’s rights under this Agreement are</w:t>
      </w:r>
      <w:r>
        <w:rPr/>
        <w:drawing>
          <wp:inline distT="0" distB="63500" distL="0" distR="0">
            <wp:extent cx="14605" cy="14605"/>
            <wp:effectExtent l="0" t="0" r="0" b="0"/>
            <wp:docPr id="6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44" descr=""/>
                    <pic:cNvPicPr>
                      <a:picLocks noChangeAspect="1" noChangeArrowheads="1"/>
                    </pic:cNvPicPr>
                  </pic:nvPicPr>
                  <pic:blipFill>
                    <a:blip r:embed="rId71"/>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thereby diminished. The obligations of the Employee hereunder shall not be assignable or delegable.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11.3     All notices, requests and other communications to any party hereunder shall be given or made in writing and faxed, emailed, mailed (by registered or certified mail) or delivered by hand to the respective party at the address set forth in the caption of this Employment Agreement or to such other address (or fax number or email address) as such party may hereafter specify for the purpose of notice to the other party hereto. Each such notice, request or other communication shall be effective (a) if given by fax or email, one (1) business day after such fax is transmitted to the fax number or email address specified herein and the appropriate answerback is received, or (b) if given by any other means, when delivered at the address specified in the Employment Agreement.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11.4     This Employment Agreement shall be governed by, and construed and enforced in accordance with, the laws of Israel without giving effect to principles of conflicts of law thereof. The parties submit to the exclusive jurisdiction of the competent courts of Israel in any dispute related to this Employment Agreement.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11.5    The parties hereby confirm that this is a personal services contract and that the relationship between the parties hereto shall not be subject to any general or special collective employment agreement or any custom or practice of the Company in respect of any of its other employees or contractors.</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256540"/>
                <wp:effectExtent l="0" t="0" r="0" b="0"/>
                <wp:wrapNone/>
                <wp:docPr id="632" name="Frame588"/>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7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7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45" descr=""/>
                          <pic:cNvPicPr>
                            <a:picLocks noChangeAspect="1" noChangeArrowheads="1"/>
                          </pic:cNvPicPr>
                        </pic:nvPicPr>
                        <pic:blipFill>
                          <a:blip r:embed="rId72"/>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3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46" descr=""/>
                          <pic:cNvPicPr>
                            <a:picLocks noChangeAspect="1" noChangeArrowheads="1"/>
                          </pic:cNvPicPr>
                        </pic:nvPicPr>
                        <pic:blipFill>
                          <a:blip r:embed="rId73"/>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0"/>
        <w:jc w:val="both"/>
        <w:rPr>
          <w:rFonts w:ascii="Times New Roman;sans-serif" w:hAnsi="Times New Roman;sans-serif"/>
          <w:b w:val="false"/>
          <w:color w:val="000000"/>
          <w:sz w:val="20"/>
        </w:rPr>
      </w:pPr>
      <w:r>
        <w:rPr>
          <w:rFonts w:ascii="Times New Roman;sans-serif" w:hAnsi="Times New Roman;sans-serif"/>
          <w:b w:val="false"/>
          <w:color w:val="000000"/>
          <w:sz w:val="20"/>
        </w:rPr>
        <w:t>11.6     This Employment Agreement includes the terms to be contained in, and constitutes, the written notice to be delivered to the Employee pursuant to the Notice to Employee Law (Terms of Employment), 2002. Accordingly, this Employment Agreement shall come in lieu of the notice that is required under the Notice to Employee Law.</w:t>
      </w:r>
    </w:p>
    <w:p>
      <w:pPr>
        <w:pStyle w:val="TextBody"/>
        <w:spacing w:lineRule="auto" w:line="288" w:before="0" w:after="60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and the Employee have executed this Employment Agreement as of the date first appearing above.</w:t>
      </w:r>
    </w:p>
    <w:tbl>
      <w:tblPr>
        <w:tblW w:w="5440" w:type="dxa"/>
        <w:jc w:val="left"/>
        <w:tblInd w:w="0" w:type="dxa"/>
        <w:tblCellMar>
          <w:top w:w="28" w:type="dxa"/>
          <w:left w:w="28" w:type="dxa"/>
          <w:bottom w:w="28" w:type="dxa"/>
          <w:right w:w="28" w:type="dxa"/>
        </w:tblCellMar>
      </w:tblPr>
      <w:tblGrid>
        <w:gridCol w:w="347"/>
        <w:gridCol w:w="306"/>
        <w:gridCol w:w="307"/>
        <w:gridCol w:w="379"/>
        <w:gridCol w:w="379"/>
        <w:gridCol w:w="382"/>
        <w:gridCol w:w="109"/>
        <w:gridCol w:w="109"/>
        <w:gridCol w:w="109"/>
        <w:gridCol w:w="314"/>
        <w:gridCol w:w="314"/>
        <w:gridCol w:w="316"/>
        <w:gridCol w:w="598"/>
        <w:gridCol w:w="598"/>
        <w:gridCol w:w="873"/>
      </w:tblGrid>
      <w:tr>
        <w:trPr/>
        <w:tc>
          <w:tcPr>
            <w:tcW w:w="34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210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KALTURA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Sergei Liakhovetsky</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Sergei Liakhovetsky</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SVP 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2019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256540"/>
                <wp:effectExtent l="0" t="0" r="0" b="0"/>
                <wp:wrapNone/>
                <wp:docPr id="635" name="Frame589"/>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8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8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3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47" descr=""/>
                          <pic:cNvPicPr>
                            <a:picLocks noChangeAspect="1" noChangeArrowheads="1"/>
                          </pic:cNvPicPr>
                        </pic:nvPicPr>
                        <pic:blipFill>
                          <a:blip r:embed="rId74"/>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3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48" descr=""/>
                          <pic:cNvPicPr>
                            <a:picLocks noChangeAspect="1" noChangeArrowheads="1"/>
                          </pic:cNvPicPr>
                        </pic:nvPicPr>
                        <pic:blipFill>
                          <a:blip r:embed="rId75"/>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lineRule="auto" w:line="288" w:before="0" w:after="200"/>
        <w:jc w:val="center"/>
        <w:rPr>
          <w:rFonts w:ascii="Times New Roman;sans-serif" w:hAnsi="Times New Roman;sans-serif"/>
          <w:b/>
          <w:i/>
          <w:color w:val="000000"/>
          <w:sz w:val="20"/>
        </w:rPr>
      </w:pPr>
      <w:r>
        <w:rPr>
          <w:rFonts w:ascii="Times New Roman;sans-serif" w:hAnsi="Times New Roman;sans-serif"/>
          <w:b/>
          <w:i/>
          <w:color w:val="000000"/>
          <w:sz w:val="20"/>
        </w:rPr>
        <w:t>Employment Terms</w:t>
      </w:r>
    </w:p>
    <w:p>
      <w:pPr>
        <w:pStyle w:val="TextBody"/>
        <w:spacing w:lineRule="auto" w:line="288" w:before="0" w:after="200"/>
        <w:rPr/>
      </w:pPr>
      <w:r>
        <w:rPr>
          <w:rFonts w:ascii="Times New Roman;sans-serif" w:hAnsi="Times New Roman;sans-serif"/>
          <w:b w:val="false"/>
          <w:color w:val="000000"/>
          <w:sz w:val="20"/>
        </w:rPr>
        <w:t>Set forth below is a table detailing the specific terms of your employment (the “</w:t>
      </w:r>
      <w:r>
        <w:rPr>
          <w:rFonts w:ascii="Times New Roman;sans-serif" w:hAnsi="Times New Roman;sans-serif"/>
          <w:b/>
          <w:i/>
          <w:color w:val="000000"/>
          <w:sz w:val="20"/>
        </w:rPr>
        <w:t>Employment Terms</w:t>
      </w:r>
      <w:r>
        <w:rPr>
          <w:color w:val="000000"/>
        </w:rPr>
        <w:t>”</w:t>
      </w:r>
      <w:r>
        <w:rPr>
          <w:rFonts w:ascii="Times New Roman;sans-serif" w:hAnsi="Times New Roman;sans-serif"/>
          <w:b w:val="false"/>
          <w:color w:val="000000"/>
          <w:sz w:val="20"/>
        </w:rPr>
        <w:t>) with Kaltura Ltd., an Israeli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Please review carefully both the “Employment Terms” and the terms and conditions of the Employment Agreement to which this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is attached. Once you fully understand the terms and conditions set forth herein and agreed to all of the terms and conditions, you are kindly requested to sign the Employment Agreement and the ancillary forms attached thereto and return them to the Company. Your execution of this document constitutes your agreement to the Employment Agreement, including your Employment Terms. The Employment Terms set forth below are subject to the terms and conditions set forth in the Employment Agreement. Capitalized terms used but not defined herein shall have the meanings as ascribed to them under the Employment Agreement.</w:t>
      </w:r>
    </w:p>
    <w:tbl>
      <w:tblPr>
        <w:tblW w:w="10205" w:type="dxa"/>
        <w:jc w:val="left"/>
        <w:tblInd w:w="0" w:type="dxa"/>
        <w:tblCellMar>
          <w:top w:w="28" w:type="dxa"/>
          <w:left w:w="28" w:type="dxa"/>
          <w:bottom w:w="28" w:type="dxa"/>
          <w:right w:w="28" w:type="dxa"/>
        </w:tblCellMar>
      </w:tblPr>
      <w:tblGrid>
        <w:gridCol w:w="928"/>
        <w:gridCol w:w="811"/>
        <w:gridCol w:w="817"/>
        <w:gridCol w:w="1201"/>
        <w:gridCol w:w="1185"/>
        <w:gridCol w:w="1185"/>
        <w:gridCol w:w="1187"/>
        <w:gridCol w:w="1185"/>
        <w:gridCol w:w="1706"/>
      </w:tblGrid>
      <w:tr>
        <w:trPr/>
        <w:tc>
          <w:tcPr>
            <w:tcW w:w="92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Personal Details</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Full Name: </w:t>
            </w:r>
            <w:r>
              <w:rPr>
                <w:rFonts w:ascii="Times New Roman;sans-serif" w:hAnsi="Times New Roman;sans-serif"/>
                <w:b/>
                <w:color w:val="000000"/>
                <w:sz w:val="20"/>
              </w:rPr>
              <w:t>Sergei Liakhovetsky</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 Number: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Telephone Number (cell):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E-mail: ####</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Position</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CTO</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Manager</w:t>
            </w:r>
          </w:p>
        </w:tc>
        <w:tc>
          <w:tcPr>
            <w:tcW w:w="7649" w:type="dxa"/>
            <w:gridSpan w:val="6"/>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Monthly Salary</w:t>
            </w:r>
          </w:p>
        </w:tc>
        <w:tc>
          <w:tcPr>
            <w:tcW w:w="3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Monthly Salary:</w:t>
            </w:r>
          </w:p>
        </w:tc>
        <w:tc>
          <w:tcPr>
            <w:tcW w:w="407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70,000 NIS (gross)</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Monthly Bonus Amount</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35,000</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Scope of Work</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time</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Period (by the Company</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the Employee)</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 Days</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color w:val="000000"/>
              </w:rPr>
            </w:pPr>
            <w:r>
              <w:rPr>
                <w:color w:val="000000"/>
              </w:rPr>
              <w:t xml:space="preserve">☑ </w:t>
            </w:r>
            <w:r>
              <w:rPr>
                <w:rFonts w:ascii="Times New Roman;sans-serif" w:hAnsi="Times New Roman;sans-serif"/>
                <w:b w:val="false"/>
                <w:color w:val="000000"/>
                <w:sz w:val="20"/>
              </w:rPr>
              <w:t>Entitled under Section 14 route. Per the terms detailed in the Employment Agreement.</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Keren Hishtalmut</w:t>
            </w:r>
          </w:p>
          <w:p>
            <w:pPr>
              <w:pStyle w:val="TableContents"/>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 Fund)</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color w:val="000000"/>
              </w:rPr>
            </w:pPr>
            <w:r>
              <w:rPr>
                <w:color w:val="000000"/>
              </w:rPr>
              <w:t xml:space="preserve">☑ </w:t>
            </w:r>
            <w:r>
              <w:rPr>
                <w:rFonts w:ascii="Times New Roman;sans-serif" w:hAnsi="Times New Roman;sans-serif"/>
                <w:b w:val="false"/>
                <w:color w:val="000000"/>
                <w:sz w:val="20"/>
              </w:rPr>
              <w:t>Entitled.</w:t>
            </w:r>
          </w:p>
          <w:p>
            <w:pPr>
              <w:pStyle w:val="TableContents"/>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Contribution- 7.5% of the Monthly Salary</w:t>
            </w:r>
          </w:p>
          <w:p>
            <w:pPr>
              <w:pStyle w:val="TableContents"/>
              <w:spacing w:lineRule="auto" w:line="288" w:before="58"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Contribution- 2.5% of the Monthly Salary</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Vacation Days</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 Vacation Days per Year</w:t>
            </w:r>
          </w:p>
        </w:tc>
      </w:tr>
      <w:tr>
        <w:trPr/>
        <w:tc>
          <w:tcPr>
            <w:tcW w:w="25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Sick Leave Days per Year</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Applicable Law. Notwithstanding the aforementioned, Employee shall be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entitled to full payment with regard to his Sick Days as of the first day of absence due to sick leave.</w:t>
            </w:r>
          </w:p>
        </w:tc>
      </w:tr>
      <w:tr>
        <w:trPr/>
        <w:tc>
          <w:tcPr>
            <w:tcW w:w="255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Recreation Days</w:t>
            </w:r>
          </w:p>
        </w:tc>
        <w:tc>
          <w:tcPr>
            <w:tcW w:w="7649" w:type="dxa"/>
            <w:gridSpan w:val="6"/>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Applicable Law.</w:t>
            </w:r>
          </w:p>
        </w:tc>
      </w:tr>
    </w:tbl>
    <w:p>
      <w:pPr>
        <w:pStyle w:val="TextBody"/>
        <w:spacing w:lineRule="auto" w:line="288" w:before="0" w:after="20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have executed these Employment Terms Agreement effective as of the Effective Date.</w:t>
      </w:r>
    </w:p>
    <w:tbl>
      <w:tblPr>
        <w:tblW w:w="5440" w:type="dxa"/>
        <w:jc w:val="left"/>
        <w:tblInd w:w="0" w:type="dxa"/>
        <w:tblCellMar>
          <w:top w:w="28" w:type="dxa"/>
          <w:left w:w="28" w:type="dxa"/>
          <w:bottom w:w="28" w:type="dxa"/>
          <w:right w:w="28" w:type="dxa"/>
        </w:tblCellMar>
      </w:tblPr>
      <w:tblGrid>
        <w:gridCol w:w="347"/>
        <w:gridCol w:w="306"/>
        <w:gridCol w:w="307"/>
        <w:gridCol w:w="379"/>
        <w:gridCol w:w="379"/>
        <w:gridCol w:w="382"/>
        <w:gridCol w:w="109"/>
        <w:gridCol w:w="109"/>
        <w:gridCol w:w="109"/>
        <w:gridCol w:w="314"/>
        <w:gridCol w:w="314"/>
        <w:gridCol w:w="316"/>
        <w:gridCol w:w="598"/>
        <w:gridCol w:w="598"/>
        <w:gridCol w:w="873"/>
      </w:tblGrid>
      <w:tr>
        <w:trPr/>
        <w:tc>
          <w:tcPr>
            <w:tcW w:w="34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210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KALTURA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Sergei Liakhovetsky</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Sergei Liakhovetsky</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SVP 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256540"/>
                <wp:effectExtent l="0" t="0" r="0" b="0"/>
                <wp:wrapNone/>
                <wp:docPr id="638" name="Frame590"/>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9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9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3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49" descr=""/>
                          <pic:cNvPicPr>
                            <a:picLocks noChangeAspect="1" noChangeArrowheads="1"/>
                          </pic:cNvPicPr>
                        </pic:nvPicPr>
                        <pic:blipFill>
                          <a:blip r:embed="rId76"/>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4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50" descr=""/>
                          <pic:cNvPicPr>
                            <a:picLocks noChangeAspect="1" noChangeArrowheads="1"/>
                          </pic:cNvPicPr>
                        </pic:nvPicPr>
                        <pic:blipFill>
                          <a:blip r:embed="rId77"/>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B</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THIS NON-COMPETITION, PROPRIETARY INFORMATION AND INVENTIONS AGREEMENT</w:t>
      </w:r>
    </w:p>
    <w:p>
      <w:pPr>
        <w:pStyle w:val="TextBody"/>
        <w:spacing w:lineRule="auto" w:line="288" w:before="0" w:after="180"/>
        <w:jc w:val="both"/>
        <w:rPr/>
      </w:pPr>
      <w:r>
        <w:rPr>
          <w:rFonts w:ascii="Times New Roman;sans-serif" w:hAnsi="Times New Roman;sans-serif"/>
          <w:b w:val="false"/>
          <w:color w:val="000000"/>
          <w:sz w:val="20"/>
        </w:rPr>
        <w:t>(“</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is made and entered by and between Kaltura Ltd., an Israeli company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and the undersigned individual (“</w:t>
      </w:r>
      <w:r>
        <w:rPr>
          <w:rFonts w:ascii="Times New Roman;sans-serif" w:hAnsi="Times New Roman;sans-serif"/>
          <w:b/>
          <w:i/>
          <w:color w:val="000000"/>
          <w:sz w:val="20"/>
        </w:rPr>
        <w:t>Employee</w:t>
      </w:r>
      <w:r>
        <w:rPr>
          <w:color w:val="000000"/>
        </w:rPr>
        <w:t>”</w:t>
      </w:r>
      <w:r>
        <w:rPr>
          <w:rFonts w:ascii="Times New Roman;sans-serif" w:hAnsi="Times New Roman;sans-serif"/>
          <w:b w:val="false"/>
          <w:color w:val="000000"/>
          <w:sz w:val="20"/>
        </w:rPr>
        <w:t xml:space="preserve">), which Agreement will be effective as of the first day of the Employee’s employment by the Company (the “Effective Date”). Unless the context otherwise requites, the term “Company” shall </w:t>
      </w:r>
      <w:r>
        <w:rPr/>
        <w:drawing>
          <wp:inline distT="0" distB="63500" distL="0" distR="0">
            <wp:extent cx="14605" cy="14605"/>
            <wp:effectExtent l="0" t="0" r="0" b="0"/>
            <wp:docPr id="64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51" descr=""/>
                    <pic:cNvPicPr>
                      <a:picLocks noChangeAspect="1" noChangeArrowheads="1"/>
                    </pic:cNvPicPr>
                  </pic:nvPicPr>
                  <pic:blipFill>
                    <a:blip r:embed="rId78"/>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also include all direct and indirect existing and future subsidiary, parent or related corporations of the Company.</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Employee acknowledges that Employee’s employment by the Company creates a relationship of </w:t>
      </w:r>
      <w:r>
        <w:rPr/>
        <w:drawing>
          <wp:inline distT="0" distB="63500" distL="0" distR="0">
            <wp:extent cx="14605" cy="14605"/>
            <wp:effectExtent l="0" t="0" r="0" b="0"/>
            <wp:docPr id="64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52" descr=""/>
                    <pic:cNvPicPr>
                      <a:picLocks noChangeAspect="1" noChangeArrowheads="1"/>
                    </pic:cNvPicPr>
                  </pic:nvPicPr>
                  <pic:blipFill>
                    <a:blip r:embed="rId79"/>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confidence and trust between Employee and the Company with respect to all Confidential Information (as defined below) of the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and as a condition of Employee’s employment by the Company, the compensation paid therefore and the benefits received therefore, the sufficiency of which is hereby acknowledged, it is hereby agreed as follows: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    Confidential Information.</w:t>
      </w:r>
    </w:p>
    <w:p>
      <w:pPr>
        <w:pStyle w:val="TextBody"/>
        <w:spacing w:lineRule="auto" w:line="288" w:before="0" w:after="180"/>
        <w:ind w:left="0" w:right="0" w:firstLine="108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Confidentiality</w:t>
      </w:r>
      <w:r>
        <w:rPr>
          <w:rFonts w:ascii="Times New Roman;sans-serif" w:hAnsi="Times New Roman;sans-serif"/>
          <w:b w:val="false"/>
          <w:color w:val="000000"/>
          <w:sz w:val="20"/>
        </w:rPr>
        <w:t xml:space="preserve">. Except as herein provided, Employee agrees that during </w:t>
      </w:r>
      <w:r>
        <w:rPr>
          <w:rFonts w:ascii="Times New Roman;sans-serif" w:hAnsi="Times New Roman;sans-serif"/>
          <w:b w:val="false"/>
          <w:color w:val="000000"/>
          <w:sz w:val="20"/>
          <w:u w:val="single"/>
        </w:rPr>
        <w:t>and after</w:t>
      </w:r>
      <w:r>
        <w:rPr>
          <w:color w:val="000000"/>
        </w:rPr>
        <w:t xml:space="preserve"> </w:t>
      </w:r>
      <w:r>
        <w:rPr>
          <w:rFonts w:ascii="Times New Roman;sans-serif" w:hAnsi="Times New Roman;sans-serif"/>
          <w:b w:val="false"/>
          <w:color w:val="000000"/>
          <w:sz w:val="20"/>
        </w:rPr>
        <w:t xml:space="preserve">termination of her employment with the Company, he (i) shall keep Confidential Information (as defined below) confidential and shall not directly or indirectly, use, divulge, publish or otherwise disclose or allow to be disclosed any aspect of Confidential Information without the Company’s Prior written consent; (ii) shall refrain from any action or conduct </w:t>
      </w:r>
      <w:r>
        <w:rPr/>
        <w:drawing>
          <wp:inline distT="0" distB="63500" distL="0" distR="0">
            <wp:extent cx="14605" cy="14605"/>
            <wp:effectExtent l="0" t="0" r="0" b="0"/>
            <wp:docPr id="64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53" descr=""/>
                    <pic:cNvPicPr>
                      <a:picLocks noChangeAspect="1" noChangeArrowheads="1"/>
                    </pic:cNvPicPr>
                  </pic:nvPicPr>
                  <pic:blipFill>
                    <a:blip r:embed="rId80"/>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which might reasonably or foreseeably be expected to compromise the confidentiality or proprietary nature of the Confidential Information; and (iii) shall follow recommendations made by the Board of Directors, officers or supervisors of the Company from time to time regarding Confidential Information. “</w:t>
      </w:r>
      <w:r>
        <w:rPr>
          <w:rFonts w:ascii="Times New Roman;sans-serif" w:hAnsi="Times New Roman;sans-serif"/>
          <w:b/>
          <w:i/>
          <w:color w:val="000000"/>
          <w:sz w:val="20"/>
        </w:rPr>
        <w:t>Confidential Information</w:t>
      </w:r>
      <w:r>
        <w:rPr>
          <w:color w:val="000000"/>
        </w:rPr>
        <w:t xml:space="preserve">” </w:t>
      </w:r>
      <w:r>
        <w:rPr>
          <w:rFonts w:ascii="Times New Roman;sans-serif" w:hAnsi="Times New Roman;sans-serif"/>
          <w:b w:val="false"/>
          <w:color w:val="000000"/>
          <w:sz w:val="20"/>
        </w:rPr>
        <w:t>includes but is not limited to Inventions (as defined in section 2(b)), trade secrets, confidential information, knowledge or data of the Company, or any of its clients, customers, consultants, shareholders, licensees, licensors, vendors or affiliates, that Employee may produce, obtain or otherwise acquire or have access to during the course of his or her employment by the Company (whether before or after the date of this Agreement), including but not limited to: business plans, records, and affairs; customer files and lists; special customer matters; sales practices; methods and techniques; merchandising concepts, strategies and plans; sources of supply and vendors; special business relationships with vendors, agents, and brokers; promotional materials and information; financial matters; mergers; acquisitions; equipment, technologies and processes; selective personnel matters; inventions; developments; product specifications; procedures; pricing information; intellectual property; know-how; technical data; software programs; algorithms; operations and production costs; processes; designs; formulas; ideas; plans; devices; materials; and other similar matters which are confidential. All Confidential Information and all tangible materials containing Confidential Information are and shall remain the sole property of the Company.</w:t>
      </w:r>
    </w:p>
    <w:p>
      <w:pPr>
        <w:pStyle w:val="TextBody"/>
        <w:spacing w:lineRule="auto" w:line="288" w:before="0" w:after="180"/>
        <w:ind w:left="0" w:right="0" w:firstLine="108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Limitation</w:t>
      </w:r>
      <w:r>
        <w:rPr>
          <w:rFonts w:ascii="Times New Roman;sans-serif" w:hAnsi="Times New Roman;sans-serif"/>
          <w:b w:val="false"/>
          <w:color w:val="000000"/>
          <w:sz w:val="20"/>
        </w:rPr>
        <w:t>. Employee shall have no obligation under this Agreement to maintain in confidence any information that (i) is in the public domain at the time of disclosure, (ii) though originally Confidential Information, subsequently enters the public domain other than by breach of Employee’s obligation hereunder or by breach of another person's or entity’s confidentiality obligations.</w:t>
      </w:r>
    </w:p>
    <w:p>
      <w:pPr>
        <w:pStyle w:val="TextBody"/>
        <w:spacing w:lineRule="auto" w:line="288" w:before="0" w:after="180"/>
        <w:ind w:left="0" w:right="0" w:firstLine="108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Former Employer Information</w:t>
      </w:r>
      <w:r>
        <w:rPr>
          <w:rFonts w:ascii="Times New Roman;sans-serif" w:hAnsi="Times New Roman;sans-serif"/>
          <w:b w:val="false"/>
          <w:color w:val="000000"/>
          <w:sz w:val="20"/>
        </w:rPr>
        <w:t xml:space="preserve">. Employee agrees that he has not and will not, during the term of his employment, (i) improperly use or disclose any proprietary information or trade secrets of any former employer or other person or entity (except for affiliates of the Company) with which Employee has an agreement or duty to keep in confidence information acquired by Employee, if any, or (ii) bring onto the premises of the Company any document or confidential or proprietary information belonging to such employer, person or entity unless consented to in writing by such employer, person or entity. Employee will indemnify the Company and hold it harmless from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256540"/>
                <wp:effectExtent l="0" t="0" r="0" b="0"/>
                <wp:wrapNone/>
                <wp:docPr id="644" name="Frame591"/>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10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10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4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54" descr=""/>
                          <pic:cNvPicPr>
                            <a:picLocks noChangeAspect="1" noChangeArrowheads="1"/>
                          </pic:cNvPicPr>
                        </pic:nvPicPr>
                        <pic:blipFill>
                          <a:blip r:embed="rId81"/>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4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55" descr=""/>
                          <pic:cNvPicPr>
                            <a:picLocks noChangeAspect="1" noChangeArrowheads="1"/>
                          </pic:cNvPicPr>
                        </pic:nvPicPr>
                        <pic:blipFill>
                          <a:blip r:embed="rId82"/>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against all claims, liabilities, damages and expenses, including reasonable attorneys' fees and costs of suit, arising out of or in connection with any violation of the foregoing.</w:t>
      </w:r>
    </w:p>
    <w:p>
      <w:pPr>
        <w:pStyle w:val="TextBody"/>
        <w:spacing w:lineRule="auto" w:line="288" w:before="0" w:after="180"/>
        <w:ind w:left="0" w:right="0" w:firstLine="1080"/>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Third Party Information</w:t>
      </w:r>
      <w:r>
        <w:rPr>
          <w:rFonts w:ascii="Times New Roman;sans-serif" w:hAnsi="Times New Roman;sans-serif"/>
          <w:b w:val="false"/>
          <w:color w:val="000000"/>
          <w:sz w:val="20"/>
        </w:rPr>
        <w:t>. Employee recognizes that the Company may have received, and in the future may receive, from third parties their confidential or proprietary information subject to a duty on the Company’s part to maintain the confidentiality of such information and to use it only for certain limited purposes. Employee agrees that Employee owes the company and such third parties, during Employee’s employment by the Company and thereafter, a duty to hold all such confidential or proprietary information in the strictest confidence and not to disclose it to any person or firm and to use it in a manner consistent with, and for the limited purposes permitted by the Company’s agreement with such third party/</w:t>
      </w:r>
    </w:p>
    <w:p>
      <w:pPr>
        <w:pStyle w:val="TextBody"/>
        <w:spacing w:lineRule="auto" w:line="288" w:before="0" w:after="180"/>
        <w:ind w:left="0" w:right="0" w:firstLine="108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Conflicting Activities</w:t>
      </w:r>
      <w:r>
        <w:rPr>
          <w:rFonts w:ascii="Times New Roman;sans-serif" w:hAnsi="Times New Roman;sans-serif"/>
          <w:b w:val="false"/>
          <w:color w:val="000000"/>
          <w:sz w:val="20"/>
        </w:rPr>
        <w:t>. While employed by the Company, Employee will not work as an employee or consultant of any other organization or engage in any other activities which conflict, directly or indirectly, with the obligations to the Company, without the express prior written approval of the Company.</w:t>
      </w:r>
    </w:p>
    <w:p>
      <w:pPr>
        <w:pStyle w:val="TextBody"/>
        <w:spacing w:lineRule="auto" w:line="288" w:before="0" w:after="180"/>
        <w:ind w:left="0" w:right="0" w:firstLine="1080"/>
        <w:rPr/>
      </w:pPr>
      <w:r>
        <w:rPr>
          <w:rFonts w:ascii="Times New Roman;sans-serif" w:hAnsi="Times New Roman;sans-serif"/>
          <w:b/>
          <w:color w:val="000000"/>
          <w:sz w:val="20"/>
        </w:rPr>
        <w:t>2.   </w:t>
      </w:r>
      <w:r>
        <w:rPr>
          <w:color w:val="000000"/>
        </w:rPr>
        <w:t>  </w:t>
      </w:r>
      <w:r>
        <w:rPr>
          <w:rFonts w:ascii="Times New Roman;sans-serif" w:hAnsi="Times New Roman;sans-serif"/>
          <w:b/>
          <w:color w:val="000000"/>
          <w:sz w:val="20"/>
        </w:rPr>
        <w:t>Inventions</w:t>
      </w:r>
      <w:r>
        <w:rPr>
          <w:rFonts w:ascii="Times New Roman;sans-serif" w:hAnsi="Times New Roman;sans-serif"/>
          <w:b w:val="false"/>
          <w:color w:val="000000"/>
          <w:sz w:val="20"/>
        </w:rPr>
        <w:t>.</w:t>
      </w:r>
    </w:p>
    <w:p>
      <w:pPr>
        <w:pStyle w:val="TextBody"/>
        <w:spacing w:lineRule="auto" w:line="288" w:before="0" w:after="180"/>
        <w:ind w:left="0" w:right="0" w:firstLine="108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Inventions Retained and Licensed</w:t>
      </w:r>
      <w:r>
        <w:rPr>
          <w:rFonts w:ascii="Times New Roman;sans-serif" w:hAnsi="Times New Roman;sans-serif"/>
          <w:b w:val="false"/>
          <w:color w:val="000000"/>
          <w:sz w:val="20"/>
        </w:rPr>
        <w:t>. Employee represents that there are no Prior Inventions (as defined below). Employee hereby acknowledges that, if in the course of his service for Company, Employee incorporates into a Company product, process or machine a Prior Invention owned by Employee or in which he has an interest, Company is hereby granted and shall have a fully paid, nonexclusive, royalty-free, irrevocable, perpetual, worldwide, transferable and sub licensable right and license to make, have made, modify, create derivative works, reproduce, use, offer to sell, sell, sublicense and otherwise distribute such Prior Invention (as may be improved or enhanced by or for Company) and in the event of copyrightable materials, copy, distribute, publicly perform, publicly display, make derivative works thereof, and sublicense such copyrightable materials, as part of or in connection with such product, process or machine.</w:t>
      </w:r>
    </w:p>
    <w:p>
      <w:pPr>
        <w:pStyle w:val="TextBody"/>
        <w:spacing w:lineRule="auto" w:line="288" w:before="0" w:after="180"/>
        <w:ind w:left="0" w:right="0" w:firstLine="1080"/>
        <w:jc w:val="both"/>
        <w:rPr/>
      </w:pPr>
      <w:r>
        <w:rPr>
          <w:rFonts w:ascii="Times New Roman;sans-serif" w:hAnsi="Times New Roman;sans-serif"/>
          <w:b w:val="false"/>
          <w:color w:val="000000"/>
          <w:sz w:val="20"/>
        </w:rPr>
        <w:t>For the purpose of this Agreement, the term “</w:t>
      </w:r>
      <w:r>
        <w:rPr>
          <w:rFonts w:ascii="Times New Roman;sans-serif" w:hAnsi="Times New Roman;sans-serif"/>
          <w:b/>
          <w:color w:val="000000"/>
          <w:sz w:val="20"/>
        </w:rPr>
        <w:t>Prior Inventions</w:t>
      </w:r>
      <w:r>
        <w:rPr>
          <w:color w:val="000000"/>
        </w:rPr>
        <w:t xml:space="preserve">” </w:t>
      </w:r>
      <w:r>
        <w:rPr>
          <w:rFonts w:ascii="Times New Roman;sans-serif" w:hAnsi="Times New Roman;sans-serif"/>
          <w:b w:val="false"/>
          <w:color w:val="000000"/>
          <w:sz w:val="20"/>
        </w:rPr>
        <w:t xml:space="preserve">shall mean inventions, ideas, improvements, designs or discoveries, whether or not patentable and whether or not reduced to practice, original works of authorship, computer programs (including, but not limited to, code, modules, tools, and libraries) and trade secrets made or conceived by or belonging to Employee (whether made solely by Employee or jointly with others) that (i) were developed by Employee prior to Employee’s employment by Company, (ii) relate to Company’s actual or proposed business, operations, products or research and development, and (iii) are not assigned to Company hereunder. </w:t>
      </w:r>
    </w:p>
    <w:p>
      <w:pPr>
        <w:pStyle w:val="TextBody"/>
        <w:spacing w:lineRule="auto" w:line="288" w:before="0" w:after="180"/>
        <w:ind w:left="0" w:right="0" w:firstLine="108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Assignment of Inventions</w:t>
      </w:r>
      <w:r>
        <w:rPr>
          <w:rFonts w:ascii="Times New Roman;sans-serif" w:hAnsi="Times New Roman;sans-serif"/>
          <w:b w:val="false"/>
          <w:color w:val="000000"/>
          <w:sz w:val="20"/>
        </w:rPr>
        <w:t>. Except as provided in Section 2(e) hereof, Employee hereby assigns and transfers to Company, to the fullest extent under applicable law, his entire right, title and interest in and to all inventions (including, but not limited to, "Service Inventions" as defined in Section 132 of the Israeli Patent Law- 1967 (the “</w:t>
      </w:r>
      <w:r>
        <w:rPr>
          <w:rFonts w:ascii="Times New Roman;sans-serif" w:hAnsi="Times New Roman;sans-serif"/>
          <w:b/>
          <w:color w:val="000000"/>
          <w:sz w:val="20"/>
        </w:rPr>
        <w:t>Patent Law</w:t>
      </w:r>
      <w:r>
        <w:rPr>
          <w:color w:val="000000"/>
        </w:rPr>
        <w:t>”</w:t>
      </w:r>
      <w:r>
        <w:rPr>
          <w:rFonts w:ascii="Times New Roman;sans-serif" w:hAnsi="Times New Roman;sans-serif"/>
          <w:b w:val="false"/>
          <w:color w:val="000000"/>
          <w:sz w:val="20"/>
        </w:rPr>
        <w:t>), ideas, improvements, designs, developments, works, know-how, original works of authorship, formulae, ideas, concepts, techniques, methods, systems, processes, compositions of matter, algorithms, computer software programs (including, but not limited to, any code, modules, tools, and libraries), databases, trade secrets and discoveries and any other intellectual creations of any nature whatsoever (the “</w:t>
      </w:r>
      <w:r>
        <w:rPr>
          <w:rFonts w:ascii="Times New Roman;sans-serif" w:hAnsi="Times New Roman;sans-serif"/>
          <w:b/>
          <w:i/>
          <w:color w:val="000000"/>
          <w:sz w:val="20"/>
        </w:rPr>
        <w:t>Inventions</w:t>
      </w:r>
      <w:r>
        <w:rPr>
          <w:color w:val="000000"/>
        </w:rPr>
        <w:t>”</w:t>
      </w:r>
      <w:r>
        <w:rPr>
          <w:rFonts w:ascii="Times New Roman;sans-serif" w:hAnsi="Times New Roman;sans-serif"/>
          <w:b w:val="false"/>
          <w:color w:val="000000"/>
          <w:sz w:val="20"/>
        </w:rPr>
        <w:t xml:space="preserve">), whether or not patentable and whether or not reduced to practice, made or conceived by Employee, whether solely by Employee or jointly with others, prior to or during the period of his employment with Company that (i) relate in any manner to the actual or demonstrably anticipated business, work, or research and development of Company, its affiliates or subsidiaries, (ii) are developed in whole or in part on Company’s time or using Company’s equipment, supplies, facilities or Confidential Information, or (iii) result from or are suggested by any task assigned to Employee or any work performed by Employee for or on behalf of Company, its affiliates or subsidiaries, or by the scope of Employee’s duties and responsibilities with Company, its affiliates or subsidiaries. In the event that Employee believes that he is entitled to ownership, either in whole or in part, of an Invention pursuant to Section 2(e) hereof, he shall notify Company of such in writing. Except in such cases as the Board of Directors of Company confirms in writing that Employee is entitled to ownership, Employee agrees that all Inventions are the sole property of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256540"/>
                <wp:effectExtent l="0" t="0" r="0" b="0"/>
                <wp:wrapNone/>
                <wp:docPr id="647" name="Frame592"/>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11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11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4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56" descr=""/>
                          <pic:cNvPicPr>
                            <a:picLocks noChangeAspect="1" noChangeArrowheads="1"/>
                          </pic:cNvPicPr>
                        </pic:nvPicPr>
                        <pic:blipFill>
                          <a:blip r:embed="rId83"/>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4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57" descr=""/>
                          <pic:cNvPicPr>
                            <a:picLocks noChangeAspect="1" noChangeArrowheads="1"/>
                          </pic:cNvPicPr>
                        </pic:nvPicPr>
                        <pic:blipFill>
                          <a:blip r:embed="rId84"/>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20"/>
        </w:rPr>
        <w:t>Company. Employee further acknowledges that all original works of authorship that are made by Employee, solely or jointly with others, within the scope of and during the period of Employee’s employment by Company and that are protectable by copyright are “works made for hire,” as defined in the U.S. Copyright Act and shall be owned solely by the Company. Without derogating from the aforementioned, the Employee hereby explicitly waives any interest, claim or demand that the Employee may have for, or may be entitled to, with respect to any consideration, compensation or royalty in connection with Assignable Inventions, including but not limited to, any claims for consideration, compensation or royalty before the Committee for Compensation and Royalties (the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or other tribunal with competent jurisdiction pursuant to Section 134 of the Patent Law or any other similar provision under any law of any applicable jurisdiction. The Employee hereby acknowledges and declares that the monthly salary and any other benefits provided under the Employment Agreement to which this Exhibit is attached, constitutes the entire compensation to which he/she is entitled to and includes any and all consideration with respect to the Inventions developed by him. The Employee further waives the right to bring any claims, demands or allegations to receive compensation, consideration or royalty with respect to the Moral Rights (as defined below) and the Company Inventions before the Committee under the Patent Law. Notwithstanding the above, in the event that despite the parties’ agreement hereunder and the aforementioned waiver it is determined by any competent authority (including but not limited to the Committee) that for any reason whatsoever the Employee is or will be entitled to consideration, compensation or royally in connection with one or more Company Inventions, the Employee agrees and acknowledges that the Special Compensation (as defined below) will be deemed the sole and final consideration, compensation or royalty payments to which Employee is, and will be, entitled to in connection with such Company Inventions. “</w:t>
      </w:r>
      <w:r>
        <w:rPr>
          <w:rFonts w:ascii="Times New Roman;sans-serif" w:hAnsi="Times New Roman;sans-serif"/>
          <w:b/>
          <w:i/>
          <w:color w:val="000000"/>
          <w:sz w:val="20"/>
        </w:rPr>
        <w:t>Moral Rights</w:t>
      </w:r>
      <w:r>
        <w:rPr>
          <w:color w:val="000000"/>
        </w:rPr>
        <w:t xml:space="preserve">” </w:t>
      </w:r>
      <w:r>
        <w:rPr>
          <w:rFonts w:ascii="Times New Roman;sans-serif" w:hAnsi="Times New Roman;sans-serif"/>
          <w:b w:val="false"/>
          <w:color w:val="000000"/>
          <w:sz w:val="20"/>
        </w:rPr>
        <w:t>as used herein means the rights of an author under Section 45 of the Israeli Copyright Law, 2007, or any other similar provision under any law of any applicable jurisdiction, including the right of the author to be known as the author of his work; to prevent others from being named as the author of his work; to prevent others from making deforming changes in his work in a manner that reflects negatively on his professional standing, goodwill or dignity. For the purpose hereof, the term “</w:t>
      </w:r>
      <w:r>
        <w:rPr>
          <w:rFonts w:ascii="Times New Roman;sans-serif" w:hAnsi="Times New Roman;sans-serif"/>
          <w:b/>
          <w:i/>
          <w:color w:val="000000"/>
          <w:sz w:val="20"/>
        </w:rPr>
        <w:t>Special Compensation</w:t>
      </w:r>
      <w:r>
        <w:rPr>
          <w:color w:val="000000"/>
        </w:rPr>
        <w:t xml:space="preserve">” </w:t>
      </w:r>
      <w:r>
        <w:rPr>
          <w:rFonts w:ascii="Times New Roman;sans-serif" w:hAnsi="Times New Roman;sans-serif"/>
          <w:b w:val="false"/>
          <w:color w:val="000000"/>
          <w:sz w:val="20"/>
        </w:rPr>
        <w:t>shall mean an amount equal to 10% of the monthly salary of the Employee, which amount shall be considered as a special compensation for the Employee’s contribution any Company's Invention.</w:t>
      </w:r>
    </w:p>
    <w:p>
      <w:pPr>
        <w:pStyle w:val="TextBody"/>
        <w:spacing w:lineRule="auto" w:line="288" w:before="0" w:after="180"/>
        <w:ind w:left="0" w:right="0" w:firstLine="108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Disclosure of Inventions</w:t>
      </w:r>
      <w:r>
        <w:rPr>
          <w:rFonts w:ascii="Times New Roman;sans-serif" w:hAnsi="Times New Roman;sans-serif"/>
          <w:b w:val="false"/>
          <w:color w:val="000000"/>
          <w:sz w:val="20"/>
        </w:rPr>
        <w:t>. Employee agrees that in connection with any Invention: (i) Employee shall promptly disclose such Invention in writing to his immediate supervisor at the Company (which shall be received in confidence by the Company), with a copy to the Company, regardless of whether Employee believes the Invention is covered by Section 2(e), in order to permit Company to claim rights to which it may be entitled under this Agreement; and (ii) Employee shall, at Company’s request, promptly execute a written assignment of title to Company for any Invention required to be assigned by Section 2(b) (an “</w:t>
      </w:r>
      <w:r>
        <w:rPr>
          <w:rFonts w:ascii="Times New Roman;sans-serif" w:hAnsi="Times New Roman;sans-serif"/>
          <w:b/>
          <w:i/>
          <w:color w:val="000000"/>
          <w:sz w:val="20"/>
        </w:rPr>
        <w:t>Assignable Invention</w:t>
      </w:r>
      <w:r>
        <w:rPr>
          <w:color w:val="000000"/>
        </w:rPr>
        <w:t>”</w:t>
      </w:r>
      <w:r>
        <w:rPr>
          <w:rFonts w:ascii="Times New Roman;sans-serif" w:hAnsi="Times New Roman;sans-serif"/>
          <w:b w:val="false"/>
          <w:color w:val="000000"/>
          <w:sz w:val="20"/>
        </w:rPr>
        <w:t>), and Employee will preserve any such Assignable Invention as Confidential Information of Company.</w:t>
      </w:r>
    </w:p>
    <w:p>
      <w:pPr>
        <w:pStyle w:val="TextBody"/>
        <w:spacing w:lineRule="auto" w:line="288" w:before="0" w:after="180"/>
        <w:ind w:left="0" w:right="0" w:firstLine="1080"/>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Patent and Copyright Registrations</w:t>
      </w:r>
      <w:r>
        <w:rPr>
          <w:rFonts w:ascii="Times New Roman;sans-serif" w:hAnsi="Times New Roman;sans-serif"/>
          <w:b w:val="false"/>
          <w:color w:val="000000"/>
          <w:sz w:val="20"/>
        </w:rPr>
        <w:t xml:space="preserve">. Employee agrees to assist Company, or its designee, </w:t>
      </w:r>
      <w:r>
        <w:rPr/>
        <w:drawing>
          <wp:inline distT="0" distB="63500" distL="0" distR="0">
            <wp:extent cx="14605" cy="14605"/>
            <wp:effectExtent l="0" t="0" r="0" b="0"/>
            <wp:docPr id="65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58"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drawing>
          <wp:inline distT="0" distB="63500" distL="0" distR="0">
            <wp:extent cx="14605" cy="14605"/>
            <wp:effectExtent l="0" t="0" r="0" b="0"/>
            <wp:docPr id="65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59" descr=""/>
                    <pic:cNvPicPr>
                      <a:picLocks noChangeAspect="1" noChangeArrowheads="1"/>
                    </pic:cNvPicPr>
                  </pic:nvPicPr>
                  <pic:blipFill>
                    <a:blip r:embed="rId86"/>
                    <a:stretch>
                      <a:fillRect/>
                    </a:stretch>
                  </pic:blipFill>
                  <pic:spPr bwMode="auto">
                    <a:xfrm>
                      <a:off x="0" y="0"/>
                      <a:ext cx="14605" cy="14605"/>
                    </a:xfrm>
                    <a:prstGeom prst="rect">
                      <a:avLst/>
                    </a:prstGeom>
                  </pic:spPr>
                </pic:pic>
              </a:graphicData>
            </a:graphic>
          </wp:inline>
        </w:drawing>
      </w:r>
      <w:r>
        <w:rPr/>
        <w:drawing>
          <wp:inline distT="0" distB="63500" distL="0" distR="0">
            <wp:extent cx="14605" cy="14605"/>
            <wp:effectExtent l="0" t="0" r="0" b="0"/>
            <wp:docPr id="65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60"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drawing>
          <wp:inline distT="0" distB="63500" distL="0" distR="0">
            <wp:extent cx="14605" cy="14605"/>
            <wp:effectExtent l="0" t="0" r="0" b="0"/>
            <wp:docPr id="65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61" descr=""/>
                    <pic:cNvPicPr>
                      <a:picLocks noChangeAspect="1" noChangeArrowheads="1"/>
                    </pic:cNvPicPr>
                  </pic:nvPicPr>
                  <pic:blipFill>
                    <a:blip r:embed="rId88"/>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 xml:space="preserve">at Company’s expense, in every proper way to secure Company’s rights in the Assignable Inventions and any copyrights, patents, mask work rights or other intellectual property rights relating thereto in any and all countries, including the disclosure to Company of all pertinent information and data with respect thereto, the execution of all applications, specifications, oaths, assignments and other instruments that Company shall deem necessary in order to apply for and obtain such rights and in order to assign and convey to Company, its successors, assigns, and nominees the sole and exclusive rights, title and interest in and to such Assignable Inventions, and any copyrights, patents, or other intellectual property rights relating thereto. Employee further agrees that his obligation to execute or cause to be executed, when it is in his power to do so, any such instrument or papers shall continue after the termination of Employee’s employment by Company. If Company is unable because of Employee’s mental or physical incapacity or for any other reason to secure Employee’s signature to apply for or to pursue any application for any Israel, U.S. or </w:t>
      </w:r>
      <w:r>
        <w:rPr/>
        <w:drawing>
          <wp:inline distT="0" distB="63500" distL="0" distR="0">
            <wp:extent cx="14605" cy="14605"/>
            <wp:effectExtent l="0" t="0" r="0" b="0"/>
            <wp:docPr id="65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2"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drawing>
          <wp:inline distT="0" distB="63500" distL="0" distR="0">
            <wp:extent cx="14605" cy="14605"/>
            <wp:effectExtent l="0" t="0" r="0" b="0"/>
            <wp:docPr id="65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3" descr=""/>
                    <pic:cNvPicPr>
                      <a:picLocks noChangeAspect="1" noChangeArrowheads="1"/>
                    </pic:cNvPicPr>
                  </pic:nvPicPr>
                  <pic:blipFill>
                    <a:blip r:embed="rId90"/>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 xml:space="preserve">other patents or copyright registrations covering Assignable Inventions or original works of authorship assigned to Company as above, then Employee hereby irrevocably designates and appoints Company and its duly authorized officers and agents as Employee’s agent and attorney-in-fact, to act for and in Employee’s behalf and stead to execute and file any such applications and to do all other lawfully permitted acts to further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256540"/>
                <wp:effectExtent l="0" t="0" r="0" b="0"/>
                <wp:wrapNone/>
                <wp:docPr id="656" name="Frame593"/>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12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12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5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64" descr=""/>
                          <pic:cNvPicPr>
                            <a:picLocks noChangeAspect="1" noChangeArrowheads="1"/>
                          </pic:cNvPicPr>
                        </pic:nvPicPr>
                        <pic:blipFill>
                          <a:blip r:embed="rId91"/>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5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65" descr=""/>
                          <pic:cNvPicPr>
                            <a:picLocks noChangeAspect="1" noChangeArrowheads="1"/>
                          </pic:cNvPicPr>
                        </pic:nvPicPr>
                        <pic:blipFill>
                          <a:blip r:embed="rId92"/>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prosecution and issuance of letters patent or copyright registrations thereon with the same legal force and effect as if executed by Employee.</w:t>
      </w:r>
    </w:p>
    <w:p>
      <w:pPr>
        <w:pStyle w:val="TextBody"/>
        <w:spacing w:lineRule="auto" w:line="288" w:before="0" w:after="180"/>
        <w:ind w:left="0" w:right="0" w:firstLine="1080"/>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Exception to Assignments</w:t>
      </w:r>
      <w:r>
        <w:rPr>
          <w:rFonts w:ascii="Times New Roman;sans-serif" w:hAnsi="Times New Roman;sans-serif"/>
          <w:b w:val="false"/>
          <w:color w:val="000000"/>
          <w:sz w:val="20"/>
        </w:rPr>
        <w:t>. Assignable Inventions shall not include any Invention (i) that Employee develops entirely on Employee’s own time, (ii) without use of any Company assets and (iii) which useful does not relate to Company’s actual or proposed business, products or research and development.</w:t>
      </w:r>
    </w:p>
    <w:p>
      <w:pPr>
        <w:pStyle w:val="TextBody"/>
        <w:spacing w:lineRule="auto" w:line="288" w:before="0" w:after="180"/>
        <w:ind w:left="0" w:right="0" w:firstLine="108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Other Obligations</w:t>
      </w:r>
      <w:r>
        <w:rPr>
          <w:rFonts w:ascii="Times New Roman;sans-serif" w:hAnsi="Times New Roman;sans-serif"/>
          <w:b w:val="false"/>
          <w:color w:val="000000"/>
          <w:sz w:val="20"/>
        </w:rPr>
        <w:t>. Employee acknowledges that Company from time to time may have agreements with other persons or with the Israeli, U.S. or other governments, or agencies thereof, that impose obligations or restrictions on Company regarding Inventions made during the course of work thereunder or regarding the confidential nature of such work. Employee agrees to be bound by all such obligations and restrictions and to take all action necessary to discharge the obligations of Company thereunder.</w:t>
      </w:r>
    </w:p>
    <w:p>
      <w:pPr>
        <w:pStyle w:val="TextBody"/>
        <w:spacing w:lineRule="auto" w:line="288" w:before="0" w:after="180"/>
        <w:ind w:left="0" w:right="0" w:firstLine="1080"/>
        <w:rPr/>
      </w:pPr>
      <w:r>
        <w:rPr>
          <w:rFonts w:ascii="Times New Roman;sans-serif" w:hAnsi="Times New Roman;sans-serif"/>
          <w:b/>
          <w:color w:val="000000"/>
          <w:sz w:val="20"/>
        </w:rPr>
        <w:t>3.  </w:t>
      </w:r>
      <w:r>
        <w:rPr>
          <w:color w:val="000000"/>
        </w:rPr>
        <w:t>   </w:t>
      </w:r>
      <w:r>
        <w:rPr>
          <w:rFonts w:ascii="Times New Roman;sans-serif" w:hAnsi="Times New Roman;sans-serif"/>
          <w:b/>
          <w:color w:val="000000"/>
          <w:sz w:val="20"/>
        </w:rPr>
        <w:t>Return of Confidential Material</w:t>
      </w:r>
      <w:r>
        <w:rPr>
          <w:rFonts w:ascii="Times New Roman;sans-serif" w:hAnsi="Times New Roman;sans-serif"/>
          <w:b w:val="false"/>
          <w:color w:val="000000"/>
          <w:sz w:val="20"/>
        </w:rPr>
        <w:t>. Upon Company’s request or in the event of Employee’s termination of employment with Company for any reason whatsoever, Employee agrees promptly to surrender and deliver to Company all records, materials, equipment, drawings, documents and data of any nature pertaining to any Confidential Information or to his employment, and Employee will not retain or take with him any tangible materials or electronically stored data, containing or pertaining to any Confidential Information that Employee may produce, acquire or obtain access to during the course of his or his employment.</w:t>
      </w:r>
    </w:p>
    <w:p>
      <w:pPr>
        <w:pStyle w:val="TextBody"/>
        <w:spacing w:lineRule="auto" w:line="288" w:before="0" w:after="180"/>
        <w:ind w:left="0" w:right="0" w:firstLine="1080"/>
        <w:rPr/>
      </w:pPr>
      <w:r>
        <w:rPr>
          <w:rFonts w:ascii="Times New Roman;sans-serif" w:hAnsi="Times New Roman;sans-serif"/>
          <w:b/>
          <w:color w:val="000000"/>
          <w:sz w:val="20"/>
        </w:rPr>
        <w:t>4. </w:t>
      </w:r>
      <w:r>
        <w:rPr>
          <w:color w:val="000000"/>
        </w:rPr>
        <w:t>    </w:t>
      </w:r>
      <w:r>
        <w:rPr>
          <w:rFonts w:ascii="Times New Roman;sans-serif" w:hAnsi="Times New Roman;sans-serif"/>
          <w:b/>
          <w:color w:val="000000"/>
          <w:sz w:val="20"/>
        </w:rPr>
        <w:t>Notification of New Employer.</w:t>
      </w:r>
      <w:r>
        <w:rPr>
          <w:color w:val="000000"/>
        </w:rPr>
        <w:t xml:space="preserve"> </w:t>
      </w:r>
      <w:r>
        <w:rPr>
          <w:rFonts w:ascii="Times New Roman;sans-serif" w:hAnsi="Times New Roman;sans-serif"/>
          <w:b w:val="false"/>
          <w:color w:val="000000"/>
          <w:sz w:val="20"/>
        </w:rPr>
        <w:t>If employee leaves the Company’s employ, Employee hereby consents to the Company notifying Employee’s new employer about Employee’s rights and obligations under this Agreement.</w:t>
      </w:r>
    </w:p>
    <w:p>
      <w:pPr>
        <w:pStyle w:val="TextBody"/>
        <w:spacing w:lineRule="auto" w:line="288" w:before="0" w:after="180"/>
        <w:ind w:left="0" w:right="0" w:firstLine="1080"/>
        <w:rPr/>
      </w:pPr>
      <w:r>
        <w:rPr>
          <w:rFonts w:ascii="Times New Roman;sans-serif" w:hAnsi="Times New Roman;sans-serif"/>
          <w:b/>
          <w:color w:val="000000"/>
          <w:sz w:val="20"/>
        </w:rPr>
        <w:t>5.   </w:t>
      </w:r>
      <w:r>
        <w:rPr>
          <w:color w:val="000000"/>
        </w:rPr>
        <w:t>  </w:t>
      </w:r>
      <w:r>
        <w:rPr>
          <w:rFonts w:ascii="Times New Roman;sans-serif" w:hAnsi="Times New Roman;sans-serif"/>
          <w:b/>
          <w:color w:val="000000"/>
          <w:sz w:val="20"/>
        </w:rPr>
        <w:t>Non-Solicitation and Non-Competition.</w:t>
      </w:r>
    </w:p>
    <w:p>
      <w:pPr>
        <w:pStyle w:val="TextBody"/>
        <w:spacing w:lineRule="auto" w:line="288" w:before="0" w:after="180"/>
        <w:ind w:left="0" w:right="0" w:firstLine="108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Restrictions.</w:t>
      </w:r>
      <w:r>
        <w:rPr>
          <w:color w:val="000000"/>
        </w:rPr>
        <w:t>     </w:t>
      </w:r>
      <w:r>
        <w:rPr>
          <w:rFonts w:ascii="Times New Roman;sans-serif" w:hAnsi="Times New Roman;sans-serif"/>
          <w:b w:val="false"/>
          <w:color w:val="000000"/>
          <w:sz w:val="20"/>
        </w:rPr>
        <w:t>Employee agrees that during the period of his employment with the Company and for one (1) year after the date of termination of his employment with the Company (for any reason or no reason, whether voluntary or involuntary), he will not (i) induce, solicit, recruit or encourage (or endeavor to induce, solicit, recruit or encourage) any employee or consultant of the Company to leave the employ of Company, (ii) solicit the business of any client or customer of Company (other than on behalf of Company), (iii) engage in any activity that is in any way competitive with the business or demonstrably anticipated business of Company (iv) carry on or hold an interest in any corporation, venture, entity or other business (other than a minority interest in a publicly traded company) which competes with the products or services of the Company, or (v) assist any other person or organization in competing or in preparing to compete with any business or demonstrably anticipated business of the Company or act as an employee, officer consultant or in any managerial capacity in a business in competition with the Company.</w:t>
      </w:r>
    </w:p>
    <w:p>
      <w:pPr>
        <w:pStyle w:val="TextBody"/>
        <w:spacing w:lineRule="auto" w:line="288" w:before="0" w:after="180"/>
        <w:ind w:left="0" w:right="0" w:firstLine="108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Enforcement.</w:t>
      </w:r>
      <w:r>
        <w:rPr>
          <w:color w:val="000000"/>
        </w:rPr>
        <w:t>   </w:t>
      </w:r>
      <w:r>
        <w:rPr>
          <w:rFonts w:ascii="Times New Roman;sans-serif" w:hAnsi="Times New Roman;sans-serif"/>
          <w:b w:val="false"/>
          <w:color w:val="000000"/>
          <w:sz w:val="20"/>
        </w:rPr>
        <w:t>If at any time any of the provisions of Section 5(a) are deemed invalid or unenforceable or are prohibited by the laws of the state or place where they are to be performed or enforced, by reason of being vague or unreasonable as to duration or geographic scope or scope of activities restricted, or for any other reason, such provisions shall be considered divisible and shall become and be immediately amended to include only such restrictions and to such extent as shall be deemed to be reasonable and enforceable by the court or other body having jurisdiction over this Agreement. The provisions of Section 5(a), as so amended, shall be valid and binding as though any invalid or unenforceable provision had not been included.</w:t>
      </w:r>
    </w:p>
    <w:p>
      <w:pPr>
        <w:pStyle w:val="TextBody"/>
        <w:spacing w:lineRule="auto" w:line="288" w:before="0" w:after="180"/>
        <w:ind w:left="0" w:right="0" w:firstLine="1080"/>
        <w:jc w:val="both"/>
        <w:rPr/>
      </w:pPr>
      <w:r>
        <w:rPr>
          <w:rFonts w:ascii="Times New Roman;sans-serif" w:hAnsi="Times New Roman;sans-serif"/>
          <w:b/>
          <w:color w:val="000000"/>
          <w:sz w:val="20"/>
        </w:rPr>
        <w:t>6.  </w:t>
      </w:r>
      <w:r>
        <w:rPr>
          <w:color w:val="000000"/>
        </w:rPr>
        <w:t>   </w:t>
      </w:r>
      <w:r>
        <w:rPr>
          <w:rFonts w:ascii="Times New Roman;sans-serif" w:hAnsi="Times New Roman;sans-serif"/>
          <w:b/>
          <w:color w:val="000000"/>
          <w:sz w:val="20"/>
        </w:rPr>
        <w:t>Representations</w:t>
      </w:r>
      <w:r>
        <w:rPr>
          <w:rFonts w:ascii="Times New Roman;sans-serif" w:hAnsi="Times New Roman;sans-serif"/>
          <w:b w:val="false"/>
          <w:color w:val="000000"/>
          <w:sz w:val="20"/>
        </w:rPr>
        <w:t>. Employee agrees to execute any proper oath or verify any proper document required to carry out or evidence compliance with the terms of this Agreement. Employee represents that his performance of all the terms of this Agreement, and as an employee of the Company, will not breach any agreement to keep in confidence proprietary information acquired by Employee in confidence or in trust prior to Employee’s retention by Company. Employee has not entered into, and Employee agrees that he will not enter into, any oral or written agreement in conflict herewith.</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256540"/>
                <wp:effectExtent l="0" t="0" r="0" b="0"/>
                <wp:wrapNone/>
                <wp:docPr id="659" name="Frame594"/>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13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13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6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66" descr=""/>
                          <pic:cNvPicPr>
                            <a:picLocks noChangeAspect="1" noChangeArrowheads="1"/>
                          </pic:cNvPicPr>
                        </pic:nvPicPr>
                        <pic:blipFill>
                          <a:blip r:embed="rId93"/>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6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67" descr=""/>
                          <pic:cNvPicPr>
                            <a:picLocks noChangeAspect="1" noChangeArrowheads="1"/>
                          </pic:cNvPicPr>
                        </pic:nvPicPr>
                        <pic:blipFill>
                          <a:blip r:embed="rId94"/>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1080"/>
        <w:jc w:val="both"/>
        <w:rPr/>
      </w:pPr>
      <w:r>
        <w:rPr>
          <w:rFonts w:ascii="Times New Roman;sans-serif" w:hAnsi="Times New Roman;sans-serif"/>
          <w:b/>
          <w:color w:val="000000"/>
          <w:sz w:val="20"/>
        </w:rPr>
        <w:t>7. </w:t>
      </w:r>
      <w:r>
        <w:rPr>
          <w:color w:val="000000"/>
        </w:rPr>
        <w:t>    </w:t>
      </w:r>
      <w:r>
        <w:rPr>
          <w:rFonts w:ascii="Times New Roman;sans-serif" w:hAnsi="Times New Roman;sans-serif"/>
          <w:b/>
          <w:color w:val="000000"/>
          <w:sz w:val="20"/>
        </w:rPr>
        <w:t>Equitable Relief</w:t>
      </w:r>
      <w:r>
        <w:rPr>
          <w:rFonts w:ascii="Times New Roman;sans-serif" w:hAnsi="Times New Roman;sans-serif"/>
          <w:b w:val="false"/>
          <w:color w:val="000000"/>
          <w:sz w:val="20"/>
        </w:rPr>
        <w:t>. Employee agrees that it would be impossible or inadequate to measure and calculate the Company’s damages from and breach of the covenants set forth in this Agreement. Accordingly, Employee agrees that if Employee breaches this Agreement, including without limitation the provisions of Paragraph 5(a), hereunder, the Company will have available, in addition to any other right or remedy available, the right to obtain an injunction from a court of competent jurisdiction restraining such breach or threatened breach and to specific performance of any such provision of this Agreement. Employee further agrees that no bond or other security shall be required in obtaining such equitable relief and Employee hereby consents to such injunction’s issuance and to the ordering of specific performance. In any legal proceeding commenced under this Paragraph 7, the losing party shall pay the prevailing party’s actual attorneys’ fees and expenses incurred in the preparation for, conduct of or appeal or enforcement of judgment from the proceeding. The phrase “prevailing party” shall mean the party who is determined in the proceeding to have prevailed or who prevails by dismissal, default or otherwise.</w:t>
      </w:r>
    </w:p>
    <w:p>
      <w:pPr>
        <w:pStyle w:val="TextBody"/>
        <w:spacing w:lineRule="auto" w:line="288" w:before="0" w:after="180"/>
        <w:ind w:left="0" w:right="0" w:firstLine="1080"/>
        <w:jc w:val="both"/>
        <w:rPr/>
      </w:pPr>
      <w:r>
        <w:rPr>
          <w:rFonts w:ascii="Times New Roman;sans-serif" w:hAnsi="Times New Roman;sans-serif"/>
          <w:b/>
          <w:color w:val="000000"/>
          <w:sz w:val="20"/>
        </w:rPr>
        <w:t>8.   </w:t>
      </w:r>
      <w:r>
        <w:rPr>
          <w:color w:val="000000"/>
        </w:rPr>
        <w:t>  </w:t>
      </w:r>
      <w:r>
        <w:rPr>
          <w:rFonts w:ascii="Times New Roman;sans-serif" w:hAnsi="Times New Roman;sans-serif"/>
          <w:b/>
          <w:color w:val="000000"/>
          <w:sz w:val="20"/>
        </w:rPr>
        <w:t>Governing Law; Consent to Personal Jurisdiction.</w:t>
      </w:r>
      <w:r>
        <w:rPr>
          <w:color w:val="000000"/>
        </w:rPr>
        <w:t xml:space="preserve"> </w:t>
      </w:r>
      <w:r>
        <w:rPr>
          <w:rFonts w:ascii="Times New Roman;sans-serif" w:hAnsi="Times New Roman;sans-serif"/>
          <w:b w:val="false"/>
          <w:color w:val="000000"/>
          <w:sz w:val="20"/>
        </w:rPr>
        <w:t>This Agreement will be governed by the laws of the State of Israel, without regard to the choice of law provisions thereof. Employee hereby expressly consents to the personal jurisdiction of the competent courts located in Tel Aviv-Jafo for any lawsuit arising from or relating to this Agreement.</w:t>
      </w:r>
    </w:p>
    <w:p>
      <w:pPr>
        <w:pStyle w:val="TextBody"/>
        <w:spacing w:lineRule="auto" w:line="288" w:before="0" w:after="180"/>
        <w:ind w:left="0" w:right="0" w:firstLine="1080"/>
        <w:jc w:val="both"/>
        <w:rPr/>
      </w:pPr>
      <w:r>
        <w:rPr>
          <w:rFonts w:ascii="Times New Roman;sans-serif" w:hAnsi="Times New Roman;sans-serif"/>
          <w:b/>
          <w:color w:val="000000"/>
          <w:sz w:val="20"/>
        </w:rPr>
        <w:t>9.  </w:t>
      </w:r>
      <w:r>
        <w:rPr>
          <w:color w:val="000000"/>
        </w:rPr>
        <w:t>   </w:t>
      </w:r>
      <w:r>
        <w:rPr>
          <w:rFonts w:ascii="Times New Roman;sans-serif" w:hAnsi="Times New Roman;sans-serif"/>
          <w:b/>
          <w:color w:val="000000"/>
          <w:sz w:val="20"/>
        </w:rPr>
        <w:t xml:space="preserve">Entire Agreement. </w:t>
      </w:r>
      <w:r>
        <w:rPr>
          <w:rFonts w:ascii="Times New Roman;sans-serif" w:hAnsi="Times New Roman;sans-serif"/>
          <w:b w:val="false"/>
          <w:color w:val="000000"/>
          <w:sz w:val="20"/>
        </w:rPr>
        <w:t xml:space="preserve">This Agreement sets forth the entire agreement and understanding between Company and Employee relating to the subject matter herein and merges all prior discussions and agreements between the parties with respect that subject matter. No modification of or amendment to this Agreement, nor any waiver of any rights under this Agreement, will be effective unless in writing signed by the Company. Any subsequent change or changes in Employee’s duties, salary or compensation will not affect the validity or scope of this Agreement. </w:t>
      </w:r>
    </w:p>
    <w:p>
      <w:pPr>
        <w:pStyle w:val="TextBody"/>
        <w:spacing w:lineRule="auto" w:line="288" w:before="0" w:after="180"/>
        <w:ind w:left="0" w:right="0" w:firstLine="1080"/>
        <w:rPr/>
      </w:pPr>
      <w:r>
        <w:rPr>
          <w:rFonts w:ascii="Times New Roman;sans-serif" w:hAnsi="Times New Roman;sans-serif"/>
          <w:b/>
          <w:color w:val="000000"/>
          <w:sz w:val="20"/>
        </w:rPr>
        <w:t>10.   </w:t>
      </w:r>
      <w:r>
        <w:rPr>
          <w:color w:val="000000"/>
        </w:rPr>
        <w:t>  </w:t>
      </w:r>
      <w:r>
        <w:rPr>
          <w:rFonts w:ascii="Times New Roman;sans-serif" w:hAnsi="Times New Roman;sans-serif"/>
          <w:b/>
          <w:color w:val="000000"/>
          <w:sz w:val="20"/>
        </w:rPr>
        <w:t>Severability</w:t>
      </w:r>
      <w:r>
        <w:rPr>
          <w:rFonts w:ascii="Times New Roman;sans-serif" w:hAnsi="Times New Roman;sans-serif"/>
          <w:b w:val="false"/>
          <w:color w:val="000000"/>
          <w:sz w:val="20"/>
        </w:rPr>
        <w:t>. If one or more of the provisions in this Agreement are deemed void by law, then the remaining provisions will continue in full force and effect.</w:t>
      </w:r>
    </w:p>
    <w:p>
      <w:pPr>
        <w:pStyle w:val="TextBody"/>
        <w:spacing w:lineRule="auto" w:line="288" w:before="0" w:after="180"/>
        <w:ind w:left="0" w:right="0" w:firstLine="1080"/>
        <w:rPr/>
      </w:pPr>
      <w:r>
        <w:rPr>
          <w:rFonts w:ascii="Times New Roman;sans-serif" w:hAnsi="Times New Roman;sans-serif"/>
          <w:b/>
          <w:color w:val="000000"/>
          <w:sz w:val="20"/>
        </w:rPr>
        <w:t>11.  </w:t>
      </w:r>
      <w:r>
        <w:rPr>
          <w:color w:val="000000"/>
        </w:rPr>
        <w:t>   </w:t>
      </w:r>
      <w:r>
        <w:rPr>
          <w:rFonts w:ascii="Times New Roman;sans-serif" w:hAnsi="Times New Roman;sans-serif"/>
          <w:b/>
          <w:color w:val="000000"/>
          <w:sz w:val="20"/>
        </w:rPr>
        <w:t>Successors and Assigns</w:t>
      </w:r>
      <w:r>
        <w:rPr>
          <w:rFonts w:ascii="Times New Roman;sans-serif" w:hAnsi="Times New Roman;sans-serif"/>
          <w:b w:val="false"/>
          <w:color w:val="000000"/>
          <w:sz w:val="20"/>
        </w:rPr>
        <w:t>. This Agreement will be binding upon Employee’s heirs, executors, administrators and other legal representatives and will be for the benefit of Company, its successors, and its assigns.</w:t>
      </w:r>
    </w:p>
    <w:p>
      <w:pPr>
        <w:pStyle w:val="TextBody"/>
        <w:spacing w:lineRule="auto" w:line="288" w:before="0" w:after="180"/>
        <w:ind w:left="0" w:right="0" w:firstLine="1080"/>
        <w:rPr/>
      </w:pPr>
      <w:r>
        <w:rPr>
          <w:rFonts w:ascii="Times New Roman;sans-serif" w:hAnsi="Times New Roman;sans-serif"/>
          <w:b/>
          <w:color w:val="000000"/>
          <w:sz w:val="20"/>
        </w:rPr>
        <w:t>12.</w:t>
      </w:r>
      <w:r>
        <w:rPr>
          <w:color w:val="000000"/>
        </w:rPr>
        <w:t>     </w:t>
      </w:r>
      <w:r>
        <w:rPr>
          <w:rFonts w:ascii="Times New Roman;sans-serif" w:hAnsi="Times New Roman;sans-serif"/>
          <w:b/>
          <w:color w:val="000000"/>
          <w:sz w:val="20"/>
        </w:rPr>
        <w:t>Counterparts</w:t>
      </w:r>
      <w:r>
        <w:rPr>
          <w:rFonts w:ascii="Times New Roman;sans-serif" w:hAnsi="Times New Roman;sans-serif"/>
          <w:b w:val="false"/>
          <w:color w:val="000000"/>
          <w:sz w:val="20"/>
        </w:rPr>
        <w:t>. This Agreement may be signed in two counterparts, each of which shall be deemed an original and both of which shall together constitute one and the same instrument.</w:t>
      </w:r>
    </w:p>
    <w:p>
      <w:pPr>
        <w:pStyle w:val="TextBody"/>
        <w:spacing w:lineRule="auto" w:line="288" w:before="0" w:after="180"/>
        <w:ind w:left="0" w:right="0" w:firstLine="1080"/>
        <w:rPr/>
      </w:pPr>
      <w:r>
        <w:rPr>
          <w:rFonts w:ascii="Times New Roman;sans-serif" w:hAnsi="Times New Roman;sans-serif"/>
          <w:b/>
          <w:color w:val="000000"/>
          <w:sz w:val="20"/>
        </w:rPr>
        <w:t>13.   </w:t>
      </w:r>
      <w:r>
        <w:rPr>
          <w:color w:val="000000"/>
        </w:rPr>
        <w:t>  </w:t>
      </w:r>
      <w:r>
        <w:rPr>
          <w:rFonts w:ascii="Times New Roman;sans-serif" w:hAnsi="Times New Roman;sans-serif"/>
          <w:b/>
          <w:color w:val="000000"/>
          <w:sz w:val="20"/>
        </w:rPr>
        <w:t>No Employment Contract</w:t>
      </w:r>
      <w:r>
        <w:rPr>
          <w:rFonts w:ascii="Times New Roman;sans-serif" w:hAnsi="Times New Roman;sans-serif"/>
          <w:b w:val="false"/>
          <w:color w:val="000000"/>
          <w:sz w:val="20"/>
        </w:rPr>
        <w:t>. Nothing in this Agreement shall be construed to create a contract of employment, either express or implied-in-fact, for any fixed term or requiring cause for termination.</w:t>
      </w:r>
    </w:p>
    <w:p>
      <w:pPr>
        <w:pStyle w:val="TextBody"/>
        <w:spacing w:lineRule="auto" w:line="288" w:before="0" w:after="18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have executed these Employment Terms Agreement effective as of the Effective</w:t>
      </w:r>
    </w:p>
    <w:tbl>
      <w:tblPr>
        <w:tblW w:w="5440" w:type="dxa"/>
        <w:jc w:val="left"/>
        <w:tblInd w:w="0" w:type="dxa"/>
        <w:tblCellMar>
          <w:top w:w="28" w:type="dxa"/>
          <w:left w:w="28" w:type="dxa"/>
          <w:bottom w:w="28" w:type="dxa"/>
          <w:right w:w="28" w:type="dxa"/>
        </w:tblCellMar>
      </w:tblPr>
      <w:tblGrid>
        <w:gridCol w:w="347"/>
        <w:gridCol w:w="306"/>
        <w:gridCol w:w="307"/>
        <w:gridCol w:w="379"/>
        <w:gridCol w:w="379"/>
        <w:gridCol w:w="382"/>
        <w:gridCol w:w="109"/>
        <w:gridCol w:w="109"/>
        <w:gridCol w:w="109"/>
        <w:gridCol w:w="314"/>
        <w:gridCol w:w="314"/>
        <w:gridCol w:w="316"/>
        <w:gridCol w:w="598"/>
        <w:gridCol w:w="598"/>
        <w:gridCol w:w="873"/>
      </w:tblGrid>
      <w:tr>
        <w:trPr/>
        <w:tc>
          <w:tcPr>
            <w:tcW w:w="34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210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KALTURA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Sergei Liakhovetsky</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Sergei Liakhovetsky</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SVP 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256540"/>
                <wp:effectExtent l="0" t="0" r="0" b="0"/>
                <wp:wrapNone/>
                <wp:docPr id="662" name="Frame595"/>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14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14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6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68" descr=""/>
                          <pic:cNvPicPr>
                            <a:picLocks noChangeAspect="1" noChangeArrowheads="1"/>
                          </pic:cNvPicPr>
                        </pic:nvPicPr>
                        <pic:blipFill>
                          <a:blip r:embed="rId95"/>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6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69" descr=""/>
                          <pic:cNvPicPr>
                            <a:picLocks noChangeAspect="1" noChangeArrowheads="1"/>
                          </pic:cNvPicPr>
                        </pic:nvPicPr>
                        <pic:blipFill>
                          <a:blip r:embed="rId96"/>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5" w:after="283"/>
        <w:jc w:val="center"/>
        <w:rPr/>
      </w:pPr>
      <w:r>
        <w:rPr/>
        <w:drawing>
          <wp:inline distT="0" distB="63500" distL="0" distR="0">
            <wp:extent cx="6143625" cy="8239125"/>
            <wp:effectExtent l="0" t="0" r="0" b="0"/>
            <wp:docPr id="66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70" descr=""/>
                    <pic:cNvPicPr>
                      <a:picLocks noChangeAspect="1" noChangeArrowheads="1"/>
                    </pic:cNvPicPr>
                  </pic:nvPicPr>
                  <pic:blipFill>
                    <a:blip r:embed="rId97"/>
                    <a:stretch>
                      <a:fillRect/>
                    </a:stretch>
                  </pic:blipFill>
                  <pic:spPr bwMode="auto">
                    <a:xfrm>
                      <a:off x="0" y="0"/>
                      <a:ext cx="6143625" cy="823912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256540"/>
                <wp:effectExtent l="0" t="0" r="0" b="0"/>
                <wp:wrapNone/>
                <wp:docPr id="666" name="Frame596"/>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15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15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6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71" descr=""/>
                          <pic:cNvPicPr>
                            <a:picLocks noChangeAspect="1" noChangeArrowheads="1"/>
                          </pic:cNvPicPr>
                        </pic:nvPicPr>
                        <pic:blipFill>
                          <a:blip r:embed="rId98"/>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6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72" descr=""/>
                          <pic:cNvPicPr>
                            <a:picLocks noChangeAspect="1" noChangeArrowheads="1"/>
                          </pic:cNvPicPr>
                        </pic:nvPicPr>
                        <pic:blipFill>
                          <a:blip r:embed="rId99"/>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0" w:after="180"/>
        <w:jc w:val="center"/>
        <w:rPr/>
      </w:pPr>
      <w:r>
        <w:rPr>
          <w:rFonts w:ascii="Times New Roman;sans-serif" w:hAnsi="Times New Roman;sans-serif"/>
          <w:b/>
          <w:color w:val="000000"/>
          <w:sz w:val="20"/>
        </w:rPr>
        <w:t xml:space="preserve">Exhibit D - </w:t>
      </w:r>
      <w:r>
        <w:rPr>
          <w:rFonts w:ascii="Times New Roman;sans-serif" w:hAnsi="Times New Roman;sans-serif"/>
          <w:b/>
          <w:color w:val="000000"/>
          <w:sz w:val="20"/>
          <w:u w:val="single"/>
        </w:rPr>
        <w:t>English Summary of Exhibit C</w:t>
      </w:r>
      <w:r>
        <w:rPr>
          <w:rFonts w:ascii="Times New Roman;sans-serif" w:hAnsi="Times New Roman;sans-serif"/>
          <w:b/>
          <w:color w:val="000000"/>
          <w:sz w:val="13"/>
        </w:rPr>
        <w:t>1</w:t>
      </w:r>
    </w:p>
    <w:p>
      <w:pPr>
        <w:pStyle w:val="TextBody"/>
        <w:spacing w:lineRule="auto" w:line="264" w:before="0" w:after="180"/>
        <w:jc w:val="center"/>
        <w:rPr>
          <w:rFonts w:ascii="Times New Roman;sans-serif" w:hAnsi="Times New Roman;sans-serif"/>
          <w:b/>
          <w:color w:val="000000"/>
          <w:sz w:val="20"/>
        </w:rPr>
      </w:pPr>
      <w:r>
        <w:rPr>
          <w:rFonts w:ascii="Times New Roman;sans-serif" w:hAnsi="Times New Roman;sans-serif"/>
          <w:b/>
          <w:color w:val="000000"/>
          <w:sz w:val="20"/>
        </w:rPr>
        <w:t>GENERAL APPROVAL REGARDING PAYMENTS BY EMPLOYERS TO A PENSION FUND AND INSURANCE FUND IN LIEU OF SEVERANCE PAY</w:t>
      </w:r>
    </w:p>
    <w:p>
      <w:pPr>
        <w:pStyle w:val="TextBody"/>
        <w:spacing w:lineRule="auto" w:line="264" w:before="0" w:after="120"/>
        <w:jc w:val="both"/>
        <w:rPr/>
      </w:pPr>
      <w:r>
        <w:rPr>
          <w:rFonts w:ascii="Times New Roman;sans-serif" w:hAnsi="Times New Roman;sans-serif"/>
          <w:b w:val="false"/>
          <w:color w:val="000000"/>
          <w:sz w:val="20"/>
        </w:rPr>
        <w:t>By virtue of my power under section 14 of the Severance Pay Law, 1963 (hereafter: the “</w:t>
      </w:r>
      <w:r>
        <w:rPr>
          <w:rFonts w:ascii="Times New Roman;sans-serif" w:hAnsi="Times New Roman;sans-serif"/>
          <w:b/>
          <w:color w:val="000000"/>
          <w:sz w:val="20"/>
        </w:rPr>
        <w:t>Law</w:t>
      </w:r>
      <w:r>
        <w:rPr>
          <w:color w:val="000000"/>
        </w:rPr>
        <w:t>”</w:t>
      </w:r>
      <w:r>
        <w:rPr>
          <w:rFonts w:ascii="Times New Roman;sans-serif" w:hAnsi="Times New Roman;sans-serif"/>
          <w:b w:val="false"/>
          <w:color w:val="000000"/>
          <w:sz w:val="20"/>
        </w:rPr>
        <w:t>), I certify that payments made by an employer commencing from the date of the publication of this approval on behalf of his employees to a comprehensive pension benefit fund that is not an insurance fund within the meaning thereof in the Income Tax (Rules for the Approval and Conduct of Benefit Funds) Regulations, 1964 (hereinafter: the “</w:t>
      </w:r>
      <w:r>
        <w:rPr>
          <w:rFonts w:ascii="Times New Roman;sans-serif" w:hAnsi="Times New Roman;sans-serif"/>
          <w:b/>
          <w:color w:val="000000"/>
          <w:sz w:val="20"/>
        </w:rPr>
        <w:t>Pension Fund</w:t>
      </w:r>
      <w:r>
        <w:rPr>
          <w:color w:val="000000"/>
        </w:rPr>
        <w:t>”</w:t>
      </w:r>
      <w:r>
        <w:rPr>
          <w:rFonts w:ascii="Times New Roman;sans-serif" w:hAnsi="Times New Roman;sans-serif"/>
          <w:b w:val="false"/>
          <w:color w:val="000000"/>
          <w:sz w:val="20"/>
        </w:rPr>
        <w:t>) or to managers insurance including the possibility of an insurance pension fund or a combination of payments to an annuity fund and to a non-annuity fund (hereinafter: the “</w:t>
      </w:r>
      <w:r>
        <w:rPr>
          <w:rFonts w:ascii="Times New Roman;sans-serif" w:hAnsi="Times New Roman;sans-serif"/>
          <w:b/>
          <w:color w:val="000000"/>
          <w:sz w:val="20"/>
        </w:rPr>
        <w:t>Insurance Fund</w:t>
      </w:r>
      <w:r>
        <w:rPr>
          <w:color w:val="000000"/>
        </w:rPr>
        <w:t>”</w:t>
      </w:r>
      <w:r>
        <w:rPr>
          <w:rFonts w:ascii="Times New Roman;sans-serif" w:hAnsi="Times New Roman;sans-serif"/>
          <w:b w:val="false"/>
          <w:color w:val="000000"/>
          <w:sz w:val="20"/>
        </w:rPr>
        <w:t>), including payments made by him by a combination of payments to a Pension Fund and an Insurance Fund, whether or not the Insurance Fund has an annuity fund (hereinafter the “</w:t>
      </w:r>
      <w:r>
        <w:rPr>
          <w:rFonts w:ascii="Times New Roman;sans-serif" w:hAnsi="Times New Roman;sans-serif"/>
          <w:b/>
          <w:color w:val="000000"/>
          <w:sz w:val="20"/>
        </w:rPr>
        <w:t>Employer’s Payments</w:t>
      </w:r>
      <w:r>
        <w:rPr>
          <w:color w:val="000000"/>
        </w:rPr>
        <w:t>”</w:t>
      </w:r>
      <w:r>
        <w:rPr>
          <w:rFonts w:ascii="Times New Roman;sans-serif" w:hAnsi="Times New Roman;sans-serif"/>
          <w:b w:val="false"/>
          <w:color w:val="000000"/>
          <w:sz w:val="20"/>
        </w:rPr>
        <w:t>), shall be made in lieu of the severance pay due to the said employee in respect of the salary from which the said payments were made and for the period they were paid (hereinafter: the “</w:t>
      </w:r>
      <w:r>
        <w:rPr>
          <w:rFonts w:ascii="Times New Roman;sans-serif" w:hAnsi="Times New Roman;sans-serif"/>
          <w:b/>
          <w:color w:val="000000"/>
          <w:sz w:val="20"/>
        </w:rPr>
        <w:t>Exempt Salary</w:t>
      </w:r>
      <w:r>
        <w:rPr>
          <w:color w:val="000000"/>
        </w:rPr>
        <w:t>”</w:t>
      </w:r>
      <w:r>
        <w:rPr>
          <w:rFonts w:ascii="Times New Roman;sans-serif" w:hAnsi="Times New Roman;sans-serif"/>
          <w:b w:val="false"/>
          <w:color w:val="000000"/>
          <w:sz w:val="20"/>
        </w:rPr>
        <w:t>), provided that all the following conditions are fulfilled:</w:t>
      </w:r>
    </w:p>
    <w:p>
      <w:pPr>
        <w:pStyle w:val="TextBody"/>
        <w:spacing w:lineRule="auto" w:line="264"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     The Employer’s Payments -</w:t>
      </w:r>
    </w:p>
    <w:p>
      <w:pPr>
        <w:pStyle w:val="TextBody"/>
        <w:spacing w:lineRule="auto" w:line="264" w:before="0" w:after="120"/>
        <w:jc w:val="both"/>
        <w:rPr/>
      </w:pPr>
      <w:r>
        <w:rPr>
          <w:rFonts w:ascii="Times New Roman;sans-serif" w:hAnsi="Times New Roman;sans-serif"/>
          <w:b w:val="false"/>
          <w:color w:val="000000"/>
          <w:sz w:val="20"/>
        </w:rPr>
        <w:t>1.1.     To the Pension Fund are not less than 14</w:t>
      </w:r>
      <w:r>
        <w:rPr>
          <w:rFonts w:ascii="Times New Roman;sans-serif" w:hAnsi="Times New Roman;sans-serif"/>
          <w:b w:val="false"/>
          <w:color w:val="000000"/>
          <w:sz w:val="12"/>
        </w:rPr>
        <w:t>1</w:t>
      </w:r>
      <w:r>
        <w:rPr>
          <w:rFonts w:ascii="Times New Roman;sans-serif" w:hAnsi="Times New Roman;sans-serif"/>
          <w:b w:val="false"/>
          <w:color w:val="000000"/>
          <w:sz w:val="20"/>
        </w:rPr>
        <w:t>/</w:t>
      </w:r>
      <w:r>
        <w:rPr>
          <w:rFonts w:ascii="Times New Roman;sans-serif" w:hAnsi="Times New Roman;sans-serif"/>
          <w:b w:val="false"/>
          <w:color w:val="000000"/>
          <w:sz w:val="12"/>
        </w:rPr>
        <w:t>3</w:t>
      </w:r>
      <w:r>
        <w:rPr>
          <w:rFonts w:ascii="Times New Roman;sans-serif" w:hAnsi="Times New Roman;sans-serif"/>
          <w:b w:val="false"/>
          <w:color w:val="000000"/>
          <w:sz w:val="20"/>
        </w:rPr>
        <w:t>% of the Exempt Salary or 12% of the Exempt Salary if the employer pays for his employee in addition thereto additional payments to supplement severance pay to a benefit fund for severance pay or to an Insurance Fund in the employee’s name in an amount of 2</w:t>
      </w:r>
      <w:r>
        <w:rPr>
          <w:rFonts w:ascii="Times New Roman;sans-serif" w:hAnsi="Times New Roman;sans-serif"/>
          <w:b w:val="false"/>
          <w:color w:val="000000"/>
          <w:sz w:val="12"/>
        </w:rPr>
        <w:t>1</w:t>
      </w:r>
      <w:r>
        <w:rPr>
          <w:rFonts w:ascii="Times New Roman;sans-serif" w:hAnsi="Times New Roman;sans-serif"/>
          <w:b w:val="false"/>
          <w:color w:val="000000"/>
          <w:sz w:val="20"/>
        </w:rPr>
        <w:t>/</w:t>
      </w:r>
      <w:r>
        <w:rPr>
          <w:rFonts w:ascii="Times New Roman;sans-serif" w:hAnsi="Times New Roman;sans-serif"/>
          <w:b w:val="false"/>
          <w:color w:val="000000"/>
          <w:sz w:val="12"/>
        </w:rPr>
        <w:t>3</w:t>
      </w:r>
      <w:r>
        <w:rPr>
          <w:rFonts w:ascii="Times New Roman;sans-serif" w:hAnsi="Times New Roman;sans-serif"/>
          <w:b w:val="false"/>
          <w:color w:val="000000"/>
          <w:sz w:val="20"/>
        </w:rPr>
        <w:t>% of the Exempt Salary. In the event that the employer has not paid an addition to the said 12%, his payments shall be only in lieu of 72% of the employee's severance pay;</w:t>
      </w:r>
    </w:p>
    <w:p>
      <w:pPr>
        <w:pStyle w:val="TextBody"/>
        <w:spacing w:lineRule="auto" w:line="264" w:before="0" w:after="120"/>
        <w:rPr>
          <w:rFonts w:ascii="Times New Roman;sans-serif" w:hAnsi="Times New Roman;sans-serif"/>
          <w:b w:val="false"/>
          <w:color w:val="000000"/>
          <w:sz w:val="20"/>
        </w:rPr>
      </w:pPr>
      <w:r>
        <w:rPr>
          <w:rFonts w:ascii="Times New Roman;sans-serif" w:hAnsi="Times New Roman;sans-serif"/>
          <w:b w:val="false"/>
          <w:color w:val="000000"/>
          <w:sz w:val="20"/>
        </w:rPr>
        <w:t>1.2.      To the Insurance Fund are not less than one of the following:</w:t>
      </w:r>
    </w:p>
    <w:p>
      <w:pPr>
        <w:pStyle w:val="TextBody"/>
        <w:spacing w:lineRule="auto" w:line="264" w:before="0" w:after="120"/>
        <w:ind w:left="0" w:right="0" w:hanging="720"/>
        <w:jc w:val="both"/>
        <w:rPr/>
      </w:pPr>
      <w:r>
        <w:rPr>
          <w:rFonts w:ascii="Times New Roman;sans-serif" w:hAnsi="Times New Roman;sans-serif"/>
          <w:b w:val="false"/>
          <w:color w:val="000000"/>
          <w:sz w:val="20"/>
        </w:rPr>
        <w:t>1.2.1.   13</w:t>
      </w:r>
      <w:r>
        <w:rPr>
          <w:rFonts w:ascii="Times New Roman;sans-serif" w:hAnsi="Times New Roman;sans-serif"/>
          <w:b w:val="false"/>
          <w:color w:val="000000"/>
          <w:sz w:val="12"/>
        </w:rPr>
        <w:t>1</w:t>
      </w:r>
      <w:r>
        <w:rPr>
          <w:rFonts w:ascii="Times New Roman;sans-serif" w:hAnsi="Times New Roman;sans-serif"/>
          <w:b w:val="false"/>
          <w:color w:val="000000"/>
          <w:sz w:val="20"/>
        </w:rPr>
        <w:t>/</w:t>
      </w:r>
      <w:r>
        <w:rPr>
          <w:rFonts w:ascii="Times New Roman;sans-serif" w:hAnsi="Times New Roman;sans-serif"/>
          <w:b w:val="false"/>
          <w:color w:val="000000"/>
          <w:sz w:val="12"/>
        </w:rPr>
        <w:t>3</w:t>
      </w:r>
      <w:r>
        <w:rPr>
          <w:rFonts w:ascii="Times New Roman;sans-serif" w:hAnsi="Times New Roman;sans-serif"/>
          <w:b w:val="false"/>
          <w:color w:val="000000"/>
          <w:sz w:val="20"/>
        </w:rPr>
        <w:t>% of the Exempt Salary, if the employer pays for his employee in addition thereto also payments to secure monthly income in the event of disability, in a plan approved by the Commissioner of the Capital Market, Insurance and Savings Department of the Ministry of Finance, in an amount required to secure at least 75% of the Exempt Salary or in an amount of 2</w:t>
      </w:r>
      <w:r>
        <w:rPr>
          <w:rFonts w:ascii="Times New Roman;sans-serif" w:hAnsi="Times New Roman;sans-serif"/>
          <w:b w:val="false"/>
          <w:color w:val="000000"/>
          <w:sz w:val="12"/>
        </w:rPr>
        <w:t>1</w:t>
      </w:r>
      <w:r>
        <w:rPr>
          <w:rFonts w:ascii="Times New Roman;sans-serif" w:hAnsi="Times New Roman;sans-serif"/>
          <w:b w:val="false"/>
          <w:color w:val="000000"/>
          <w:sz w:val="20"/>
        </w:rPr>
        <w:t>/</w:t>
      </w:r>
      <w:r>
        <w:rPr>
          <w:rFonts w:ascii="Times New Roman;sans-serif" w:hAnsi="Times New Roman;sans-serif"/>
          <w:b w:val="false"/>
          <w:color w:val="000000"/>
          <w:sz w:val="12"/>
        </w:rPr>
        <w:t>2</w:t>
      </w:r>
      <w:r>
        <w:rPr>
          <w:rFonts w:ascii="Times New Roman;sans-serif" w:hAnsi="Times New Roman;sans-serif"/>
          <w:b w:val="false"/>
          <w:color w:val="000000"/>
          <w:sz w:val="20"/>
        </w:rPr>
        <w:t>% of the Exempt Salary, the lower of the two (hereafter: “</w:t>
      </w:r>
      <w:r>
        <w:rPr>
          <w:rFonts w:ascii="Times New Roman;sans-serif" w:hAnsi="Times New Roman;sans-serif"/>
          <w:b/>
          <w:color w:val="000000"/>
          <w:sz w:val="20"/>
        </w:rPr>
        <w:t>Disability Insurance</w:t>
      </w:r>
      <w:r>
        <w:rPr>
          <w:color w:val="000000"/>
        </w:rPr>
        <w:t>”</w:t>
      </w:r>
      <w:r>
        <w:rPr>
          <w:rFonts w:ascii="Times New Roman;sans-serif" w:hAnsi="Times New Roman;sans-serif"/>
          <w:b w:val="false"/>
          <w:color w:val="000000"/>
          <w:sz w:val="20"/>
        </w:rPr>
        <w:t>) or</w:t>
      </w:r>
    </w:p>
    <w:p>
      <w:pPr>
        <w:pStyle w:val="TextBody"/>
        <w:spacing w:lineRule="auto" w:line="264" w:before="0" w:after="120"/>
        <w:ind w:left="0" w:right="0" w:hanging="720"/>
        <w:jc w:val="both"/>
        <w:rPr/>
      </w:pPr>
      <w:r>
        <w:rPr>
          <w:rFonts w:ascii="Times New Roman;sans-serif" w:hAnsi="Times New Roman;sans-serif"/>
          <w:b w:val="false"/>
          <w:color w:val="000000"/>
          <w:sz w:val="20"/>
        </w:rPr>
        <w:t>1.2.2.     11% of the Exempt Salary, if the employer paid, in addition, a payment to the Disability Insurance, and in such case the Employer’s Payments shall only replace 72% of the Employee’s severance pay; In the event that the employer has paid, in addition to the foregoing payments to supplement severance pay, to a benefit fund for severance pay or to an Insurance Fund in the employee’s name in an amount of 2</w:t>
      </w:r>
      <w:r>
        <w:rPr>
          <w:rFonts w:ascii="Times New Roman;sans-serif" w:hAnsi="Times New Roman;sans-serif"/>
          <w:b w:val="false"/>
          <w:color w:val="000000"/>
          <w:sz w:val="12"/>
        </w:rPr>
        <w:t>1</w:t>
      </w:r>
      <w:r>
        <w:rPr>
          <w:rFonts w:ascii="Times New Roman;sans-serif" w:hAnsi="Times New Roman;sans-serif"/>
          <w:b w:val="false"/>
          <w:color w:val="000000"/>
          <w:sz w:val="20"/>
        </w:rPr>
        <w:t>/</w:t>
      </w:r>
      <w:r>
        <w:rPr>
          <w:rFonts w:ascii="Times New Roman;sans-serif" w:hAnsi="Times New Roman;sans-serif"/>
          <w:b w:val="false"/>
          <w:color w:val="000000"/>
          <w:sz w:val="12"/>
        </w:rPr>
        <w:t>3</w:t>
      </w:r>
      <w:r>
        <w:rPr>
          <w:rFonts w:ascii="Times New Roman;sans-serif" w:hAnsi="Times New Roman;sans-serif"/>
          <w:b w:val="false"/>
          <w:color w:val="000000"/>
          <w:sz w:val="20"/>
        </w:rPr>
        <w:t>% of the Exempt Salary, the Employer’s Payments shall replace 100% of the employee’s severance pay.</w:t>
      </w:r>
    </w:p>
    <w:p>
      <w:pPr>
        <w:pStyle w:val="TextBody"/>
        <w:spacing w:lineRule="auto" w:line="264"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No later than three months from the commencement of the Employer’s Payments, a written agreement is executed between the employer and the employee in which:</w:t>
      </w:r>
    </w:p>
    <w:p>
      <w:pPr>
        <w:pStyle w:val="TextBody"/>
        <w:spacing w:lineRule="auto" w:line="264"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2.1. The employee has agreed to the arrangement pursuant to this approval in a text specifying the Employer’s Payments, the Pension Fund and Insurance Fund, as the case may be; the said agreement shall also include the text of this approval; and</w:t>
      </w:r>
    </w:p>
    <w:p>
      <w:pPr>
        <w:pStyle w:val="TextBody"/>
        <w:spacing w:lineRule="auto" w:line="264" w:before="0" w:after="120"/>
        <w:ind w:left="0" w:right="0" w:hanging="360"/>
        <w:jc w:val="both"/>
        <w:rPr/>
      </w:pPr>
      <w:r>
        <w:rPr>
          <w:rFonts w:ascii="Times New Roman;sans-serif" w:hAnsi="Times New Roman;sans-serif"/>
          <w:b w:val="false"/>
          <w:color w:val="000000"/>
          <w:sz w:val="20"/>
        </w:rPr>
        <w:t xml:space="preserve">2.2. The employer waives in advance any right, which he may have to a refund of monies from his payments, unless the employee’s right to severance pay has been revoked by a judgment by virtue of Section 16 and 17 of the Law, and to the extent so revoked and/or the employee has withdrawn monies from the Pension Fund or Insurance Fund other than by reason of an entitling event; in such regard “Entitling Event” means </w:t>
      </w:r>
      <w:r>
        <w:rPr/>
        <w:drawing>
          <wp:inline distT="0" distB="63500" distL="0" distR="0">
            <wp:extent cx="14605" cy="14605"/>
            <wp:effectExtent l="0" t="0" r="0" b="0"/>
            <wp:docPr id="66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73" descr=""/>
                    <pic:cNvPicPr>
                      <a:picLocks noChangeAspect="1" noChangeArrowheads="1"/>
                    </pic:cNvPicPr>
                  </pic:nvPicPr>
                  <pic:blipFill>
                    <a:blip r:embed="rId100"/>
                    <a:stretch>
                      <a:fillRect/>
                    </a:stretch>
                  </pic:blipFill>
                  <pic:spPr bwMode="auto">
                    <a:xfrm>
                      <a:off x="0" y="0"/>
                      <a:ext cx="14605" cy="14605"/>
                    </a:xfrm>
                    <a:prstGeom prst="rect">
                      <a:avLst/>
                    </a:prstGeom>
                  </pic:spPr>
                </pic:pic>
              </a:graphicData>
            </a:graphic>
          </wp:inline>
        </w:drawing>
      </w:r>
      <w:r>
        <w:rPr/>
        <w:drawing>
          <wp:inline distT="0" distB="63500" distL="0" distR="0">
            <wp:extent cx="14605" cy="14605"/>
            <wp:effectExtent l="0" t="0" r="0" b="0"/>
            <wp:docPr id="67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74" descr=""/>
                    <pic:cNvPicPr>
                      <a:picLocks noChangeAspect="1" noChangeArrowheads="1"/>
                    </pic:cNvPicPr>
                  </pic:nvPicPr>
                  <pic:blipFill>
                    <a:blip r:embed="rId101"/>
                    <a:stretch>
                      <a:fillRect/>
                    </a:stretch>
                  </pic:blipFill>
                  <pic:spPr bwMode="auto">
                    <a:xfrm>
                      <a:off x="0" y="0"/>
                      <a:ext cx="14605" cy="14605"/>
                    </a:xfrm>
                    <a:prstGeom prst="rect">
                      <a:avLst/>
                    </a:prstGeom>
                  </pic:spPr>
                </pic:pic>
              </a:graphicData>
            </a:graphic>
          </wp:inline>
        </w:drawing>
      </w:r>
      <w:r>
        <w:rPr>
          <w:rFonts w:ascii="Times New Roman;sans-serif" w:hAnsi="Times New Roman;sans-serif"/>
          <w:b w:val="false"/>
          <w:color w:val="000000"/>
          <w:sz w:val="20"/>
        </w:rPr>
        <w:t>death, disability or retirement after the age of 60.</w:t>
      </w:r>
    </w:p>
    <w:p>
      <w:pPr>
        <w:pStyle w:val="TextBody"/>
        <w:spacing w:lineRule="auto" w:line="264"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This approval is not such as to derogate from the employee’s right to severance pay pursuant to any law, collective agreement, extension order or employment agreement, in respect of salary over and above the Exempt Salary.</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0" w:after="0"/>
        <w:rPr/>
      </w:pPr>
      <w:r>
        <w:rPr>
          <w:rFonts w:ascii="Times New Roman;sans-serif" w:hAnsi="Times New Roman;sans-serif"/>
          <w:b w:val="false"/>
          <w:color w:val="000000"/>
          <w:sz w:val="16"/>
        </w:rPr>
        <w:t>1         </w:t>
      </w:r>
      <w:r>
        <w:rPr>
          <w:rFonts w:ascii="Times New Roman;sans-serif" w:hAnsi="Times New Roman;sans-serif"/>
          <w:b w:val="false"/>
          <w:color w:val="000000"/>
          <w:sz w:val="20"/>
        </w:rPr>
        <w:t>This is not an official translation of Exhibit C and should not be relied upon for its accuracy. In any event, Exhibit C prevails.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256540"/>
                <wp:effectExtent l="0" t="0" r="0" b="0"/>
                <wp:wrapNone/>
                <wp:docPr id="671" name="Frame597"/>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16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16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7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75" descr=""/>
                          <pic:cNvPicPr>
                            <a:picLocks noChangeAspect="1" noChangeArrowheads="1"/>
                          </pic:cNvPicPr>
                        </pic:nvPicPr>
                        <pic:blipFill>
                          <a:blip r:embed="rId102"/>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7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76" descr=""/>
                          <pic:cNvPicPr>
                            <a:picLocks noChangeAspect="1" noChangeArrowheads="1"/>
                          </pic:cNvPicPr>
                        </pic:nvPicPr>
                        <pic:blipFill>
                          <a:blip r:embed="rId103"/>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E</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COMPANY COMPUTER POLICY CONSENT</w:t>
      </w:r>
    </w:p>
    <w:p>
      <w:pPr>
        <w:pStyle w:val="TextBody"/>
        <w:spacing w:lineRule="auto" w:line="288" w:before="0" w:after="180"/>
        <w:rPr/>
      </w:pPr>
      <w:r>
        <w:rPr>
          <w:rFonts w:ascii="Times New Roman;sans-serif" w:hAnsi="Times New Roman;sans-serif"/>
          <w:b w:val="false"/>
          <w:color w:val="000000"/>
          <w:sz w:val="20"/>
        </w:rPr>
        <w:t>Kaltura Ltd.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 policy regarding the use of the Company’s computer systems (the “</w:t>
      </w:r>
      <w:r>
        <w:rPr>
          <w:rFonts w:ascii="Times New Roman;sans-serif" w:hAnsi="Times New Roman;sans-serif"/>
          <w:b/>
          <w:i/>
          <w:color w:val="000000"/>
          <w:sz w:val="20"/>
        </w:rPr>
        <w:t>Company’s Computer Policy</w:t>
      </w:r>
      <w:r>
        <w:rPr>
          <w:color w:val="000000"/>
        </w:rPr>
        <w:t>”</w:t>
      </w:r>
      <w:r>
        <w:rPr>
          <w:rFonts w:ascii="Times New Roman;sans-serif" w:hAnsi="Times New Roman;sans-serif"/>
          <w:b w:val="false"/>
          <w:color w:val="000000"/>
          <w:sz w:val="20"/>
        </w:rPr>
        <w:t>), as follows:</w:t>
      </w:r>
    </w:p>
    <w:p>
      <w:pPr>
        <w:pStyle w:val="TextBody"/>
        <w:spacing w:lineRule="auto" w:line="288" w:before="0" w:after="1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Company has provided you, for the purpose of the performance of your duties, various types of computer related devices, including a computer, hardware, software, Company e-mail account, phone etc. (the “</w:t>
      </w:r>
      <w:r>
        <w:rPr>
          <w:rFonts w:ascii="Times New Roman;sans-serif" w:hAnsi="Times New Roman;sans-serif"/>
          <w:b/>
          <w:i/>
          <w:color w:val="000000"/>
          <w:sz w:val="20"/>
        </w:rPr>
        <w:t>Computer Devices</w:t>
      </w:r>
      <w:r>
        <w:rPr>
          <w:color w:val="000000"/>
        </w:rPr>
        <w:t>”</w:t>
      </w:r>
      <w:r>
        <w:rPr>
          <w:rFonts w:ascii="Times New Roman;sans-serif" w:hAnsi="Times New Roman;sans-serif"/>
          <w:b w:val="false"/>
          <w:color w:val="000000"/>
          <w:sz w:val="20"/>
        </w:rPr>
        <w:t>). The Computer Devices are the exclusive property of the Company and in order to protect the Computer Devices, you are hereby required to adhere to the following instructions:</w:t>
      </w:r>
    </w:p>
    <w:p>
      <w:pPr>
        <w:pStyle w:val="TextBody"/>
        <w:spacing w:lineRule="auto" w:line="288" w:before="0" w:after="18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Hardware- it is prohibited to install hardware on, and/or to, Computer Devices without the prior authorization of your manager or the Company’s computer systems team. In this regard, it is prohibited to connect to a Computer Device an external hard drive, disk on key (also known as memory stick and/or flash memory), camera, cell phone or any other type of hardware without the prior authorization of your manager or the Company’s computer systems team.</w:t>
      </w:r>
    </w:p>
    <w:p>
      <w:pPr>
        <w:pStyle w:val="TextBody"/>
        <w:spacing w:lineRule="auto" w:line="288" w:before="0" w:after="18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rPr>
        <w:t>Software- it is prohibited to install software on Computer Devices without the prior authorization of your manager or the Company’s computer systems team. In this regard, it is prohibited to install software which enables processing of photos, games, chat programs, toolbars or any other type of software.</w:t>
      </w:r>
    </w:p>
    <w:p>
      <w:pPr>
        <w:pStyle w:val="TextBody"/>
        <w:spacing w:lineRule="auto" w:line="288" w:before="0" w:after="18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rPr>
        <w:t>Files- it is prohibited to save on Computer Devices any files, photos or videos that are not related to the Company; unless, all such files, photos or videos shall be saved under one folder labeled as “Private” located at the root directory of the computer. The attention of the Employee’s attention is particularly drawn to potential issues of intellectual property rights that may arise from such saving of files.</w:t>
      </w:r>
    </w:p>
    <w:p>
      <w:pPr>
        <w:pStyle w:val="TextBody"/>
        <w:spacing w:lineRule="auto" w:line="288" w:before="0" w:after="18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rPr>
        <w:t>If any of the above instructions is not clear or if you have a question regarding the use of Computer Devices, please contact your manager or Company’s computer systems team.</w:t>
      </w:r>
    </w:p>
    <w:p>
      <w:pPr>
        <w:pStyle w:val="TextBody"/>
        <w:spacing w:lineRule="auto" w:line="288" w:before="0" w:after="1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Notwithstanding the above, the Company is aware that you may be required to make use of Computer Devices for your own private needs. Such private use of the Computer Devices is allowed subject to the following instructions:</w:t>
      </w:r>
    </w:p>
    <w:p>
      <w:pPr>
        <w:pStyle w:val="TextBody"/>
        <w:spacing w:lineRule="auto" w:line="288" w:before="0" w:after="180"/>
        <w:ind w:left="0" w:right="0" w:firstLine="72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rPr>
        <w:t>The Company's e-mail account which was assigned to you is provided to you only for the purpose of work-related use. You are not allowed to use the Company’s e-mail account, which was assigned to you, for private purposes which are not related to the Company’s activities, such prohibited private use of your e-mail account includes correspondence with friends and family.</w:t>
      </w:r>
    </w:p>
    <w:p>
      <w:pPr>
        <w:pStyle w:val="TextBody"/>
        <w:spacing w:lineRule="auto" w:line="288" w:before="0" w:after="180"/>
        <w:ind w:left="0" w:right="0" w:firstLine="72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rPr>
        <w:t>In the event you wish to send private e-mails during work hours and/or while at Company’s offices, you can do so through your private external web-based e-mail account (Gmail, Hotmail etc.). As said, it is prohibited to save to Computer Devices any files received by you through your external web-based e-mail account.</w:t>
      </w:r>
    </w:p>
    <w:p>
      <w:pPr>
        <w:pStyle w:val="TextBody"/>
        <w:spacing w:lineRule="auto" w:line="288" w:before="0" w:after="180"/>
        <w:ind w:left="0" w:right="0" w:firstLine="720"/>
        <w:jc w:val="both"/>
        <w:rPr/>
      </w:pPr>
      <w:r>
        <w:rPr>
          <w:rFonts w:ascii="Times New Roman;sans-serif" w:hAnsi="Times New Roman;sans-serif"/>
          <w:b w:val="false"/>
          <w:color w:val="000000"/>
          <w:sz w:val="20"/>
        </w:rPr>
        <w:t>2.3</w:t>
      </w:r>
      <w:r>
        <w:rPr>
          <w:rFonts w:ascii="Times New Roman;sans-serif" w:hAnsi="Times New Roman;sans-serif"/>
          <w:b w:val="false"/>
          <w:color w:val="000000"/>
          <w:sz w:val="20"/>
        </w:rPr>
        <w:t>You may access the internet for your own private use provided that such access is done for a reasonable period of time, without such access having a negative effect on your performance, in accordance with the Company’s Computers Policy.</w:t>
      </w:r>
    </w:p>
    <w:p>
      <w:pPr>
        <w:pStyle w:val="TextBody"/>
        <w:spacing w:lineRule="auto" w:line="288" w:before="0" w:after="1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In order to maintain the security of the Computer Devices and the protection of the Company’s legitimate interests, the Company is using various monitoring technologies, as well as blocking technologies, in the scope detailed in the Computer Policy. These technologies enable the Company to monitor and review content and information which is present on Computer Devices or exchanged through Computer Devices, including through the Company’s e-mail account assigned to Company’s employees.</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480175" cy="256540"/>
                <wp:effectExtent l="0" t="0" r="0" b="0"/>
                <wp:wrapNone/>
                <wp:docPr id="674" name="Frame598"/>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17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17 of 18</w:t>
                      </w:r>
                    </w:p>
                  </w:txbxContent>
                </v:textbox>
              </v:rect>
            </w:pict>
          </mc:Fallback>
        </mc:AlternateContent>
      </w:r>
    </w:p>
    <w:tbl>
      <w:tblPr>
        <w:tblW w:w="2078" w:type="dxa"/>
        <w:jc w:val="right"/>
        <w:tblInd w:w="0" w:type="dxa"/>
        <w:tblCellMar>
          <w:top w:w="28" w:type="dxa"/>
          <w:left w:w="28" w:type="dxa"/>
          <w:bottom w:w="28" w:type="dxa"/>
          <w:right w:w="28" w:type="dxa"/>
        </w:tblCellMar>
      </w:tblPr>
      <w:tblGrid>
        <w:gridCol w:w="617"/>
        <w:gridCol w:w="542"/>
        <w:gridCol w:w="547"/>
        <w:gridCol w:w="109"/>
        <w:gridCol w:w="109"/>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14375" cy="657225"/>
                  <wp:effectExtent l="0" t="0" r="0" b="0"/>
                  <wp:docPr id="67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77" descr=""/>
                          <pic:cNvPicPr>
                            <a:picLocks noChangeAspect="1" noChangeArrowheads="1"/>
                          </pic:cNvPicPr>
                        </pic:nvPicPr>
                        <pic:blipFill>
                          <a:blip r:embed="rId104"/>
                          <a:stretch>
                            <a:fillRect/>
                          </a:stretch>
                        </pic:blipFill>
                        <pic:spPr bwMode="auto">
                          <a:xfrm>
                            <a:off x="0" y="0"/>
                            <a:ext cx="714375" cy="65722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19175" cy="190500"/>
                  <wp:effectExtent l="0" t="0" r="0" b="0"/>
                  <wp:docPr id="67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78" descr=""/>
                          <pic:cNvPicPr>
                            <a:picLocks noChangeAspect="1" noChangeArrowheads="1"/>
                          </pic:cNvPicPr>
                        </pic:nvPicPr>
                        <pic:blipFill>
                          <a:blip r:embed="rId105"/>
                          <a:stretch>
                            <a:fillRect/>
                          </a:stretch>
                        </pic:blipFill>
                        <pic:spPr bwMode="auto">
                          <a:xfrm>
                            <a:off x="0" y="0"/>
                            <a:ext cx="1019175" cy="19050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Said monitoring is not intended to infringe your privacy, and as a general rule the Company is not interested in reviewing correspondence which is exchanged through the Company’s e-mail account assigned to you. However, the Company may review professional correspondence and will act within the boundaries of applicable law, and when circumstances so require, necessitate and obligate, in order to protect the Company’s legitimate interests.</w:t>
      </w:r>
    </w:p>
    <w:p>
      <w:pPr>
        <w:pStyle w:val="TextBody"/>
        <w:spacing w:lineRule="auto" w:line="288" w:before="0" w:after="1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In the event that private correspondence exists in the Computer Devices and/or the Company e-mail account assigned to you, this, despite the clear instructions detailed hereinabove, the Company may review such correspondence, if special and unique circumstances exist in which there is a serious suspicion that you are carrying out harmful or illegal activity through Computer Devices, and subject to your consent.</w:t>
      </w:r>
    </w:p>
    <w:p>
      <w:pPr>
        <w:pStyle w:val="TextBody"/>
        <w:spacing w:lineRule="auto" w:line="288" w:before="0" w:after="1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In case you use your privately-owned device(s) for work related purposes, the following additional terms will apply: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6.1You must use security access protection on your device (i.e., access code, touch ID, face ID, etc.</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6.2the Company may install Mobile Device Management (MDM) system on your device for the purpose of monitoring and protecting of Company data, as detailed in sections 3 and 4 above.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6.3In case of loss or theft of the device, you will immediately notify Company’s IT department.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a sign of your consent to the Computer Policy and the foregoing instructions, you are required to sign below.</w:t>
      </w:r>
    </w:p>
    <w:p>
      <w:pPr>
        <w:pStyle w:val="TextBody"/>
        <w:spacing w:lineRule="auto" w:line="288" w:before="0" w:after="180"/>
        <w:jc w:val="center"/>
        <w:rPr>
          <w:rFonts w:ascii="Times New Roman;sans-serif" w:hAnsi="Times New Roman;sans-serif"/>
          <w:b/>
          <w:i/>
          <w:color w:val="2D74B5"/>
          <w:sz w:val="20"/>
          <w:u w:val="single"/>
        </w:rPr>
      </w:pPr>
      <w:r>
        <w:rPr>
          <w:rFonts w:ascii="Times New Roman;sans-serif" w:hAnsi="Times New Roman;sans-serif"/>
          <w:b/>
          <w:i/>
          <w:color w:val="2D74B5"/>
          <w:sz w:val="20"/>
          <w:u w:val="single"/>
        </w:rPr>
        <w:t>EMPLOYEE ACKNOWLEDGEMENT AND CONSENT: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 the undersigned, hereby acknowledge and approve that I have read all the above mentioned, received any and all clarifications which I required, and agree to it.</w:t>
      </w:r>
    </w:p>
    <w:tbl>
      <w:tblPr>
        <w:tblW w:w="7308" w:type="dxa"/>
        <w:jc w:val="left"/>
        <w:tblInd w:w="0" w:type="dxa"/>
        <w:tblCellMar>
          <w:top w:w="28" w:type="dxa"/>
          <w:left w:w="28" w:type="dxa"/>
          <w:bottom w:w="28" w:type="dxa"/>
          <w:right w:w="28" w:type="dxa"/>
        </w:tblCellMar>
      </w:tblPr>
      <w:tblGrid>
        <w:gridCol w:w="651"/>
        <w:gridCol w:w="573"/>
        <w:gridCol w:w="575"/>
        <w:gridCol w:w="109"/>
        <w:gridCol w:w="109"/>
        <w:gridCol w:w="109"/>
        <w:gridCol w:w="319"/>
        <w:gridCol w:w="319"/>
        <w:gridCol w:w="321"/>
        <w:gridCol w:w="109"/>
        <w:gridCol w:w="109"/>
        <w:gridCol w:w="109"/>
        <w:gridCol w:w="674"/>
        <w:gridCol w:w="674"/>
        <w:gridCol w:w="676"/>
        <w:gridCol w:w="109"/>
        <w:gridCol w:w="109"/>
        <w:gridCol w:w="109"/>
        <w:gridCol w:w="451"/>
        <w:gridCol w:w="451"/>
        <w:gridCol w:w="643"/>
      </w:tblGrid>
      <w:tr>
        <w:trPr/>
        <w:tc>
          <w:tcPr>
            <w:tcW w:w="65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Sergei Liakhovetsky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Sergei Liakhovetsky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28, 2019</w:t>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80175" cy="256540"/>
                <wp:effectExtent l="0" t="0" r="0" b="0"/>
                <wp:wrapNone/>
                <wp:docPr id="677" name="Frame599"/>
                <a:graphic xmlns:a="http://schemas.openxmlformats.org/drawingml/2006/main">
                  <a:graphicData uri="http://schemas.microsoft.com/office/word/2010/wordprocessingShape">
                    <wps:wsp>
                      <wps:cNvSpPr txBox="1"/>
                      <wps:spPr>
                        <a:xfrm>
                          <a:off x="0" y="0"/>
                          <a:ext cx="6480175" cy="25654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18 of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Kaltura Confidential</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18 of 18</w:t>
                      </w:r>
                    </w:p>
                  </w:txbxContent>
                </v:textbox>
              </v:rect>
            </w:pict>
          </mc:Fallback>
        </mc:AlternateContent>
      </w:r>
    </w:p>
    <w:p>
      <w:pPr>
        <w:pStyle w:val="TextBody"/>
        <w:spacing w:lineRule="auto" w:line="288" w:before="0" w:after="180"/>
        <w:jc w:val="center"/>
        <w:rPr>
          <w:rFonts w:ascii="Calibri;sans-serif" w:hAnsi="Calibri;sans-serif"/>
          <w:b/>
          <w:color w:val="000000"/>
          <w:sz w:val="22"/>
        </w:rPr>
      </w:pPr>
      <w:r>
        <w:rPr>
          <w:rFonts w:ascii="Calibri;sans-serif" w:hAnsi="Calibri;sans-serif"/>
          <w:b/>
          <w:color w:val="000000"/>
          <w:sz w:val="22"/>
        </w:rPr>
        <w:t>ADDENDUM TO PERSONAL EMPLOYMENT AGREEMENT</w:t>
      </w:r>
    </w:p>
    <w:p>
      <w:pPr>
        <w:pStyle w:val="TextBody"/>
        <w:spacing w:lineRule="auto" w:line="288" w:before="0" w:after="180"/>
        <w:jc w:val="both"/>
        <w:rPr/>
      </w:pPr>
      <w:r>
        <w:rPr>
          <w:rFonts w:ascii="Calibri;sans-serif" w:hAnsi="Calibri;sans-serif"/>
          <w:b w:val="false"/>
          <w:color w:val="000000"/>
          <w:sz w:val="22"/>
        </w:rPr>
        <w:t>THIS ADDENDUM TO EMPLOYMENT AGREEMENT (this “</w:t>
      </w:r>
      <w:r>
        <w:rPr>
          <w:rFonts w:ascii="Calibri;sans-serif" w:hAnsi="Calibri;sans-serif"/>
          <w:b/>
          <w:color w:val="000000"/>
          <w:sz w:val="22"/>
        </w:rPr>
        <w:t>Addendum</w:t>
      </w:r>
      <w:r>
        <w:rPr>
          <w:color w:val="000000"/>
        </w:rPr>
        <w:t>”</w:t>
      </w:r>
      <w:r>
        <w:rPr>
          <w:rFonts w:ascii="Calibri;sans-serif" w:hAnsi="Calibri;sans-serif"/>
          <w:b w:val="false"/>
          <w:color w:val="000000"/>
          <w:sz w:val="22"/>
        </w:rPr>
        <w:t>) is made and entered into this 30 day of December 2019 by and between Kaltura Ltd., (the “</w:t>
      </w:r>
      <w:r>
        <w:rPr>
          <w:rFonts w:ascii="Calibri;sans-serif" w:hAnsi="Calibri;sans-serif"/>
          <w:b/>
          <w:color w:val="000000"/>
          <w:sz w:val="22"/>
        </w:rPr>
        <w:t>Company</w:t>
      </w:r>
      <w:r>
        <w:rPr>
          <w:color w:val="000000"/>
        </w:rPr>
        <w:t>”</w:t>
      </w:r>
      <w:r>
        <w:rPr>
          <w:rFonts w:ascii="Calibri;sans-serif" w:hAnsi="Calibri;sans-serif"/>
          <w:b w:val="false"/>
          <w:color w:val="000000"/>
          <w:sz w:val="22"/>
        </w:rPr>
        <w:t>), and Sergei Liakhovetsky (the “</w:t>
      </w:r>
      <w:r>
        <w:rPr>
          <w:rFonts w:ascii="Calibri;sans-serif" w:hAnsi="Calibri;sans-serif"/>
          <w:b/>
          <w:color w:val="000000"/>
          <w:sz w:val="22"/>
        </w:rPr>
        <w:t>Employee</w:t>
      </w:r>
      <w:r>
        <w:rPr>
          <w:color w:val="000000"/>
        </w:rPr>
        <w:t>”</w:t>
      </w:r>
      <w:r>
        <w:rPr>
          <w:rFonts w:ascii="Calibri;sans-serif" w:hAnsi="Calibri;sans-serif"/>
          <w:b w:val="false"/>
          <w:color w:val="000000"/>
          <w:sz w:val="22"/>
        </w:rPr>
        <w:t>). Company and Employee are sometimes referred to herein individually as a “</w:t>
      </w:r>
      <w:r>
        <w:rPr>
          <w:rFonts w:ascii="Calibri;sans-serif" w:hAnsi="Calibri;sans-serif"/>
          <w:b/>
          <w:color w:val="000000"/>
          <w:sz w:val="22"/>
        </w:rPr>
        <w:t>Party</w:t>
      </w:r>
      <w:r>
        <w:rPr>
          <w:color w:val="000000"/>
        </w:rPr>
        <w:t xml:space="preserve">” </w:t>
      </w:r>
      <w:r>
        <w:rPr>
          <w:rFonts w:ascii="Calibri;sans-serif" w:hAnsi="Calibri;sans-serif"/>
          <w:b w:val="false"/>
          <w:color w:val="000000"/>
          <w:sz w:val="22"/>
        </w:rPr>
        <w:t>and collectively as the “</w:t>
      </w:r>
      <w:r>
        <w:rPr>
          <w:rFonts w:ascii="Calibri;sans-serif" w:hAnsi="Calibri;sans-serif"/>
          <w:b/>
          <w:color w:val="000000"/>
          <w:sz w:val="22"/>
        </w:rPr>
        <w:t>Parties</w:t>
      </w:r>
      <w:r>
        <w:rPr>
          <w:rFonts w:ascii="Calibri;sans-serif" w:hAnsi="Calibri;sans-serif"/>
          <w:b w:val="false"/>
          <w:color w:val="000000"/>
          <w:sz w:val="22"/>
        </w:rPr>
        <w:t>.</w:t>
      </w:r>
      <w:r>
        <w:rPr>
          <w:color w:val="000000"/>
        </w:rPr>
        <w:t>”</w:t>
      </w:r>
    </w:p>
    <w:p>
      <w:pPr>
        <w:pStyle w:val="TextBody"/>
        <w:spacing w:lineRule="auto" w:line="288" w:before="0" w:after="180"/>
        <w:ind w:left="0" w:right="0" w:firstLine="720"/>
        <w:rPr/>
      </w:pPr>
      <w:r>
        <w:rPr>
          <w:rFonts w:ascii="Calibri;sans-serif" w:hAnsi="Calibri;sans-serif"/>
          <w:b/>
          <w:color w:val="000000"/>
          <w:sz w:val="22"/>
        </w:rPr>
        <w:t>WHEREAS</w:t>
      </w:r>
      <w:r>
        <w:rPr>
          <w:rFonts w:ascii="Calibri;sans-serif" w:hAnsi="Calibri;sans-serif"/>
          <w:b w:val="false"/>
          <w:color w:val="000000"/>
          <w:sz w:val="22"/>
        </w:rPr>
        <w:t>, the Parties entered into an Employment Agreement dated 28 January 2019 as was amended from time to time (the “</w:t>
      </w:r>
      <w:r>
        <w:rPr>
          <w:rFonts w:ascii="Calibri;sans-serif" w:hAnsi="Calibri;sans-serif"/>
          <w:b/>
          <w:color w:val="000000"/>
          <w:sz w:val="22"/>
        </w:rPr>
        <w:t>Employment Agreement</w:t>
      </w:r>
      <w:r>
        <w:rPr>
          <w:color w:val="000000"/>
        </w:rPr>
        <w:t>”</w:t>
      </w:r>
      <w:r>
        <w:rPr>
          <w:rFonts w:ascii="Calibri;sans-serif" w:hAnsi="Calibri;sans-serif"/>
          <w:b w:val="false"/>
          <w:color w:val="000000"/>
          <w:sz w:val="22"/>
        </w:rPr>
        <w:t>);</w:t>
      </w:r>
    </w:p>
    <w:p>
      <w:pPr>
        <w:pStyle w:val="TextBody"/>
        <w:spacing w:lineRule="auto" w:line="288" w:before="0" w:after="180"/>
        <w:ind w:left="0" w:right="0" w:firstLine="720"/>
        <w:rPr/>
      </w:pPr>
      <w:r>
        <w:rPr>
          <w:rFonts w:ascii="Calibri;sans-serif" w:hAnsi="Calibri;sans-serif"/>
          <w:b/>
          <w:color w:val="000000"/>
          <w:sz w:val="22"/>
        </w:rPr>
        <w:t>WHEREAS</w:t>
      </w:r>
      <w:r>
        <w:rPr>
          <w:rFonts w:ascii="Calibri;sans-serif" w:hAnsi="Calibri;sans-serif"/>
          <w:b w:val="false"/>
          <w:color w:val="000000"/>
          <w:sz w:val="22"/>
        </w:rPr>
        <w:t>, the Parties wish to amend or add certain terms and provisions to the Employment Agreement as detailed below;</w:t>
      </w:r>
    </w:p>
    <w:p>
      <w:pPr>
        <w:pStyle w:val="TextBody"/>
        <w:spacing w:lineRule="auto" w:line="288" w:before="0" w:after="180"/>
        <w:ind w:left="0" w:right="0" w:firstLine="720"/>
        <w:rPr/>
      </w:pPr>
      <w:r>
        <w:rPr>
          <w:rFonts w:ascii="Calibri;sans-serif" w:hAnsi="Calibri;sans-serif"/>
          <w:b/>
          <w:color w:val="000000"/>
          <w:sz w:val="22"/>
        </w:rPr>
        <w:t>NOW, THEREFORE</w:t>
      </w:r>
      <w:r>
        <w:rPr>
          <w:rFonts w:ascii="Calibri;sans-serif" w:hAnsi="Calibri;sans-serif"/>
          <w:b w:val="false"/>
          <w:color w:val="000000"/>
          <w:sz w:val="22"/>
        </w:rPr>
        <w:t>, in consideration of the premises and mutual covenants and conditions herein contained, the Parties agree as follows:</w:t>
      </w:r>
    </w:p>
    <w:p>
      <w:pPr>
        <w:pStyle w:val="TextBody"/>
        <w:spacing w:lineRule="auto" w:line="288" w:before="0" w:after="180"/>
        <w:ind w:left="0" w:right="0" w:firstLine="720"/>
        <w:rPr>
          <w:rFonts w:ascii="Calibri;sans-serif" w:hAnsi="Calibri;sans-serif"/>
          <w:b w:val="false"/>
          <w:i/>
          <w:color w:val="000000"/>
          <w:sz w:val="22"/>
        </w:rPr>
      </w:pPr>
      <w:r>
        <w:rPr>
          <w:rFonts w:ascii="Calibri;sans-serif" w:hAnsi="Calibri;sans-serif"/>
          <w:b w:val="false"/>
          <w:i/>
          <w:color w:val="000000"/>
          <w:sz w:val="22"/>
        </w:rPr>
        <w:t>Capitalized terms used but not defined herein have the meanings assigned to them in the Employment Agreement.</w:t>
      </w:r>
    </w:p>
    <w:p>
      <w:pPr>
        <w:pStyle w:val="TextBody"/>
        <w:spacing w:lineRule="auto" w:line="288" w:before="0" w:after="180"/>
        <w:ind w:left="0" w:right="0" w:hanging="720"/>
        <w:rPr/>
      </w:pPr>
      <w:r>
        <w:rPr>
          <w:rFonts w:ascii="Calibri;sans-serif" w:hAnsi="Calibri;sans-serif"/>
          <w:b w:val="false"/>
          <w:color w:val="000000"/>
          <w:sz w:val="22"/>
        </w:rPr>
        <w:t>1.</w:t>
      </w:r>
      <w:r>
        <w:rPr>
          <w:rFonts w:ascii="Calibri;sans-serif" w:hAnsi="Calibri;sans-serif"/>
          <w:b w:val="false"/>
          <w:color w:val="000000"/>
          <w:sz w:val="22"/>
          <w:u w:val="single"/>
        </w:rPr>
        <w:t>Salary</w:t>
      </w:r>
    </w:p>
    <w:p>
      <w:pPr>
        <w:pStyle w:val="TextBody"/>
        <w:spacing w:lineRule="auto" w:line="288" w:before="0" w:after="0"/>
        <w:ind w:left="0" w:right="0" w:hanging="360"/>
        <w:rPr/>
      </w:pPr>
      <w:r>
        <w:rPr>
          <w:rFonts w:ascii="Calibri;sans-serif" w:hAnsi="Calibri;sans-serif"/>
          <w:b w:val="false"/>
          <w:color w:val="000000"/>
          <w:sz w:val="22"/>
        </w:rPr>
        <w:t>a.Effective from 1 January 2020 (the “</w:t>
      </w:r>
      <w:r>
        <w:rPr>
          <w:rFonts w:ascii="Calibri;sans-serif" w:hAnsi="Calibri;sans-serif"/>
          <w:b/>
          <w:color w:val="000000"/>
          <w:sz w:val="22"/>
        </w:rPr>
        <w:t>Salary Increase Date</w:t>
      </w:r>
      <w:r>
        <w:rPr>
          <w:color w:val="000000"/>
        </w:rPr>
        <w:t>”</w:t>
      </w:r>
      <w:r>
        <w:rPr>
          <w:rFonts w:ascii="Calibri;sans-serif" w:hAnsi="Calibri;sans-serif"/>
          <w:b w:val="false"/>
          <w:color w:val="000000"/>
          <w:sz w:val="22"/>
        </w:rPr>
        <w:t>) Employee’s Monthly Salary shall be as follows:</w:t>
      </w:r>
    </w:p>
    <w:p>
      <w:pPr>
        <w:pStyle w:val="TextBody"/>
        <w:spacing w:lineRule="auto" w:line="288" w:before="0" w:after="0"/>
        <w:ind w:left="0" w:right="0" w:hanging="360"/>
        <w:rPr>
          <w:rFonts w:ascii="Calibri;sans-serif" w:hAnsi="Calibri;sans-serif"/>
          <w:b w:val="false"/>
          <w:color w:val="000000"/>
          <w:sz w:val="22"/>
        </w:rPr>
      </w:pPr>
      <w:r>
        <w:rPr>
          <w:rFonts w:ascii="Calibri;sans-serif" w:hAnsi="Calibri;sans-serif"/>
          <w:b w:val="false"/>
          <w:color w:val="000000"/>
          <w:sz w:val="22"/>
        </w:rPr>
        <w:t>i.Base Salary shall be NIS 61,535 (gross)</w:t>
      </w:r>
    </w:p>
    <w:p>
      <w:pPr>
        <w:pStyle w:val="TextBody"/>
        <w:spacing w:lineRule="auto" w:line="288" w:before="0" w:after="0"/>
        <w:ind w:left="0" w:right="0" w:hanging="360"/>
        <w:rPr>
          <w:rFonts w:ascii="Calibri;sans-serif" w:hAnsi="Calibri;sans-serif"/>
          <w:b w:val="false"/>
          <w:color w:val="000000"/>
          <w:sz w:val="22"/>
        </w:rPr>
      </w:pPr>
      <w:r>
        <w:rPr>
          <w:rFonts w:ascii="Calibri;sans-serif" w:hAnsi="Calibri;sans-serif"/>
          <w:b w:val="false"/>
          <w:color w:val="000000"/>
          <w:sz w:val="22"/>
        </w:rPr>
        <w:t>ii.Global Overtime Pay shall be NIS 15,384 (gross)</w:t>
      </w:r>
    </w:p>
    <w:p>
      <w:pPr>
        <w:pStyle w:val="TextBody"/>
        <w:spacing w:lineRule="auto" w:line="288" w:before="0" w:after="180"/>
        <w:ind w:left="0" w:right="0" w:hanging="360"/>
        <w:rPr>
          <w:rFonts w:ascii="Calibri;sans-serif" w:hAnsi="Calibri;sans-serif"/>
          <w:b w:val="false"/>
          <w:color w:val="000000"/>
          <w:sz w:val="22"/>
        </w:rPr>
      </w:pPr>
      <w:r>
        <w:rPr>
          <w:rFonts w:ascii="Calibri;sans-serif" w:hAnsi="Calibri;sans-serif"/>
          <w:b w:val="false"/>
          <w:color w:val="000000"/>
          <w:sz w:val="22"/>
        </w:rPr>
        <w:t>iii.Monthly Salary (Base + Global Overtime Pay) shall be NIS 76,919(gross)</w:t>
      </w:r>
    </w:p>
    <w:p>
      <w:pPr>
        <w:pStyle w:val="TextBody"/>
        <w:spacing w:lineRule="auto" w:line="288" w:before="0" w:after="180"/>
        <w:ind w:left="0" w:right="0" w:hanging="720"/>
        <w:rPr/>
      </w:pPr>
      <w:r>
        <w:rPr>
          <w:rFonts w:ascii="Calibri;sans-serif" w:hAnsi="Calibri;sans-serif"/>
          <w:b w:val="false"/>
          <w:color w:val="000000"/>
          <w:sz w:val="22"/>
        </w:rPr>
        <w:t>2.</w:t>
      </w:r>
      <w:r>
        <w:rPr>
          <w:rFonts w:ascii="Calibri;sans-serif" w:hAnsi="Calibri;sans-serif"/>
          <w:b w:val="false"/>
          <w:color w:val="000000"/>
          <w:sz w:val="22"/>
          <w:u w:val="single"/>
        </w:rPr>
        <w:t>Bonus</w:t>
      </w:r>
    </w:p>
    <w:p>
      <w:pPr>
        <w:pStyle w:val="TextBody"/>
        <w:spacing w:lineRule="auto" w:line="288" w:before="0" w:after="0"/>
        <w:ind w:left="0" w:right="0" w:hanging="360"/>
        <w:rPr>
          <w:rFonts w:ascii="Calibri;sans-serif" w:hAnsi="Calibri;sans-serif"/>
          <w:b w:val="false"/>
          <w:color w:val="000000"/>
          <w:sz w:val="22"/>
        </w:rPr>
      </w:pPr>
      <w:r>
        <w:rPr>
          <w:rFonts w:ascii="Calibri;sans-serif" w:hAnsi="Calibri;sans-serif"/>
          <w:b w:val="false"/>
          <w:color w:val="000000"/>
          <w:sz w:val="22"/>
        </w:rPr>
        <w:t>a.The applicable Bonus for the 2020 calendar year shall be as follows:</w:t>
      </w:r>
    </w:p>
    <w:p>
      <w:pPr>
        <w:pStyle w:val="TextBody"/>
        <w:spacing w:lineRule="auto" w:line="288" w:before="0" w:after="0"/>
        <w:ind w:left="0" w:right="0" w:hanging="360"/>
        <w:rPr>
          <w:rFonts w:ascii="Calibri;sans-serif" w:hAnsi="Calibri;sans-serif"/>
          <w:b w:val="false"/>
          <w:color w:val="000000"/>
          <w:sz w:val="22"/>
        </w:rPr>
      </w:pPr>
      <w:r>
        <w:rPr>
          <w:rFonts w:ascii="Calibri;sans-serif" w:hAnsi="Calibri;sans-serif"/>
          <w:b w:val="false"/>
          <w:color w:val="000000"/>
          <w:sz w:val="22"/>
        </w:rPr>
        <w:t>i.The maximum Annual Bonus shall be 461,512 NIS (gross).</w:t>
      </w:r>
    </w:p>
    <w:p>
      <w:pPr>
        <w:pStyle w:val="TextBody"/>
        <w:spacing w:lineRule="auto" w:line="288" w:before="0" w:after="180"/>
        <w:ind w:left="0" w:right="0" w:hanging="360"/>
        <w:rPr>
          <w:rFonts w:ascii="Calibri;sans-serif" w:hAnsi="Calibri;sans-serif"/>
          <w:b w:val="false"/>
          <w:color w:val="000000"/>
          <w:sz w:val="22"/>
        </w:rPr>
      </w:pPr>
      <w:r>
        <w:rPr>
          <w:rFonts w:ascii="Calibri;sans-serif" w:hAnsi="Calibri;sans-serif"/>
          <w:b w:val="false"/>
          <w:color w:val="000000"/>
          <w:sz w:val="22"/>
        </w:rPr>
        <w:t>ii.The maximum Annual Additional Stretch Bonus shall be 133,326NIS (gross)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b.Employee’s entitlement to the Annual Bonus and Additional Stretch Bonus shall be determined, for each calendar year, on the basis of Employee’s (and the Company’s) attainment of certain goals and objectives defined by the Company. The goals and objectives for calendar year 2020 will be set by the Compensation Committee that will be held on February 2020 (“Qualifying Objectives”).</w:t>
      </w:r>
    </w:p>
    <w:p>
      <w:pPr>
        <w:pStyle w:val="TextBody"/>
        <w:spacing w:lineRule="auto" w:line="288" w:before="0" w:after="180"/>
        <w:ind w:left="0" w:right="0" w:hanging="360"/>
        <w:jc w:val="both"/>
        <w:rPr>
          <w:rFonts w:ascii="Calibri;sans-serif" w:hAnsi="Calibri;sans-serif"/>
          <w:b w:val="false"/>
          <w:color w:val="000000"/>
          <w:sz w:val="22"/>
        </w:rPr>
      </w:pPr>
      <w:r>
        <w:rPr>
          <w:rFonts w:ascii="Calibri;sans-serif" w:hAnsi="Calibri;sans-serif"/>
          <w:b w:val="false"/>
          <w:color w:val="000000"/>
          <w:sz w:val="22"/>
        </w:rPr>
        <w:t>c.As of January 2020 the Employee Monthly Bonus Amount shall be 26,922 NIS (gross) (i.e., the equivalent of 70% of the pro-rated Annual Bonus) on account of the Annual Bonus (section 2.a.i above).</w:t>
      </w:r>
    </w:p>
    <w:p>
      <w:pPr>
        <w:pStyle w:val="TextBody"/>
        <w:spacing w:lineRule="auto" w:line="288" w:before="0" w:after="0"/>
        <w:ind w:left="0" w:right="0" w:hanging="720"/>
        <w:rPr>
          <w:rFonts w:ascii="Calibri;sans-serif" w:hAnsi="Calibri;sans-serif"/>
          <w:b w:val="false"/>
          <w:color w:val="000000"/>
          <w:sz w:val="22"/>
        </w:rPr>
      </w:pPr>
      <w:r>
        <w:rPr>
          <w:rFonts w:ascii="Calibri;sans-serif" w:hAnsi="Calibri;sans-serif"/>
          <w:b w:val="false"/>
          <w:color w:val="000000"/>
          <w:sz w:val="22"/>
        </w:rPr>
        <w:t>3.Except as expressly set forth herein, the terms and conditions of the Employment Agreement shall remain in full force and effect and each Party hereto agrees to be bound by the terms thereof.</w:t>
      </w:r>
      <w:r>
        <w:br w:type="page"/>
      </w:r>
    </w:p>
    <w:p>
      <w:pPr>
        <w:pStyle w:val="TextBody"/>
        <w:spacing w:before="0" w:after="0"/>
        <w:rPr/>
      </w:pPr>
      <w:r>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480175" cy="716280"/>
                <wp:effectExtent l="0" t="0" r="0" b="0"/>
                <wp:wrapNone/>
                <wp:docPr id="678" name="Frame600"/>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1333" w:type="dxa"/>
                              <w:jc w:val="left"/>
                              <w:tblInd w:w="0" w:type="dxa"/>
                              <w:tblCellMar>
                                <w:top w:w="28" w:type="dxa"/>
                                <w:left w:w="28" w:type="dxa"/>
                                <w:bottom w:w="28" w:type="dxa"/>
                                <w:right w:w="28" w:type="dxa"/>
                              </w:tblCellMar>
                            </w:tblPr>
                            <w:tblGrid>
                              <w:gridCol w:w="348"/>
                              <w:gridCol w:w="306"/>
                              <w:gridCol w:w="307"/>
                              <w:gridCol w:w="109"/>
                              <w:gridCol w:w="109"/>
                              <w:gridCol w:w="154"/>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Confidential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333" w:type="dxa"/>
                        <w:jc w:val="left"/>
                        <w:tblInd w:w="0" w:type="dxa"/>
                        <w:tblCellMar>
                          <w:top w:w="28" w:type="dxa"/>
                          <w:left w:w="28" w:type="dxa"/>
                          <w:bottom w:w="28" w:type="dxa"/>
                          <w:right w:w="28" w:type="dxa"/>
                        </w:tblCellMar>
                      </w:tblPr>
                      <w:tblGrid>
                        <w:gridCol w:w="348"/>
                        <w:gridCol w:w="306"/>
                        <w:gridCol w:w="307"/>
                        <w:gridCol w:w="109"/>
                        <w:gridCol w:w="109"/>
                        <w:gridCol w:w="154"/>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Confidential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tc>
                      </w:tr>
                    </w:tbl>
                    <w:p>
                      <w:pPr>
                        <w:pStyle w:val="TextBody"/>
                        <w:spacing w:before="0" w:after="283"/>
                        <w:rPr/>
                      </w:pPr>
                      <w:r>
                        <w:rPr/>
                      </w:r>
                    </w:p>
                  </w:txbxContent>
                </v:textbox>
              </v:rect>
            </w:pict>
          </mc:Fallback>
        </mc:AlternateContent>
      </w:r>
    </w:p>
    <w:p>
      <w:pPr>
        <w:pStyle w:val="TextBody"/>
        <w:spacing w:lineRule="auto" w:line="288" w:before="0" w:after="400"/>
        <w:ind w:left="0" w:right="0" w:hanging="360"/>
        <w:rPr>
          <w:rFonts w:ascii="Calibri;sans-serif" w:hAnsi="Calibri;sans-serif"/>
          <w:b w:val="false"/>
          <w:color w:val="000000"/>
          <w:sz w:val="22"/>
        </w:rPr>
      </w:pPr>
      <w:r>
        <w:rPr>
          <w:rFonts w:ascii="Calibri;sans-serif" w:hAnsi="Calibri;sans-serif"/>
          <w:b w:val="false"/>
          <w:color w:val="000000"/>
          <w:sz w:val="22"/>
        </w:rPr>
        <w:t>IN WITNESS WHEREOF, the Parties hereto have executed this Addendum as of the date set forth above.</w:t>
      </w:r>
    </w:p>
    <w:tbl>
      <w:tblPr>
        <w:tblW w:w="5898" w:type="dxa"/>
        <w:jc w:val="left"/>
        <w:tblInd w:w="0" w:type="dxa"/>
        <w:tblCellMar>
          <w:top w:w="28" w:type="dxa"/>
          <w:left w:w="28" w:type="dxa"/>
          <w:bottom w:w="28" w:type="dxa"/>
          <w:right w:w="28" w:type="dxa"/>
        </w:tblCellMar>
      </w:tblPr>
      <w:tblGrid>
        <w:gridCol w:w="275"/>
        <w:gridCol w:w="241"/>
        <w:gridCol w:w="241"/>
        <w:gridCol w:w="627"/>
        <w:gridCol w:w="627"/>
        <w:gridCol w:w="636"/>
        <w:gridCol w:w="109"/>
        <w:gridCol w:w="109"/>
        <w:gridCol w:w="109"/>
        <w:gridCol w:w="235"/>
        <w:gridCol w:w="235"/>
        <w:gridCol w:w="235"/>
        <w:gridCol w:w="645"/>
        <w:gridCol w:w="645"/>
        <w:gridCol w:w="929"/>
      </w:tblGrid>
      <w:tr>
        <w:trPr/>
        <w:tc>
          <w:tcPr>
            <w:tcW w:w="27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264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THE EMPLOYEE</w:t>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By:</w:t>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 Sigal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By:</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 Sergei Liakhovetsky</w:t>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Name:</w:t>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Name:</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Sergei Liakhovetsky</w:t>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Title:</w:t>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Title:</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CTO</w:t>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Date</w:t>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December 30,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Date</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January 10,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480175" cy="716280"/>
                <wp:effectExtent l="0" t="0" r="0" b="0"/>
                <wp:wrapNone/>
                <wp:docPr id="679" name="Frame601"/>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1333" w:type="dxa"/>
                              <w:jc w:val="left"/>
                              <w:tblInd w:w="0" w:type="dxa"/>
                              <w:tblCellMar>
                                <w:top w:w="28" w:type="dxa"/>
                                <w:left w:w="28" w:type="dxa"/>
                                <w:bottom w:w="28" w:type="dxa"/>
                                <w:right w:w="28" w:type="dxa"/>
                              </w:tblCellMar>
                            </w:tblPr>
                            <w:tblGrid>
                              <w:gridCol w:w="348"/>
                              <w:gridCol w:w="306"/>
                              <w:gridCol w:w="307"/>
                              <w:gridCol w:w="109"/>
                              <w:gridCol w:w="109"/>
                              <w:gridCol w:w="154"/>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Confidential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1333" w:type="dxa"/>
                        <w:jc w:val="left"/>
                        <w:tblInd w:w="0" w:type="dxa"/>
                        <w:tblCellMar>
                          <w:top w:w="28" w:type="dxa"/>
                          <w:left w:w="28" w:type="dxa"/>
                          <w:bottom w:w="28" w:type="dxa"/>
                          <w:right w:w="28" w:type="dxa"/>
                        </w:tblCellMar>
                      </w:tblPr>
                      <w:tblGrid>
                        <w:gridCol w:w="348"/>
                        <w:gridCol w:w="306"/>
                        <w:gridCol w:w="307"/>
                        <w:gridCol w:w="109"/>
                        <w:gridCol w:w="109"/>
                        <w:gridCol w:w="154"/>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Confidential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tc>
                      </w:tr>
                    </w:tbl>
                    <w:p>
                      <w:pPr>
                        <w:pStyle w:val="TextBody"/>
                        <w:spacing w:before="0" w:after="283"/>
                        <w:rPr/>
                      </w:pPr>
                      <w:r>
                        <w:rPr/>
                      </w:r>
                    </w:p>
                  </w:txbxContent>
                </v:textbox>
              </v:rect>
            </w:pict>
          </mc:Fallback>
        </mc:AlternateContent>
      </w:r>
    </w:p>
    <w:p>
      <w:pPr>
        <w:pStyle w:val="TextBody"/>
        <w:spacing w:lineRule="auto" w:line="288" w:before="0" w:after="240"/>
        <w:jc w:val="center"/>
        <w:rPr>
          <w:rFonts w:ascii="Calibri;sans-serif" w:hAnsi="Calibri;sans-serif"/>
          <w:b/>
          <w:color w:val="000000"/>
          <w:sz w:val="22"/>
        </w:rPr>
      </w:pPr>
      <w:r>
        <w:rPr>
          <w:rFonts w:ascii="Calibri;sans-serif" w:hAnsi="Calibri;sans-serif"/>
          <w:b/>
          <w:color w:val="000000"/>
          <w:sz w:val="22"/>
        </w:rPr>
        <w:t>ADDENDUM TO PERSONAL EMPLOYMENT AGREEMENT</w:t>
      </w:r>
    </w:p>
    <w:p>
      <w:pPr>
        <w:pStyle w:val="TextBody"/>
        <w:spacing w:lineRule="auto" w:line="288" w:before="0" w:after="240"/>
        <w:jc w:val="both"/>
        <w:rPr/>
      </w:pPr>
      <w:r>
        <w:rPr>
          <w:rFonts w:ascii="Calibri;sans-serif" w:hAnsi="Calibri;sans-serif"/>
          <w:b w:val="false"/>
          <w:color w:val="000000"/>
          <w:sz w:val="22"/>
        </w:rPr>
        <w:t>THIS ADDENDUM TO EMPLOYMENT AGREEMENT (this “</w:t>
      </w:r>
      <w:r>
        <w:rPr>
          <w:rFonts w:ascii="Calibri;sans-serif" w:hAnsi="Calibri;sans-serif"/>
          <w:b/>
          <w:color w:val="000000"/>
          <w:sz w:val="22"/>
        </w:rPr>
        <w:t>Addendum</w:t>
      </w:r>
      <w:r>
        <w:rPr>
          <w:color w:val="000000"/>
        </w:rPr>
        <w:t>”</w:t>
      </w:r>
      <w:r>
        <w:rPr>
          <w:rFonts w:ascii="Calibri;sans-serif" w:hAnsi="Calibri;sans-serif"/>
          <w:b w:val="false"/>
          <w:color w:val="000000"/>
          <w:sz w:val="22"/>
        </w:rPr>
        <w:t>) is made and entered into this 4 day of March 2021 by and between Kaltura Ltd., (the “</w:t>
      </w:r>
      <w:r>
        <w:rPr>
          <w:rFonts w:ascii="Calibri;sans-serif" w:hAnsi="Calibri;sans-serif"/>
          <w:b/>
          <w:color w:val="000000"/>
          <w:sz w:val="22"/>
        </w:rPr>
        <w:t>Company</w:t>
      </w:r>
      <w:r>
        <w:rPr>
          <w:color w:val="000000"/>
        </w:rPr>
        <w:t>”</w:t>
      </w:r>
      <w:r>
        <w:rPr>
          <w:rFonts w:ascii="Calibri;sans-serif" w:hAnsi="Calibri;sans-serif"/>
          <w:b w:val="false"/>
          <w:color w:val="000000"/>
          <w:sz w:val="22"/>
        </w:rPr>
        <w:t>), and Sergei Liakhovetsky (the “</w:t>
      </w:r>
      <w:r>
        <w:rPr>
          <w:rFonts w:ascii="Calibri;sans-serif" w:hAnsi="Calibri;sans-serif"/>
          <w:b/>
          <w:color w:val="000000"/>
          <w:sz w:val="22"/>
        </w:rPr>
        <w:t>Employee</w:t>
      </w:r>
      <w:r>
        <w:rPr>
          <w:color w:val="000000"/>
        </w:rPr>
        <w:t>”</w:t>
      </w:r>
      <w:r>
        <w:rPr>
          <w:rFonts w:ascii="Calibri;sans-serif" w:hAnsi="Calibri;sans-serif"/>
          <w:b w:val="false"/>
          <w:color w:val="000000"/>
          <w:sz w:val="22"/>
        </w:rPr>
        <w:t>). The Company and the Employee are sometimes referred to herein individually as a “</w:t>
      </w:r>
      <w:r>
        <w:rPr>
          <w:rFonts w:ascii="Calibri;sans-serif" w:hAnsi="Calibri;sans-serif"/>
          <w:b/>
          <w:color w:val="000000"/>
          <w:sz w:val="22"/>
        </w:rPr>
        <w:t>Party</w:t>
      </w:r>
      <w:r>
        <w:rPr>
          <w:color w:val="000000"/>
        </w:rPr>
        <w:t xml:space="preserve">” </w:t>
      </w:r>
      <w:r>
        <w:rPr>
          <w:rFonts w:ascii="Calibri;sans-serif" w:hAnsi="Calibri;sans-serif"/>
          <w:b w:val="false"/>
          <w:color w:val="000000"/>
          <w:sz w:val="22"/>
        </w:rPr>
        <w:t>and collectively as the “</w:t>
      </w:r>
      <w:r>
        <w:rPr>
          <w:rFonts w:ascii="Calibri;sans-serif" w:hAnsi="Calibri;sans-serif"/>
          <w:b/>
          <w:color w:val="000000"/>
          <w:sz w:val="22"/>
        </w:rPr>
        <w:t>Parties</w:t>
      </w:r>
      <w:r>
        <w:rPr>
          <w:rFonts w:ascii="Calibri;sans-serif" w:hAnsi="Calibri;sans-serif"/>
          <w:b w:val="false"/>
          <w:color w:val="000000"/>
          <w:sz w:val="22"/>
        </w:rPr>
        <w:t>.”</w:t>
      </w:r>
    </w:p>
    <w:p>
      <w:pPr>
        <w:pStyle w:val="TextBody"/>
        <w:spacing w:lineRule="auto" w:line="288" w:before="0" w:after="24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the Parties entered into an Employment Agreement dated 28 January 2019 (as subsequently amended from time to time, the “</w:t>
      </w:r>
      <w:r>
        <w:rPr>
          <w:rFonts w:ascii="Calibri;sans-serif" w:hAnsi="Calibri;sans-serif"/>
          <w:b/>
          <w:color w:val="000000"/>
          <w:sz w:val="22"/>
        </w:rPr>
        <w:t>Employment</w:t>
      </w:r>
      <w:r>
        <w:rPr>
          <w:color w:val="000000"/>
        </w:rPr>
        <w:t xml:space="preserve"> </w:t>
      </w:r>
      <w:r>
        <w:rPr>
          <w:rFonts w:ascii="Calibri;sans-serif" w:hAnsi="Calibri;sans-serif"/>
          <w:b/>
          <w:color w:val="000000"/>
          <w:sz w:val="22"/>
        </w:rPr>
        <w:t>Agreement</w:t>
      </w:r>
      <w:r>
        <w:rPr>
          <w:color w:val="000000"/>
        </w:rPr>
        <w:t>”</w:t>
      </w:r>
      <w:r>
        <w:rPr>
          <w:rFonts w:ascii="Calibri;sans-serif" w:hAnsi="Calibri;sans-serif"/>
          <w:b w:val="false"/>
          <w:color w:val="000000"/>
          <w:sz w:val="22"/>
        </w:rPr>
        <w:t>);</w:t>
      </w:r>
    </w:p>
    <w:p>
      <w:pPr>
        <w:pStyle w:val="TextBody"/>
        <w:spacing w:lineRule="auto" w:line="288" w:before="0" w:after="240"/>
        <w:ind w:left="0" w:right="0" w:firstLine="720"/>
        <w:jc w:val="both"/>
        <w:rPr/>
      </w:pPr>
      <w:r>
        <w:rPr>
          <w:rFonts w:ascii="Calibri;sans-serif" w:hAnsi="Calibri;sans-serif"/>
          <w:b/>
          <w:color w:val="000000"/>
          <w:sz w:val="22"/>
        </w:rPr>
        <w:t>WHEREAS</w:t>
      </w:r>
      <w:r>
        <w:rPr>
          <w:rFonts w:ascii="Calibri;sans-serif" w:hAnsi="Calibri;sans-serif"/>
          <w:b w:val="false"/>
          <w:color w:val="000000"/>
          <w:sz w:val="22"/>
        </w:rPr>
        <w:t xml:space="preserve">, the Parties wish to amend or add certain terms and provisions to the Employment Agreement as detailed below; </w:t>
      </w:r>
    </w:p>
    <w:p>
      <w:pPr>
        <w:pStyle w:val="TextBody"/>
        <w:spacing w:lineRule="auto" w:line="288" w:before="0" w:after="240"/>
        <w:ind w:left="0" w:right="0" w:firstLine="720"/>
        <w:jc w:val="both"/>
        <w:rPr/>
      </w:pPr>
      <w:r>
        <w:rPr>
          <w:rFonts w:ascii="Calibri;sans-serif" w:hAnsi="Calibri;sans-serif"/>
          <w:b/>
          <w:color w:val="000000"/>
          <w:sz w:val="22"/>
        </w:rPr>
        <w:t>NOW, THEREFORE</w:t>
      </w:r>
      <w:r>
        <w:rPr>
          <w:rFonts w:ascii="Calibri;sans-serif" w:hAnsi="Calibri;sans-serif"/>
          <w:b w:val="false"/>
          <w:color w:val="000000"/>
          <w:sz w:val="22"/>
        </w:rPr>
        <w:t>, in consideration of the premises and mutual covenants and conditions herein contained, the Parties agree as follows:</w:t>
      </w:r>
    </w:p>
    <w:p>
      <w:pPr>
        <w:pStyle w:val="TextBody"/>
        <w:spacing w:lineRule="auto" w:line="288" w:before="0" w:after="240"/>
        <w:ind w:left="0" w:right="0" w:firstLine="720"/>
        <w:jc w:val="both"/>
        <w:rPr>
          <w:rFonts w:ascii="Calibri;sans-serif" w:hAnsi="Calibri;sans-serif"/>
          <w:b w:val="false"/>
          <w:i/>
          <w:color w:val="000000"/>
          <w:sz w:val="22"/>
        </w:rPr>
      </w:pPr>
      <w:r>
        <w:rPr>
          <w:rFonts w:ascii="Calibri;sans-serif" w:hAnsi="Calibri;sans-serif"/>
          <w:b w:val="false"/>
          <w:i/>
          <w:color w:val="000000"/>
          <w:sz w:val="22"/>
        </w:rPr>
        <w:t>Capitalized terms used but not defined herein have the meanings assigned to them in the Employment Agreement.</w:t>
      </w:r>
    </w:p>
    <w:p>
      <w:pPr>
        <w:pStyle w:val="TextBody"/>
        <w:spacing w:lineRule="auto" w:line="288" w:before="0" w:after="0"/>
        <w:ind w:left="0" w:right="0" w:hanging="720"/>
        <w:jc w:val="both"/>
        <w:rPr/>
      </w:pPr>
      <w:r>
        <w:rPr>
          <w:rFonts w:ascii="Calibri;sans-serif" w:hAnsi="Calibri;sans-serif"/>
          <w:b w:val="false"/>
          <w:color w:val="000000"/>
          <w:sz w:val="22"/>
        </w:rPr>
        <w:t>1.</w:t>
      </w:r>
      <w:r>
        <w:rPr>
          <w:rFonts w:ascii="Calibri;sans-serif" w:hAnsi="Calibri;sans-serif"/>
          <w:b w:val="false"/>
          <w:color w:val="000000"/>
          <w:sz w:val="22"/>
          <w:u w:val="single"/>
        </w:rPr>
        <w:t>Salary</w:t>
      </w:r>
    </w:p>
    <w:p>
      <w:pPr>
        <w:pStyle w:val="TextBody"/>
        <w:spacing w:lineRule="auto" w:line="288" w:before="0" w:after="0"/>
        <w:ind w:left="0" w:right="0" w:hanging="360"/>
        <w:jc w:val="both"/>
        <w:rPr/>
      </w:pPr>
      <w:r>
        <w:rPr>
          <w:rFonts w:ascii="Calibri;sans-serif" w:hAnsi="Calibri;sans-serif"/>
          <w:b w:val="false"/>
          <w:color w:val="000000"/>
          <w:sz w:val="22"/>
        </w:rPr>
        <w:t>a.Effective from 1 January 2021 (the “</w:t>
      </w:r>
      <w:r>
        <w:rPr>
          <w:rFonts w:ascii="Calibri;sans-serif" w:hAnsi="Calibri;sans-serif"/>
          <w:b/>
          <w:color w:val="000000"/>
          <w:sz w:val="22"/>
        </w:rPr>
        <w:t>Salary Increase Date</w:t>
      </w:r>
      <w:r>
        <w:rPr>
          <w:color w:val="000000"/>
        </w:rPr>
        <w:t>”</w:t>
      </w:r>
      <w:r>
        <w:rPr>
          <w:rFonts w:ascii="Calibri;sans-serif" w:hAnsi="Calibri;sans-serif"/>
          <w:b w:val="false"/>
          <w:color w:val="000000"/>
          <w:sz w:val="22"/>
        </w:rPr>
        <w:t>), the Employee’s Monthly Salary shall be as follows:</w:t>
      </w:r>
    </w:p>
    <w:p>
      <w:pPr>
        <w:pStyle w:val="TextBody"/>
        <w:spacing w:lineRule="auto" w:line="288" w:before="0" w:after="0"/>
        <w:ind w:left="0" w:right="0" w:hanging="283"/>
        <w:jc w:val="both"/>
        <w:rPr>
          <w:rFonts w:ascii="Calibri;sans-serif" w:hAnsi="Calibri;sans-serif"/>
          <w:b w:val="false"/>
          <w:color w:val="000000"/>
          <w:sz w:val="22"/>
        </w:rPr>
      </w:pPr>
      <w:r>
        <w:rPr>
          <w:rFonts w:ascii="Calibri;sans-serif" w:hAnsi="Calibri;sans-serif"/>
          <w:b w:val="false"/>
          <w:color w:val="000000"/>
          <w:sz w:val="22"/>
        </w:rPr>
        <w:t>i.Base Salary shall be NIS 64,000 (gross)</w:t>
      </w:r>
    </w:p>
    <w:p>
      <w:pPr>
        <w:pStyle w:val="TextBody"/>
        <w:spacing w:lineRule="auto" w:line="288" w:before="0" w:after="0"/>
        <w:ind w:left="0" w:right="0" w:hanging="283"/>
        <w:jc w:val="both"/>
        <w:rPr>
          <w:rFonts w:ascii="Calibri;sans-serif" w:hAnsi="Calibri;sans-serif"/>
          <w:b w:val="false"/>
          <w:color w:val="000000"/>
          <w:sz w:val="22"/>
        </w:rPr>
      </w:pPr>
      <w:r>
        <w:rPr>
          <w:rFonts w:ascii="Calibri;sans-serif" w:hAnsi="Calibri;sans-serif"/>
          <w:b w:val="false"/>
          <w:color w:val="000000"/>
          <w:sz w:val="22"/>
        </w:rPr>
        <w:t>ii.Global Overtime Pay shall be NIS 16,000 (gross)</w:t>
      </w:r>
    </w:p>
    <w:p>
      <w:pPr>
        <w:pStyle w:val="TextBody"/>
        <w:spacing w:lineRule="auto" w:line="288" w:before="0" w:after="480"/>
        <w:ind w:left="0" w:right="0" w:hanging="283"/>
        <w:jc w:val="both"/>
        <w:rPr>
          <w:rFonts w:ascii="Calibri;sans-serif" w:hAnsi="Calibri;sans-serif"/>
          <w:b w:val="false"/>
          <w:color w:val="000000"/>
          <w:sz w:val="22"/>
        </w:rPr>
      </w:pPr>
      <w:r>
        <w:rPr>
          <w:rFonts w:ascii="Calibri;sans-serif" w:hAnsi="Calibri;sans-serif"/>
          <w:b w:val="false"/>
          <w:color w:val="000000"/>
          <w:sz w:val="22"/>
        </w:rPr>
        <w:t xml:space="preserve">iii.Monthly Salary (Base + Global Overtime Pay) shall be NIS 80,000 (gross) </w:t>
      </w:r>
    </w:p>
    <w:p>
      <w:pPr>
        <w:pStyle w:val="TextBody"/>
        <w:spacing w:lineRule="auto" w:line="288" w:before="0" w:after="0"/>
        <w:ind w:left="0" w:right="0" w:hanging="720"/>
        <w:jc w:val="both"/>
        <w:rPr/>
      </w:pPr>
      <w:r>
        <w:rPr>
          <w:rFonts w:ascii="Calibri;sans-serif" w:hAnsi="Calibri;sans-serif"/>
          <w:b w:val="false"/>
          <w:color w:val="000000"/>
          <w:sz w:val="22"/>
        </w:rPr>
        <w:t>2.</w:t>
      </w:r>
      <w:r>
        <w:rPr>
          <w:rFonts w:ascii="Calibri;sans-serif" w:hAnsi="Calibri;sans-serif"/>
          <w:b w:val="false"/>
          <w:color w:val="000000"/>
          <w:sz w:val="22"/>
          <w:u w:val="single"/>
        </w:rPr>
        <w:t>Bonus</w:t>
      </w:r>
    </w:p>
    <w:p>
      <w:pPr>
        <w:pStyle w:val="TextBody"/>
        <w:spacing w:lineRule="auto" w:line="288" w:before="0" w:after="0"/>
        <w:ind w:left="0" w:right="0" w:hanging="284"/>
        <w:jc w:val="both"/>
        <w:rPr>
          <w:rFonts w:ascii="Calibri;sans-serif" w:hAnsi="Calibri;sans-serif"/>
          <w:b w:val="false"/>
          <w:color w:val="000000"/>
          <w:sz w:val="22"/>
        </w:rPr>
      </w:pPr>
      <w:r>
        <w:rPr>
          <w:rFonts w:ascii="Calibri;sans-serif" w:hAnsi="Calibri;sans-serif"/>
          <w:b w:val="false"/>
          <w:color w:val="000000"/>
          <w:sz w:val="22"/>
        </w:rPr>
        <w:t>a.The applicable Bonus for the 2021 calendar year shall be as follows:</w:t>
      </w:r>
    </w:p>
    <w:p>
      <w:pPr>
        <w:pStyle w:val="TextBody"/>
        <w:spacing w:lineRule="auto" w:line="288" w:before="0" w:after="0"/>
        <w:ind w:left="0" w:right="0" w:hanging="283"/>
        <w:jc w:val="both"/>
        <w:rPr/>
      </w:pPr>
      <w:r>
        <w:rPr>
          <w:rFonts w:ascii="Calibri;sans-serif" w:hAnsi="Calibri;sans-serif"/>
          <w:b w:val="false"/>
          <w:color w:val="000000"/>
          <w:sz w:val="22"/>
        </w:rPr>
        <w:t>i.The maximum Annual Bonus shall be</w:t>
      </w:r>
      <w:r>
        <w:rPr>
          <w:color w:val="000000"/>
        </w:rPr>
        <w:t xml:space="preserve"> </w:t>
      </w:r>
      <w:r>
        <w:rPr>
          <w:rFonts w:ascii="Calibri;sans-serif" w:hAnsi="Calibri;sans-serif"/>
          <w:b w:val="false"/>
          <w:color w:val="000000"/>
          <w:sz w:val="22"/>
        </w:rPr>
        <w:t xml:space="preserve">NIS 560,000 (gross). </w:t>
      </w:r>
    </w:p>
    <w:p>
      <w:pPr>
        <w:pStyle w:val="TextBody"/>
        <w:spacing w:lineRule="auto" w:line="288" w:before="0" w:after="240"/>
        <w:ind w:left="0" w:right="0" w:hanging="283"/>
        <w:jc w:val="both"/>
        <w:rPr/>
      </w:pPr>
      <w:r>
        <w:rPr>
          <w:rFonts w:ascii="Calibri;sans-serif" w:hAnsi="Calibri;sans-serif"/>
          <w:b w:val="false"/>
          <w:color w:val="000000"/>
          <w:sz w:val="22"/>
        </w:rPr>
        <w:t>ii.The maximum Annual Additional Stretch Bonus shall be</w:t>
      </w:r>
      <w:r>
        <w:rPr>
          <w:color w:val="000000"/>
        </w:rPr>
        <w:t xml:space="preserve"> </w:t>
      </w:r>
      <w:r>
        <w:rPr>
          <w:rFonts w:ascii="Calibri;sans-serif" w:hAnsi="Calibri;sans-serif"/>
          <w:b w:val="false"/>
          <w:color w:val="000000"/>
          <w:sz w:val="22"/>
        </w:rPr>
        <w:t>NIS 210,000 (gross)</w:t>
      </w:r>
    </w:p>
    <w:p>
      <w:pPr>
        <w:pStyle w:val="TextBody"/>
        <w:spacing w:lineRule="auto" w:line="288" w:before="0" w:after="240"/>
        <w:ind w:left="0" w:right="0" w:hanging="284"/>
        <w:jc w:val="both"/>
        <w:rPr>
          <w:rFonts w:ascii="Calibri;sans-serif" w:hAnsi="Calibri;sans-serif"/>
          <w:b w:val="false"/>
          <w:color w:val="000000"/>
          <w:sz w:val="22"/>
        </w:rPr>
      </w:pPr>
      <w:r>
        <w:rPr>
          <w:rFonts w:ascii="Calibri;sans-serif" w:hAnsi="Calibri;sans-serif"/>
          <w:b w:val="false"/>
          <w:color w:val="000000"/>
          <w:sz w:val="22"/>
        </w:rPr>
        <w:t xml:space="preserve">b.The Employee’s entitlement to the Annual Bonus and Additional Stretch Bonus shall be determined, for each calendar year, on the basis of the attainment of certain financial and operational metrics set by Kaltura Inc.’s board of directors. </w:t>
      </w:r>
    </w:p>
    <w:p>
      <w:pPr>
        <w:pStyle w:val="TextBody"/>
        <w:spacing w:lineRule="auto" w:line="288" w:before="0" w:after="480"/>
        <w:ind w:left="0" w:right="0" w:hanging="284"/>
        <w:jc w:val="both"/>
        <w:rPr/>
      </w:pPr>
      <w:r>
        <w:rPr>
          <w:rFonts w:ascii="Calibri;sans-serif" w:hAnsi="Calibri;sans-serif"/>
          <w:b w:val="false"/>
          <w:color w:val="000000"/>
          <w:sz w:val="22"/>
        </w:rPr>
        <w:t>c.As of January 2021, the Employee’s Monthly Bonus Amount shall be</w:t>
      </w:r>
      <w:r>
        <w:rPr>
          <w:color w:val="000000"/>
        </w:rPr>
        <w:t xml:space="preserve"> </w:t>
      </w:r>
      <w:r>
        <w:rPr>
          <w:rFonts w:ascii="Calibri;sans-serif" w:hAnsi="Calibri;sans-serif"/>
          <w:b w:val="false"/>
          <w:color w:val="000000"/>
          <w:sz w:val="22"/>
        </w:rPr>
        <w:t>NIS 32,667 (gross) (i.e., the equivalent of 70% of the pro-rated Annual Bonus) on account of the Annual Bonus (section 2.a.i above).</w:t>
      </w:r>
    </w:p>
    <w:p>
      <w:pPr>
        <w:pStyle w:val="TextBody"/>
        <w:spacing w:lineRule="auto" w:line="288" w:before="0" w:after="960"/>
        <w:ind w:left="0" w:right="0" w:hanging="720"/>
        <w:jc w:val="both"/>
        <w:rPr>
          <w:rFonts w:ascii="Calibri;sans-serif" w:hAnsi="Calibri;sans-serif"/>
          <w:b w:val="false"/>
          <w:color w:val="000000"/>
          <w:sz w:val="22"/>
        </w:rPr>
      </w:pPr>
      <w:r>
        <w:rPr>
          <w:rFonts w:ascii="Calibri;sans-serif" w:hAnsi="Calibri;sans-serif"/>
          <w:b w:val="false"/>
          <w:color w:val="000000"/>
          <w:sz w:val="22"/>
        </w:rPr>
        <w:t>3.Except as expressly set forth herein, the terms and conditions of the Employment Agreement shall remain in full force and effect and each Party hereto agrees to be bound by the terms thereof.</w:t>
      </w:r>
    </w:p>
    <w:p>
      <w:pPr>
        <w:pStyle w:val="TextBody"/>
        <w:spacing w:lineRule="auto" w:line="288" w:before="0" w:after="480"/>
        <w:jc w:val="both"/>
        <w:rPr>
          <w:rFonts w:ascii="Calibri;sans-serif" w:hAnsi="Calibri;sans-serif"/>
          <w:b w:val="false"/>
          <w:color w:val="000000"/>
          <w:sz w:val="22"/>
        </w:rPr>
      </w:pPr>
      <w:r>
        <w:rPr>
          <w:rFonts w:ascii="Calibri;sans-serif" w:hAnsi="Calibri;sans-serif"/>
          <w:b w:val="false"/>
          <w:color w:val="000000"/>
          <w:sz w:val="22"/>
        </w:rPr>
        <w:t xml:space="preserve">IN WITNESS WHEREOF, the Parties hereto have executed this Addendum as of the date set forth above. </w:t>
      </w:r>
      <w:r>
        <w:br w:type="page"/>
      </w:r>
    </w:p>
    <w:p>
      <w:pPr>
        <w:pStyle w:val="TextBody"/>
        <w:spacing w:before="0" w:after="0"/>
        <w:rPr/>
      </w:pPr>
      <w:r>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0175" cy="283845"/>
                <wp:effectExtent l="0" t="0" r="0" b="0"/>
                <wp:wrapNone/>
                <wp:docPr id="680" name="Frame602"/>
                <a:graphic xmlns:a="http://schemas.openxmlformats.org/drawingml/2006/main">
                  <a:graphicData uri="http://schemas.microsoft.com/office/word/2010/wordprocessingShape">
                    <wps:wsp>
                      <wps:cNvSpPr txBox="1"/>
                      <wps:spPr>
                        <a:xfrm>
                          <a:off x="0" y="0"/>
                          <a:ext cx="6480175" cy="283845"/>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spacing w:lineRule="auto" w:line="288" w:before="0" w:after="0"/>
                              <w:rPr>
                                <w:rFonts w:ascii="Calibri;sans-serif" w:hAnsi="Calibri;sans-serif"/>
                                <w:b w:val="false"/>
                                <w:color w:val="000000"/>
                                <w:sz w:val="14"/>
                              </w:rPr>
                            </w:pPr>
                            <w:r>
                              <w:rPr>
                                <w:rFonts w:ascii="Calibri;sans-serif" w:hAnsi="Calibri;sans-serif"/>
                                <w:b w:val="false"/>
                                <w:color w:val="000000"/>
                                <w:sz w:val="14"/>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p>
                      <w:pPr>
                        <w:pStyle w:val="TextBody"/>
                        <w:spacing w:lineRule="auto" w:line="288" w:before="0" w:after="0"/>
                        <w:rPr>
                          <w:rFonts w:ascii="Calibri;sans-serif" w:hAnsi="Calibri;sans-serif"/>
                          <w:b w:val="false"/>
                          <w:color w:val="000000"/>
                          <w:sz w:val="14"/>
                        </w:rPr>
                      </w:pPr>
                      <w:r>
                        <w:rPr>
                          <w:rFonts w:ascii="Calibri;sans-serif" w:hAnsi="Calibri;sans-serif"/>
                          <w:b w:val="false"/>
                          <w:color w:val="000000"/>
                          <w:sz w:val="14"/>
                        </w:rPr>
                        <w:t>Confidential</w:t>
                      </w:r>
                    </w:p>
                  </w:txbxContent>
                </v:textbox>
              </v:rect>
            </w:pict>
          </mc:Fallback>
        </mc:AlternateContent>
      </w:r>
    </w:p>
    <w:tbl>
      <w:tblPr>
        <w:tblW w:w="5448" w:type="dxa"/>
        <w:jc w:val="left"/>
        <w:tblInd w:w="0" w:type="dxa"/>
        <w:tblCellMar>
          <w:top w:w="28" w:type="dxa"/>
          <w:left w:w="28" w:type="dxa"/>
          <w:bottom w:w="28" w:type="dxa"/>
          <w:right w:w="28" w:type="dxa"/>
        </w:tblCellMar>
      </w:tblPr>
      <w:tblGrid>
        <w:gridCol w:w="275"/>
        <w:gridCol w:w="241"/>
        <w:gridCol w:w="241"/>
        <w:gridCol w:w="477"/>
        <w:gridCol w:w="477"/>
        <w:gridCol w:w="486"/>
        <w:gridCol w:w="109"/>
        <w:gridCol w:w="109"/>
        <w:gridCol w:w="109"/>
        <w:gridCol w:w="235"/>
        <w:gridCol w:w="235"/>
        <w:gridCol w:w="235"/>
        <w:gridCol w:w="645"/>
        <w:gridCol w:w="645"/>
        <w:gridCol w:w="929"/>
      </w:tblGrid>
      <w:tr>
        <w:trPr/>
        <w:tc>
          <w:tcPr>
            <w:tcW w:w="27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2197"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THE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THE EMPLOYEE</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By:</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 S. Srur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By:</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Calibri;sans-serif" w:hAnsi="Calibri;sans-serif"/>
                <w:b w:val="false"/>
                <w:color w:val="080808"/>
                <w:sz w:val="22"/>
              </w:rPr>
              <w:t xml:space="preserve">/s/ </w:t>
            </w:r>
            <w:r>
              <w:rPr>
                <w:rFonts w:ascii="Calibri;sans-serif" w:hAnsi="Calibri;sans-serif"/>
                <w:b w:val="false"/>
                <w:color w:val="000000"/>
                <w:sz w:val="22"/>
              </w:rPr>
              <w:t>Sergei Liakhovetsky</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Name: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Sigal 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Name:</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80808"/>
                <w:sz w:val="22"/>
              </w:rPr>
            </w:pPr>
            <w:r>
              <w:rPr>
                <w:rFonts w:ascii="Calibri;sans-serif" w:hAnsi="Calibri;sans-serif"/>
                <w:b w:val="false"/>
                <w:color w:val="080808"/>
                <w:sz w:val="22"/>
              </w:rPr>
              <w:t>Sergei Liakhovetsky</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Title: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CHRO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Title:</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80808"/>
                <w:sz w:val="22"/>
              </w:rPr>
            </w:pPr>
            <w:r>
              <w:rPr>
                <w:rFonts w:ascii="Calibri;sans-serif" w:hAnsi="Calibri;sans-serif"/>
                <w:b w:val="false"/>
                <w:color w:val="080808"/>
                <w:sz w:val="22"/>
              </w:rPr>
              <w:t>CTO</w:t>
            </w:r>
          </w:p>
        </w:tc>
      </w:tr>
      <w:tr>
        <w:trPr/>
        <w:tc>
          <w:tcPr>
            <w:tcW w:w="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Date:</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March 7,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80808"/>
                <w:sz w:val="22"/>
              </w:rPr>
            </w:pPr>
            <w:r>
              <w:rPr>
                <w:rFonts w:ascii="Calibri;sans-serif" w:hAnsi="Calibri;sans-serif"/>
                <w:b w:val="false"/>
                <w:color w:val="080808"/>
                <w:sz w:val="22"/>
              </w:rPr>
              <w:t>Date:</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2"/>
              </w:rPr>
            </w:pPr>
            <w:r>
              <w:rPr>
                <w:rFonts w:ascii="Calibri;sans-serif" w:hAnsi="Calibri;sans-serif"/>
                <w:b w:val="false"/>
                <w:color w:val="000000"/>
                <w:sz w:val="22"/>
              </w:rPr>
              <w:t>March 7, 2021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283845"/>
                <wp:effectExtent l="0" t="0" r="0" b="0"/>
                <wp:wrapNone/>
                <wp:docPr id="681" name="Frame603"/>
                <a:graphic xmlns:a="http://schemas.openxmlformats.org/drawingml/2006/main">
                  <a:graphicData uri="http://schemas.microsoft.com/office/word/2010/wordprocessingShape">
                    <wps:wsp>
                      <wps:cNvSpPr txBox="1"/>
                      <wps:spPr>
                        <a:xfrm>
                          <a:off x="0" y="0"/>
                          <a:ext cx="6480175" cy="283845"/>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spacing w:lineRule="auto" w:line="288" w:before="0" w:after="0"/>
                              <w:rPr>
                                <w:rFonts w:ascii="Calibri;sans-serif" w:hAnsi="Calibri;sans-serif"/>
                                <w:b w:val="false"/>
                                <w:color w:val="000000"/>
                                <w:sz w:val="14"/>
                              </w:rPr>
                            </w:pPr>
                            <w:r>
                              <w:rPr>
                                <w:rFonts w:ascii="Calibri;sans-serif" w:hAnsi="Calibri;sans-serif"/>
                                <w:b w:val="false"/>
                                <w:color w:val="000000"/>
                                <w:sz w:val="14"/>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spacing w:lineRule="auto" w:line="288" w:before="0" w:after="0"/>
                        <w:rPr>
                          <w:rFonts w:ascii="Calibri;sans-serif" w:hAnsi="Calibri;sans-serif"/>
                          <w:b w:val="false"/>
                          <w:color w:val="000000"/>
                          <w:sz w:val="14"/>
                        </w:rPr>
                      </w:pPr>
                      <w:r>
                        <w:rPr>
                          <w:rFonts w:ascii="Calibri;sans-serif" w:hAnsi="Calibri;sans-serif"/>
                          <w:b w:val="false"/>
                          <w:color w:val="000000"/>
                          <w:sz w:val="14"/>
                        </w:rPr>
                        <w:t>Confidential</w:t>
                      </w:r>
                    </w:p>
                  </w:txbxContent>
                </v:textbox>
              </v:rect>
            </w:pict>
          </mc:Fallback>
        </mc:AlternateContent>
      </w:r>
    </w:p>
    <w:p>
      <w:pPr>
        <w:pStyle w:val="TextBody"/>
        <w:spacing w:lineRule="auto" w:line="288" w:before="120" w:after="240"/>
        <w:jc w:val="center"/>
        <w:rPr>
          <w:rFonts w:ascii="Times New Roman;sans-serif" w:hAnsi="Times New Roman;sans-serif"/>
          <w:b/>
          <w:color w:val="333333"/>
          <w:sz w:val="22"/>
        </w:rPr>
      </w:pPr>
      <w:r>
        <w:rPr>
          <w:rFonts w:ascii="Times New Roman;sans-serif" w:hAnsi="Times New Roman;sans-serif"/>
          <w:b/>
          <w:color w:val="333333"/>
          <w:sz w:val="22"/>
        </w:rPr>
        <w:t>CONSENT OF INDEPENDENT REGISTERED PUBLIC ACCOUNTING FIRM</w:t>
      </w:r>
    </w:p>
    <w:p>
      <w:pPr>
        <w:pStyle w:val="TextBody"/>
        <w:spacing w:lineRule="auto" w:line="288"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We consent to the reference to our firm under the caption "Experts" and to the use of our report dated March 1, 2021 (March 23, 2021, as to the stock split discussed in Note 14e and the effects of the restatement discussed in Note 20) in the Registration Statement (Form S-1) and the related Prospectus of Kaltura, Inc. dated March 26, 2021.</w:t>
      </w:r>
    </w:p>
    <w:tbl>
      <w:tblPr>
        <w:tblW w:w="5156" w:type="dxa"/>
        <w:jc w:val="left"/>
        <w:tblInd w:w="0" w:type="dxa"/>
        <w:tblCellMar>
          <w:top w:w="28" w:type="dxa"/>
          <w:left w:w="28" w:type="dxa"/>
          <w:bottom w:w="28" w:type="dxa"/>
          <w:right w:w="28" w:type="dxa"/>
        </w:tblCellMar>
      </w:tblPr>
      <w:tblGrid>
        <w:gridCol w:w="537"/>
        <w:gridCol w:w="472"/>
        <w:gridCol w:w="476"/>
        <w:gridCol w:w="109"/>
        <w:gridCol w:w="109"/>
        <w:gridCol w:w="109"/>
        <w:gridCol w:w="977"/>
        <w:gridCol w:w="977"/>
        <w:gridCol w:w="1390"/>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March 26,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Kost Forer Gabbay &amp; Kasierer</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Tel-Aviv, Israel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 xml:space="preserve">A member of Ernst &amp; Young Global </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480175" cy="175260"/>
                <wp:effectExtent l="0" t="0" r="0" b="0"/>
                <wp:wrapNone/>
                <wp:docPr id="682" name="Frame6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 w:name="Courier New">
    <w:altName w:val="monospace"/>
    <w:charset w:val="00"/>
    <w:family w:val="auto"/>
    <w:pitch w:val="default"/>
  </w:font>
  <w:font w:name="Cambri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432133/000162828021005315/exhibit31-sx1a1.htm" TargetMode="External"/><Relationship Id="rId10" Type="http://schemas.openxmlformats.org/officeDocument/2006/relationships/hyperlink" Target="https://www.sec.gov/Archives/edgar/data/1432133/000162828021003617/exhibit32-sx1.htm" TargetMode="External"/><Relationship Id="rId11" Type="http://schemas.openxmlformats.org/officeDocument/2006/relationships/hyperlink" Target="https://www.sec.gov/Archives/edgar/data/1432133/000162828021005315/exhibit33-sx1a1.htm" TargetMode="External"/><Relationship Id="rId12" Type="http://schemas.openxmlformats.org/officeDocument/2006/relationships/hyperlink" Target="https://www.sec.gov/Archives/edgar/data/1432133/000162828021005315/exhibit34-sx1a1.htm" TargetMode="External"/><Relationship Id="rId13" Type="http://schemas.openxmlformats.org/officeDocument/2006/relationships/hyperlink" Target="https://www.sec.gov/Archives/edgar/data/1432133/000162828021005315/exhibit41-sx1a1.htm" TargetMode="External"/><Relationship Id="rId14" Type="http://schemas.openxmlformats.org/officeDocument/2006/relationships/hyperlink" Target="https://www.sec.gov/Archives/edgar/data/1432133/000162828021005315/exhibit42-sx1a1.htm" TargetMode="External"/><Relationship Id="rId15" Type="http://schemas.openxmlformats.org/officeDocument/2006/relationships/hyperlink" Target="https://www.sec.gov/Archives/edgar/data/1432133/000162828021003617/exhibit43-sx1.htm" TargetMode="External"/><Relationship Id="rId16" Type="http://schemas.openxmlformats.org/officeDocument/2006/relationships/hyperlink" Target="https://www.sec.gov/Archives/edgar/data/1432133/000162828021005315/exhibit44-sx1a1.htm" TargetMode="External"/><Relationship Id="rId17" Type="http://schemas.openxmlformats.org/officeDocument/2006/relationships/hyperlink" Target="https://www.sec.gov/Archives/edgar/data/1432133/000162828021005315/exhibit44-sx1a1.htm" TargetMode="External"/><Relationship Id="rId18" Type="http://schemas.openxmlformats.org/officeDocument/2006/relationships/hyperlink" Target="https://www.sec.gov/Archives/edgar/data/1432133/000162828021003617/exhibit45-sx1.htm" TargetMode="External"/><Relationship Id="rId19" Type="http://schemas.openxmlformats.org/officeDocument/2006/relationships/hyperlink" Target="https://www.sec.gov/Archives/edgar/data/1432133/000162828021003617/exhibit46-sx1.htm" TargetMode="External"/><Relationship Id="rId20" Type="http://schemas.openxmlformats.org/officeDocument/2006/relationships/hyperlink" Target="https://www.sec.gov/Archives/edgar/data/1432133/000162828021005315/exhibit47-sx1a1.htm" TargetMode="External"/><Relationship Id="rId21" Type="http://schemas.openxmlformats.org/officeDocument/2006/relationships/hyperlink" Target="https://www.sec.gov/Archives/edgar/data/1432133/000162828021005315/exhibit51-sx1a1.htm" TargetMode="External"/><Relationship Id="rId22" Type="http://schemas.openxmlformats.org/officeDocument/2006/relationships/hyperlink" Target="https://www.sec.gov/Archives/edgar/data/1432133/000162828021005315/exhibit104-sx1a1.htm" TargetMode="External"/><Relationship Id="rId23" Type="http://schemas.openxmlformats.org/officeDocument/2006/relationships/hyperlink" Target="https://www.sec.gov/Archives/edgar/data/1432133/000162828021005315/exhibit105s-1a1.htm" TargetMode="External"/><Relationship Id="rId24" Type="http://schemas.openxmlformats.org/officeDocument/2006/relationships/hyperlink" Target="https://www.sec.gov/Archives/edgar/data/1432133/000162828021005315/exhibit106-sx1a1.htm" TargetMode="External"/><Relationship Id="rId25" Type="http://schemas.openxmlformats.org/officeDocument/2006/relationships/hyperlink" Target="https://www.sec.gov/Archives/edgar/data/1432133/000162828021005315/exhibit107-sx1a1.htm" TargetMode="External"/><Relationship Id="rId26" Type="http://schemas.openxmlformats.org/officeDocument/2006/relationships/hyperlink" Target="https://www.sec.gov/Archives/edgar/data/1432133/000162828021005315/exhibit108-sx1a1.htm" TargetMode="External"/><Relationship Id="rId27" Type="http://schemas.openxmlformats.org/officeDocument/2006/relationships/hyperlink" Target="https://www.sec.gov/Archives/edgar/data/1432133/000162828021005315/exhibit109-sx1a1.htm" TargetMode="External"/><Relationship Id="rId28" Type="http://schemas.openxmlformats.org/officeDocument/2006/relationships/hyperlink" Target="https://www.sec.gov/Archives/edgar/data/1432133/000162828021005315/exhibit1015-sx1a1.htm" TargetMode="External"/><Relationship Id="rId29" Type="http://schemas.openxmlformats.org/officeDocument/2006/relationships/hyperlink" Target="https://www.sec.gov/Archives/edgar/data/1432133/000162828021005315/exhibit1017-sx1a1.htm" TargetMode="External"/><Relationship Id="rId30" Type="http://schemas.openxmlformats.org/officeDocument/2006/relationships/hyperlink" Target="https://www.sec.gov/Archives/edgar/data/1432133/000162828021005315/exhibit1018-sx1a1.htm" TargetMode="External"/><Relationship Id="rId31" Type="http://schemas.openxmlformats.org/officeDocument/2006/relationships/hyperlink" Target="https://www.sec.gov/Archives/edgar/data/1432133/000162828021005315/exhibit211-sx1a1.htm" TargetMode="External"/><Relationship Id="rId32" Type="http://schemas.openxmlformats.org/officeDocument/2006/relationships/hyperlink" Target="https://www.sec.gov/Archives/edgar/data/1432133/000162828021005315/exhibit51-sx1a1.htm" TargetMode="External"/><Relationship Id="rId33" Type="http://schemas.openxmlformats.org/officeDocument/2006/relationships/hyperlink" Target="https://www.sec.gov/Archives/edgar/data/1432133/000162828021005315/exhibit991-sx1a1.htm" TargetMode="External"/><Relationship Id="rId34" Type="http://schemas.openxmlformats.org/officeDocument/2006/relationships/hyperlink" Target="https://www.sec.gov/Archives/edgar/data/1432133/000162828021005315/exhibit992-sx1a1.htm" TargetMode="External"/><Relationship Id="rId35" Type="http://schemas.openxmlformats.org/officeDocument/2006/relationships/image" Target="media/image8.jpeg"/><Relationship Id="rId36" Type="http://schemas.openxmlformats.org/officeDocument/2006/relationships/image" Target="media/image9.jpeg"/><Relationship Id="rId37" Type="http://schemas.openxmlformats.org/officeDocument/2006/relationships/image" Target="media/image10.jpeg"/><Relationship Id="rId38" Type="http://schemas.openxmlformats.org/officeDocument/2006/relationships/image" Target="media/image11.jpeg"/><Relationship Id="rId39" Type="http://schemas.openxmlformats.org/officeDocument/2006/relationships/image" Target="media/image12.jpeg"/><Relationship Id="rId40" Type="http://schemas.openxmlformats.org/officeDocument/2006/relationships/image" Target="media/image13.jpeg"/><Relationship Id="rId41" Type="http://schemas.openxmlformats.org/officeDocument/2006/relationships/image" Target="media/image14.jpeg"/><Relationship Id="rId42" Type="http://schemas.openxmlformats.org/officeDocument/2006/relationships/image" Target="media/image15.jpeg"/><Relationship Id="rId43" Type="http://schemas.openxmlformats.org/officeDocument/2006/relationships/image" Target="media/image16.jpeg"/><Relationship Id="rId44" Type="http://schemas.openxmlformats.org/officeDocument/2006/relationships/image" Target="media/image17.jpeg"/><Relationship Id="rId45" Type="http://schemas.openxmlformats.org/officeDocument/2006/relationships/image" Target="media/image18.jpeg"/><Relationship Id="rId46" Type="http://schemas.openxmlformats.org/officeDocument/2006/relationships/image" Target="media/image19.jpe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23.jpeg"/><Relationship Id="rId51" Type="http://schemas.openxmlformats.org/officeDocument/2006/relationships/image" Target="media/image24.jpeg"/><Relationship Id="rId52" Type="http://schemas.openxmlformats.org/officeDocument/2006/relationships/image" Target="media/image25.jpeg"/><Relationship Id="rId53" Type="http://schemas.openxmlformats.org/officeDocument/2006/relationships/image" Target="media/image26.jpeg"/><Relationship Id="rId54" Type="http://schemas.openxmlformats.org/officeDocument/2006/relationships/image" Target="media/image27.jpeg"/><Relationship Id="rId55" Type="http://schemas.openxmlformats.org/officeDocument/2006/relationships/image" Target="media/image28.pn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31.png"/><Relationship Id="rId59" Type="http://schemas.openxmlformats.org/officeDocument/2006/relationships/image" Target="media/image32.jpeg"/><Relationship Id="rId60" Type="http://schemas.openxmlformats.org/officeDocument/2006/relationships/image" Target="media/image33.jpeg"/><Relationship Id="rId61" Type="http://schemas.openxmlformats.org/officeDocument/2006/relationships/image" Target="media/image34.png"/><Relationship Id="rId62" Type="http://schemas.openxmlformats.org/officeDocument/2006/relationships/image" Target="media/image35.jpeg"/><Relationship Id="rId63" Type="http://schemas.openxmlformats.org/officeDocument/2006/relationships/image" Target="media/image36.jpeg"/><Relationship Id="rId64" Type="http://schemas.openxmlformats.org/officeDocument/2006/relationships/image" Target="media/image37.jpeg"/><Relationship Id="rId65" Type="http://schemas.openxmlformats.org/officeDocument/2006/relationships/image" Target="media/image38.jpeg"/><Relationship Id="rId66" Type="http://schemas.openxmlformats.org/officeDocument/2006/relationships/image" Target="media/image39.png"/><Relationship Id="rId67" Type="http://schemas.openxmlformats.org/officeDocument/2006/relationships/image" Target="media/image40.jpeg"/><Relationship Id="rId68" Type="http://schemas.openxmlformats.org/officeDocument/2006/relationships/image" Target="media/image41.jpeg"/><Relationship Id="rId69" Type="http://schemas.openxmlformats.org/officeDocument/2006/relationships/image" Target="media/image42.jpeg"/><Relationship Id="rId70" Type="http://schemas.openxmlformats.org/officeDocument/2006/relationships/image" Target="media/image43.jpeg"/><Relationship Id="rId71" Type="http://schemas.openxmlformats.org/officeDocument/2006/relationships/image" Target="media/image44.png"/><Relationship Id="rId72" Type="http://schemas.openxmlformats.org/officeDocument/2006/relationships/image" Target="media/image45.jpeg"/><Relationship Id="rId73" Type="http://schemas.openxmlformats.org/officeDocument/2006/relationships/image" Target="media/image46.jpeg"/><Relationship Id="rId74" Type="http://schemas.openxmlformats.org/officeDocument/2006/relationships/image" Target="media/image47.jpeg"/><Relationship Id="rId75" Type="http://schemas.openxmlformats.org/officeDocument/2006/relationships/image" Target="media/image48.jpeg"/><Relationship Id="rId76" Type="http://schemas.openxmlformats.org/officeDocument/2006/relationships/image" Target="media/image49.jpeg"/><Relationship Id="rId77" Type="http://schemas.openxmlformats.org/officeDocument/2006/relationships/image" Target="media/image50.jpe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jpeg"/><Relationship Id="rId82" Type="http://schemas.openxmlformats.org/officeDocument/2006/relationships/image" Target="media/image55.jpeg"/><Relationship Id="rId83" Type="http://schemas.openxmlformats.org/officeDocument/2006/relationships/image" Target="media/image56.jpeg"/><Relationship Id="rId84" Type="http://schemas.openxmlformats.org/officeDocument/2006/relationships/image" Target="media/image57.jpe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jpeg"/><Relationship Id="rId92" Type="http://schemas.openxmlformats.org/officeDocument/2006/relationships/image" Target="media/image65.jpeg"/><Relationship Id="rId93" Type="http://schemas.openxmlformats.org/officeDocument/2006/relationships/image" Target="media/image66.jpeg"/><Relationship Id="rId94" Type="http://schemas.openxmlformats.org/officeDocument/2006/relationships/image" Target="media/image67.jpeg"/><Relationship Id="rId95" Type="http://schemas.openxmlformats.org/officeDocument/2006/relationships/image" Target="media/image68.jpeg"/><Relationship Id="rId96" Type="http://schemas.openxmlformats.org/officeDocument/2006/relationships/image" Target="media/image69.jpeg"/><Relationship Id="rId97" Type="http://schemas.openxmlformats.org/officeDocument/2006/relationships/image" Target="media/image70.png"/><Relationship Id="rId98" Type="http://schemas.openxmlformats.org/officeDocument/2006/relationships/image" Target="media/image71.jpeg"/><Relationship Id="rId99" Type="http://schemas.openxmlformats.org/officeDocument/2006/relationships/image" Target="media/image72.jpe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jpeg"/><Relationship Id="rId103" Type="http://schemas.openxmlformats.org/officeDocument/2006/relationships/image" Target="media/image76.jpeg"/><Relationship Id="rId104" Type="http://schemas.openxmlformats.org/officeDocument/2006/relationships/image" Target="media/image77.jpeg"/><Relationship Id="rId105" Type="http://schemas.openxmlformats.org/officeDocument/2006/relationships/image" Target="media/image78.jpeg"/><Relationship Id="rId106" Type="http://schemas.openxmlformats.org/officeDocument/2006/relationships/fontTable" Target="fontTable.xml"/><Relationship Id="rId10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604</Pages>
  <Words>294960</Words>
  <CharactersWithSpaces>1877712</CharactersWithSpaces>
  <Paragraphs>11888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